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7921E4">
      <w:pPr>
        <w:keepNext w:val="0"/>
        <w:keepLines w:val="0"/>
        <w:pageBreakBefore w:val="0"/>
        <w:widowControl w:val="0"/>
        <w:kinsoku/>
        <w:wordWrap/>
        <w:overflowPunct/>
        <w:topLinePunct w:val="0"/>
        <w:autoSpaceDE/>
        <w:autoSpaceDN/>
        <w:bidi w:val="0"/>
        <w:adjustRightInd/>
        <w:snapToGrid w:val="0"/>
        <w:spacing w:line="720" w:lineRule="auto"/>
        <w:jc w:val="center"/>
        <w:textAlignment w:val="auto"/>
        <w:rPr>
          <w:rFonts w:hint="default" w:ascii="Times New Roman" w:hAnsi="Times New Roman" w:eastAsia="宋体" w:cs="Times New Roman"/>
          <w:b/>
          <w:bCs/>
          <w:color w:val="auto"/>
          <w:sz w:val="36"/>
          <w:szCs w:val="36"/>
          <w:u w:val="none" w:color="auto"/>
          <w:lang w:val="en-US" w:eastAsia="zh-CN"/>
        </w:rPr>
      </w:pPr>
    </w:p>
    <w:p w14:paraId="71412331">
      <w:pPr>
        <w:keepNext w:val="0"/>
        <w:keepLines w:val="0"/>
        <w:pageBreakBefore w:val="0"/>
        <w:widowControl w:val="0"/>
        <w:kinsoku/>
        <w:wordWrap/>
        <w:overflowPunct/>
        <w:topLinePunct w:val="0"/>
        <w:autoSpaceDE/>
        <w:autoSpaceDN/>
        <w:bidi w:val="0"/>
        <w:adjustRightInd/>
        <w:snapToGrid w:val="0"/>
        <w:spacing w:line="720" w:lineRule="auto"/>
        <w:jc w:val="center"/>
        <w:textAlignment w:val="auto"/>
        <w:rPr>
          <w:rFonts w:hint="default" w:ascii="Times New Roman" w:hAnsi="Times New Roman" w:eastAsia="宋体" w:cs="Times New Roman"/>
          <w:b/>
          <w:bCs/>
          <w:color w:val="auto"/>
          <w:sz w:val="36"/>
          <w:szCs w:val="36"/>
          <w:u w:val="none" w:color="auto"/>
          <w:lang w:val="en-US" w:eastAsia="zh-CN"/>
        </w:rPr>
      </w:pPr>
    </w:p>
    <w:p w14:paraId="4F282561">
      <w:pPr>
        <w:keepNext w:val="0"/>
        <w:keepLines w:val="0"/>
        <w:pageBreakBefore w:val="0"/>
        <w:widowControl w:val="0"/>
        <w:kinsoku/>
        <w:wordWrap/>
        <w:overflowPunct/>
        <w:topLinePunct w:val="0"/>
        <w:autoSpaceDE/>
        <w:autoSpaceDN/>
        <w:bidi w:val="0"/>
        <w:adjustRightInd/>
        <w:snapToGrid w:val="0"/>
        <w:spacing w:line="480" w:lineRule="auto"/>
        <w:ind w:left="0" w:leftChars="0" w:firstLine="0" w:firstLineChars="0"/>
        <w:jc w:val="center"/>
        <w:textAlignment w:val="auto"/>
        <w:rPr>
          <w:rFonts w:hint="default" w:ascii="Times New Roman" w:hAnsi="Times New Roman" w:eastAsia="宋体" w:cs="Times New Roman"/>
          <w:b/>
          <w:bCs/>
          <w:color w:val="auto"/>
          <w:sz w:val="44"/>
          <w:szCs w:val="44"/>
          <w:u w:val="none" w:color="auto"/>
        </w:rPr>
      </w:pPr>
      <w:r>
        <w:rPr>
          <w:rFonts w:hint="eastAsia" w:cs="Times New Roman"/>
          <w:b/>
          <w:bCs/>
          <w:color w:val="auto"/>
          <w:sz w:val="44"/>
          <w:szCs w:val="44"/>
          <w:u w:val="none" w:color="auto"/>
          <w:lang w:eastAsia="zh-CN"/>
        </w:rPr>
        <w:t>平江县三阳乡万古村万古水库周边历史遗留重金属废渣整治项目</w:t>
      </w:r>
      <w:r>
        <w:rPr>
          <w:rFonts w:hint="default" w:ascii="Times New Roman" w:hAnsi="Times New Roman" w:eastAsia="宋体" w:cs="Times New Roman"/>
          <w:b/>
          <w:bCs/>
          <w:color w:val="auto"/>
          <w:sz w:val="44"/>
          <w:szCs w:val="44"/>
          <w:u w:val="none" w:color="auto"/>
        </w:rPr>
        <w:t>环境影响报告书</w:t>
      </w:r>
    </w:p>
    <w:p w14:paraId="3843FB2A">
      <w:pPr>
        <w:pStyle w:val="45"/>
        <w:ind w:left="0" w:leftChars="0" w:firstLine="0" w:firstLineChars="0"/>
        <w:jc w:val="center"/>
        <w:rPr>
          <w:rFonts w:hint="eastAsia" w:eastAsia="宋体"/>
          <w:sz w:val="44"/>
          <w:szCs w:val="44"/>
          <w:lang w:eastAsia="zh-CN"/>
        </w:rPr>
      </w:pPr>
      <w:r>
        <w:rPr>
          <w:rFonts w:hint="eastAsia" w:cs="Times New Roman"/>
          <w:b/>
          <w:bCs/>
          <w:color w:val="auto"/>
          <w:sz w:val="44"/>
          <w:szCs w:val="44"/>
          <w:u w:val="none" w:color="auto"/>
          <w:lang w:eastAsia="zh-CN"/>
        </w:rPr>
        <w:t>（</w:t>
      </w:r>
      <w:r>
        <w:rPr>
          <w:rFonts w:hint="eastAsia" w:cs="Times New Roman"/>
          <w:b/>
          <w:bCs/>
          <w:color w:val="auto"/>
          <w:sz w:val="44"/>
          <w:szCs w:val="44"/>
          <w:u w:val="none" w:color="auto"/>
          <w:lang w:val="en-US" w:eastAsia="zh-CN"/>
        </w:rPr>
        <w:t>送审稿</w:t>
      </w:r>
      <w:r>
        <w:rPr>
          <w:rFonts w:hint="eastAsia" w:cs="Times New Roman"/>
          <w:b/>
          <w:bCs/>
          <w:color w:val="auto"/>
          <w:sz w:val="44"/>
          <w:szCs w:val="44"/>
          <w:u w:val="none" w:color="auto"/>
          <w:lang w:eastAsia="zh-CN"/>
        </w:rPr>
        <w:t>）</w:t>
      </w:r>
    </w:p>
    <w:p w14:paraId="2F567E27">
      <w:pPr>
        <w:pageBreakBefore w:val="0"/>
        <w:widowControl w:val="0"/>
        <w:kinsoku/>
        <w:bidi w:val="0"/>
        <w:snapToGrid w:val="0"/>
        <w:spacing w:line="480" w:lineRule="exact"/>
        <w:jc w:val="center"/>
        <w:rPr>
          <w:rStyle w:val="67"/>
          <w:rFonts w:hint="default" w:ascii="Times New Roman" w:hAnsi="Times New Roman" w:eastAsia="宋体" w:cs="Times New Roman"/>
          <w:b/>
          <w:bCs w:val="0"/>
          <w:color w:val="auto"/>
          <w:sz w:val="28"/>
          <w:szCs w:val="28"/>
          <w:u w:val="none" w:color="auto"/>
          <w:lang w:val="en-US" w:eastAsia="zh-CN"/>
        </w:rPr>
      </w:pPr>
    </w:p>
    <w:p w14:paraId="304A8DB8">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433AE433">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7FEE872B">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5D59B2C8">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69C59DF7">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3AAAAB1F">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1911A784">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52E52EFE">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79CA7B2C">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4E4A6629">
      <w:pPr>
        <w:pageBreakBefore w:val="0"/>
        <w:widowControl w:val="0"/>
        <w:kinsoku/>
        <w:bidi w:val="0"/>
        <w:snapToGrid w:val="0"/>
        <w:spacing w:line="480" w:lineRule="exact"/>
        <w:jc w:val="center"/>
        <w:rPr>
          <w:rStyle w:val="67"/>
          <w:rFonts w:hint="default" w:ascii="Times New Roman" w:hAnsi="Times New Roman" w:eastAsia="宋体" w:cs="Times New Roman"/>
          <w:color w:val="auto"/>
          <w:sz w:val="28"/>
          <w:szCs w:val="28"/>
          <w:u w:val="none" w:color="auto"/>
          <w:lang w:val="en-US"/>
        </w:rPr>
      </w:pPr>
    </w:p>
    <w:p w14:paraId="21EBA77A">
      <w:pPr>
        <w:pStyle w:val="45"/>
        <w:keepNext w:val="0"/>
        <w:keepLines w:val="0"/>
        <w:pageBreakBefore w:val="0"/>
        <w:widowControl w:val="0"/>
        <w:kinsoku/>
        <w:wordWrap/>
        <w:overflowPunct/>
        <w:topLinePunct/>
        <w:autoSpaceDE/>
        <w:autoSpaceDN/>
        <w:bidi w:val="0"/>
        <w:adjustRightInd/>
        <w:snapToGrid w:val="0"/>
        <w:spacing w:after="0"/>
        <w:textAlignment w:val="auto"/>
        <w:rPr>
          <w:rFonts w:hint="default" w:ascii="Times New Roman" w:hAnsi="Times New Roman" w:eastAsia="宋体" w:cs="Times New Roman"/>
          <w:color w:val="auto"/>
          <w:u w:val="none" w:color="auto"/>
          <w:lang w:val="en-US"/>
        </w:rPr>
      </w:pPr>
    </w:p>
    <w:p w14:paraId="418CD23D">
      <w:pPr>
        <w:keepNext w:val="0"/>
        <w:keepLines w:val="0"/>
        <w:pageBreakBefore w:val="0"/>
        <w:widowControl w:val="0"/>
        <w:kinsoku/>
        <w:wordWrap/>
        <w:overflowPunct/>
        <w:topLinePunct/>
        <w:autoSpaceDE/>
        <w:autoSpaceDN/>
        <w:bidi w:val="0"/>
        <w:adjustRightInd/>
        <w:snapToGrid w:val="0"/>
        <w:spacing w:line="360" w:lineRule="auto"/>
        <w:ind w:left="0" w:leftChars="0" w:firstLine="1807" w:firstLineChars="600"/>
        <w:jc w:val="both"/>
        <w:textAlignment w:val="auto"/>
        <w:rPr>
          <w:rStyle w:val="67"/>
          <w:rFonts w:hint="default" w:ascii="Times New Roman" w:hAnsi="Times New Roman" w:eastAsia="宋体" w:cs="Times New Roman"/>
          <w:b/>
          <w:color w:val="auto"/>
          <w:sz w:val="30"/>
          <w:szCs w:val="30"/>
          <w:u w:val="none" w:color="auto"/>
          <w:lang w:val="en-US" w:eastAsia="zh-CN"/>
        </w:rPr>
      </w:pPr>
      <w:bookmarkStart w:id="0" w:name="_Toc24069"/>
      <w:bookmarkStart w:id="1" w:name="_Toc21630"/>
      <w:bookmarkStart w:id="2" w:name="_Toc15856"/>
      <w:bookmarkStart w:id="3" w:name="_Toc17512"/>
      <w:bookmarkStart w:id="4" w:name="_Toc2233"/>
      <w:bookmarkStart w:id="5" w:name="_Toc2763"/>
      <w:bookmarkStart w:id="6" w:name="_Toc20655"/>
      <w:bookmarkStart w:id="7" w:name="_Toc31335"/>
      <w:bookmarkStart w:id="8" w:name="_Toc9587"/>
      <w:bookmarkStart w:id="9" w:name="_Toc1744"/>
      <w:bookmarkStart w:id="10" w:name="_Toc30792"/>
      <w:bookmarkStart w:id="11" w:name="_Toc19025"/>
      <w:bookmarkStart w:id="12" w:name="_Toc2843"/>
      <w:bookmarkStart w:id="13" w:name="_Toc14555"/>
      <w:r>
        <w:rPr>
          <w:rStyle w:val="67"/>
          <w:rFonts w:hint="default" w:ascii="Times New Roman" w:hAnsi="Times New Roman" w:eastAsia="宋体" w:cs="Times New Roman"/>
          <w:b/>
          <w:color w:val="auto"/>
          <w:sz w:val="30"/>
          <w:szCs w:val="30"/>
          <w:u w:val="none" w:color="auto"/>
          <w:lang w:val="en-US" w:eastAsia="zh-CN"/>
        </w:rPr>
        <w:t>建设单位：</w:t>
      </w:r>
      <w:r>
        <w:rPr>
          <w:rStyle w:val="67"/>
          <w:rFonts w:hint="default" w:ascii="Times New Roman" w:hAnsi="Times New Roman" w:cs="Times New Roman"/>
          <w:b/>
          <w:color w:val="auto"/>
          <w:sz w:val="30"/>
          <w:szCs w:val="30"/>
          <w:u w:val="none" w:color="auto"/>
          <w:lang w:val="en-US" w:eastAsia="zh-CN"/>
        </w:rPr>
        <w:t>平江县三阳乡人民政府</w:t>
      </w:r>
    </w:p>
    <w:bookmarkEnd w:id="0"/>
    <w:bookmarkEnd w:id="1"/>
    <w:bookmarkEnd w:id="2"/>
    <w:bookmarkEnd w:id="3"/>
    <w:bookmarkEnd w:id="4"/>
    <w:bookmarkEnd w:id="5"/>
    <w:bookmarkEnd w:id="6"/>
    <w:bookmarkEnd w:id="7"/>
    <w:bookmarkEnd w:id="8"/>
    <w:bookmarkEnd w:id="9"/>
    <w:bookmarkEnd w:id="10"/>
    <w:bookmarkEnd w:id="11"/>
    <w:bookmarkEnd w:id="12"/>
    <w:bookmarkEnd w:id="13"/>
    <w:p w14:paraId="18BEA029">
      <w:pPr>
        <w:keepNext w:val="0"/>
        <w:keepLines w:val="0"/>
        <w:pageBreakBefore w:val="0"/>
        <w:widowControl w:val="0"/>
        <w:kinsoku/>
        <w:wordWrap/>
        <w:overflowPunct/>
        <w:topLinePunct/>
        <w:autoSpaceDE/>
        <w:autoSpaceDN/>
        <w:bidi w:val="0"/>
        <w:adjustRightInd/>
        <w:snapToGrid w:val="0"/>
        <w:spacing w:line="360" w:lineRule="auto"/>
        <w:ind w:left="0" w:leftChars="0" w:firstLine="1807" w:firstLineChars="600"/>
        <w:jc w:val="both"/>
        <w:textAlignment w:val="auto"/>
        <w:rPr>
          <w:rStyle w:val="67"/>
          <w:rFonts w:hint="default" w:ascii="Times New Roman" w:hAnsi="Times New Roman" w:eastAsia="宋体" w:cs="Times New Roman"/>
          <w:color w:val="auto"/>
          <w:sz w:val="30"/>
          <w:szCs w:val="30"/>
          <w:u w:val="none" w:color="auto"/>
          <w:lang w:val="en-US" w:eastAsia="zh-CN"/>
        </w:rPr>
      </w:pPr>
      <w:bookmarkStart w:id="14" w:name="_Toc25432"/>
      <w:bookmarkStart w:id="15" w:name="_Toc954"/>
      <w:bookmarkStart w:id="16" w:name="_Toc25414"/>
      <w:bookmarkStart w:id="17" w:name="_Toc8761"/>
      <w:bookmarkStart w:id="18" w:name="_Toc22422"/>
      <w:bookmarkStart w:id="19" w:name="_Toc7633"/>
      <w:bookmarkStart w:id="20" w:name="_Toc18609"/>
      <w:bookmarkStart w:id="21" w:name="_Toc7771"/>
      <w:bookmarkStart w:id="22" w:name="_Toc32707"/>
      <w:bookmarkStart w:id="23" w:name="_Toc12415"/>
      <w:bookmarkStart w:id="24" w:name="_Toc4887"/>
      <w:bookmarkStart w:id="25" w:name="_Toc14940"/>
      <w:bookmarkStart w:id="26" w:name="_Toc22920"/>
      <w:bookmarkStart w:id="27" w:name="_Toc32341"/>
      <w:bookmarkStart w:id="28" w:name="_Toc30425"/>
      <w:r>
        <w:rPr>
          <w:rStyle w:val="67"/>
          <w:rFonts w:hint="default" w:ascii="Times New Roman" w:hAnsi="Times New Roman" w:eastAsia="宋体" w:cs="Times New Roman"/>
          <w:color w:val="auto"/>
          <w:sz w:val="30"/>
          <w:szCs w:val="30"/>
          <w:u w:val="none" w:color="auto"/>
          <w:lang w:val="en-US" w:eastAsia="zh-CN"/>
        </w:rPr>
        <w:t>编制单位：</w:t>
      </w:r>
      <w:r>
        <w:rPr>
          <w:rStyle w:val="67"/>
          <w:rFonts w:hint="default" w:ascii="Times New Roman" w:hAnsi="Times New Roman" w:cs="Times New Roman"/>
          <w:color w:val="auto"/>
          <w:sz w:val="30"/>
          <w:szCs w:val="30"/>
          <w:u w:val="none" w:color="auto"/>
          <w:lang w:val="en-US" w:eastAsia="zh-CN"/>
        </w:rPr>
        <w:t>湖南昆灵环保科技有限公司</w:t>
      </w:r>
    </w:p>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14:paraId="22DE5A32">
      <w:pPr>
        <w:keepNext w:val="0"/>
        <w:keepLines w:val="0"/>
        <w:pageBreakBefore w:val="0"/>
        <w:widowControl w:val="0"/>
        <w:kinsoku/>
        <w:wordWrap/>
        <w:overflowPunct/>
        <w:topLinePunct/>
        <w:autoSpaceDE/>
        <w:autoSpaceDN/>
        <w:bidi w:val="0"/>
        <w:adjustRightInd/>
        <w:snapToGrid w:val="0"/>
        <w:spacing w:line="360" w:lineRule="auto"/>
        <w:jc w:val="center"/>
        <w:textAlignment w:val="auto"/>
        <w:rPr>
          <w:rStyle w:val="67"/>
          <w:rFonts w:hint="default" w:ascii="Times New Roman" w:hAnsi="Times New Roman" w:eastAsia="宋体" w:cs="Times New Roman"/>
          <w:color w:val="auto"/>
          <w:sz w:val="30"/>
          <w:szCs w:val="30"/>
          <w:u w:val="none" w:color="auto"/>
          <w:lang w:val="en-US"/>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bookmarkStart w:id="29" w:name="_Toc26742"/>
      <w:bookmarkStart w:id="30" w:name="_Toc30241"/>
      <w:bookmarkStart w:id="31" w:name="_Toc4346"/>
      <w:bookmarkStart w:id="32" w:name="_Toc24041"/>
      <w:bookmarkStart w:id="33" w:name="_Toc16013"/>
      <w:bookmarkStart w:id="34" w:name="_Toc1725"/>
      <w:bookmarkStart w:id="35" w:name="_Toc28538"/>
      <w:bookmarkStart w:id="36" w:name="_Toc4409"/>
      <w:bookmarkStart w:id="37" w:name="_Toc23278"/>
      <w:bookmarkStart w:id="38" w:name="_Toc32284"/>
      <w:bookmarkStart w:id="39" w:name="_Toc28219"/>
      <w:bookmarkStart w:id="40" w:name="_Toc19414"/>
      <w:bookmarkStart w:id="41" w:name="_Toc7073"/>
      <w:bookmarkStart w:id="42" w:name="_Toc6098"/>
      <w:bookmarkStart w:id="43" w:name="_Toc5993"/>
      <w:r>
        <w:rPr>
          <w:rStyle w:val="67"/>
          <w:rFonts w:hint="default" w:ascii="Times New Roman" w:hAnsi="Times New Roman" w:eastAsia="宋体" w:cs="Times New Roman"/>
          <w:color w:val="auto"/>
          <w:sz w:val="30"/>
          <w:szCs w:val="30"/>
          <w:u w:val="none" w:color="auto"/>
          <w:lang w:val="en-US"/>
        </w:rPr>
        <w:t>二〇二</w:t>
      </w:r>
      <w:r>
        <w:rPr>
          <w:rStyle w:val="67"/>
          <w:rFonts w:hint="eastAsia" w:cs="Times New Roman"/>
          <w:color w:val="auto"/>
          <w:sz w:val="30"/>
          <w:szCs w:val="30"/>
          <w:u w:val="none" w:color="auto"/>
          <w:lang w:val="en-US" w:eastAsia="zh-CN"/>
        </w:rPr>
        <w:t>六</w:t>
      </w:r>
      <w:r>
        <w:rPr>
          <w:rStyle w:val="67"/>
          <w:rFonts w:hint="default" w:ascii="Times New Roman" w:hAnsi="Times New Roman" w:eastAsia="宋体" w:cs="Times New Roman"/>
          <w:color w:val="auto"/>
          <w:sz w:val="30"/>
          <w:szCs w:val="30"/>
          <w:u w:val="none" w:color="auto"/>
          <w:lang w:val="en-US"/>
        </w:rPr>
        <w:t>年</w:t>
      </w:r>
      <w:r>
        <w:rPr>
          <w:rStyle w:val="67"/>
          <w:rFonts w:hint="eastAsia" w:cs="Times New Roman"/>
          <w:color w:val="auto"/>
          <w:sz w:val="30"/>
          <w:szCs w:val="30"/>
          <w:u w:val="none" w:color="auto"/>
          <w:lang w:val="en-US" w:eastAsia="zh-CN"/>
        </w:rPr>
        <w:t>四</w:t>
      </w:r>
      <w:r>
        <w:rPr>
          <w:rStyle w:val="67"/>
          <w:rFonts w:hint="default" w:ascii="Times New Roman" w:hAnsi="Times New Roman" w:eastAsia="宋体" w:cs="Times New Roman"/>
          <w:color w:val="auto"/>
          <w:sz w:val="30"/>
          <w:szCs w:val="30"/>
          <w:u w:val="none" w:color="auto"/>
          <w:lang w:val="en-US"/>
        </w:rPr>
        <w:t>月</w:t>
      </w:r>
    </w:p>
    <w:p w14:paraId="7FF3519A">
      <w:pPr>
        <w:keepNext w:val="0"/>
        <w:keepLines w:val="0"/>
        <w:pageBreakBefore w:val="0"/>
        <w:widowControl w:val="0"/>
        <w:kinsoku/>
        <w:wordWrap/>
        <w:overflowPunct/>
        <w:topLinePunct/>
        <w:autoSpaceDE/>
        <w:autoSpaceDN/>
        <w:bidi w:val="0"/>
        <w:adjustRightInd/>
        <w:snapToGrid w:val="0"/>
        <w:spacing w:line="360" w:lineRule="auto"/>
        <w:ind w:left="0" w:leftChars="0" w:firstLine="0" w:firstLineChars="0"/>
        <w:jc w:val="both"/>
        <w:textAlignment w:val="auto"/>
        <w:rPr>
          <w:rStyle w:val="67"/>
          <w:rFonts w:hint="eastAsia" w:ascii="Times New Roman" w:hAnsi="Times New Roman" w:eastAsia="宋体" w:cs="Times New Roman"/>
          <w:color w:val="auto"/>
          <w:sz w:val="30"/>
          <w:szCs w:val="30"/>
          <w:u w:val="none" w:color="auto"/>
          <w:lang w:val="en-US" w:eastAsia="zh-CN"/>
        </w:rPr>
        <w:sectPr>
          <w:pgSz w:w="11906" w:h="16838"/>
          <w:pgMar w:top="567" w:right="567" w:bottom="567" w:left="567"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rStyle w:val="67"/>
          <w:rFonts w:hint="eastAsia" w:ascii="Times New Roman" w:hAnsi="Times New Roman" w:eastAsia="宋体" w:cs="Times New Roman"/>
          <w:color w:val="auto"/>
          <w:sz w:val="30"/>
          <w:szCs w:val="30"/>
          <w:u w:val="none" w:color="auto"/>
          <w:lang w:val="en-US" w:eastAsia="zh-CN"/>
        </w:rPr>
        <w:drawing>
          <wp:inline distT="0" distB="0" distL="114300" distR="114300">
            <wp:extent cx="6835775" cy="9753600"/>
            <wp:effectExtent l="0" t="0" r="3175" b="0"/>
            <wp:docPr id="29" name="图片 29" descr="资质页盖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资质页盖章"/>
                    <pic:cNvPicPr>
                      <a:picLocks noChangeAspect="1"/>
                    </pic:cNvPicPr>
                  </pic:nvPicPr>
                  <pic:blipFill>
                    <a:blip r:embed="rId20"/>
                    <a:stretch>
                      <a:fillRect/>
                    </a:stretch>
                  </pic:blipFill>
                  <pic:spPr>
                    <a:xfrm>
                      <a:off x="0" y="0"/>
                      <a:ext cx="6835775" cy="9753600"/>
                    </a:xfrm>
                    <a:prstGeom prst="rect">
                      <a:avLst/>
                    </a:prstGeom>
                  </pic:spPr>
                </pic:pic>
              </a:graphicData>
            </a:graphic>
          </wp:inline>
        </w:drawing>
      </w:r>
      <w:r>
        <w:rPr>
          <w:rStyle w:val="67"/>
          <w:rFonts w:hint="eastAsia" w:ascii="Times New Roman" w:hAnsi="Times New Roman" w:eastAsia="宋体" w:cs="Times New Roman"/>
          <w:color w:val="auto"/>
          <w:sz w:val="30"/>
          <w:szCs w:val="30"/>
          <w:u w:val="none" w:color="auto"/>
          <w:lang w:val="en-US" w:eastAsia="zh-CN"/>
        </w:rPr>
        <w:drawing>
          <wp:inline distT="0" distB="0" distL="114300" distR="114300">
            <wp:extent cx="6858000" cy="9785985"/>
            <wp:effectExtent l="0" t="0" r="0" b="5715"/>
            <wp:docPr id="15" name="图片 15" descr="编制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编制承诺书"/>
                    <pic:cNvPicPr>
                      <a:picLocks noChangeAspect="1"/>
                    </pic:cNvPicPr>
                  </pic:nvPicPr>
                  <pic:blipFill>
                    <a:blip r:embed="rId21"/>
                    <a:stretch>
                      <a:fillRect/>
                    </a:stretch>
                  </pic:blipFill>
                  <pic:spPr>
                    <a:xfrm>
                      <a:off x="0" y="0"/>
                      <a:ext cx="6858000" cy="9785985"/>
                    </a:xfrm>
                    <a:prstGeom prst="rect">
                      <a:avLst/>
                    </a:prstGeom>
                  </pic:spPr>
                </pic:pic>
              </a:graphicData>
            </a:graphic>
          </wp:inline>
        </w:drawing>
      </w:r>
    </w:p>
    <w:p w14:paraId="65E6F4CF">
      <w:pPr>
        <w:spacing w:line="240" w:lineRule="auto"/>
        <w:ind w:left="0" w:leftChars="0" w:firstLine="0" w:firstLineChars="0"/>
        <w:jc w:val="center"/>
        <w:rPr>
          <w:rFonts w:hint="eastAsia" w:eastAsiaTheme="minorEastAsia"/>
          <w:lang w:eastAsia="zh-CN"/>
        </w:rPr>
      </w:pPr>
      <w:r>
        <w:pict>
          <v:shape id="_x0000_s1026" o:spid="_x0000_s1026" o:spt="136" type="#_x0000_t136" style="position:absolute;left:0pt;margin-left:155.25pt;margin-top:285pt;height:18pt;width:554.7pt;mso-position-horizontal-relative:page;mso-position-vertical-relative:page;rotation:-1376256f;z-index:251669504;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6pt;v-text-align:center;"/>
          </v:shape>
        </w:pict>
      </w:r>
      <w:r>
        <w:drawing>
          <wp:inline distT="0" distB="0" distL="114300" distR="114300">
            <wp:extent cx="9258935" cy="6601460"/>
            <wp:effectExtent l="0" t="0" r="18415" b="889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2"/>
                    <a:stretch>
                      <a:fillRect/>
                    </a:stretch>
                  </pic:blipFill>
                  <pic:spPr>
                    <a:xfrm>
                      <a:off x="0" y="0"/>
                      <a:ext cx="9258935" cy="6601460"/>
                    </a:xfrm>
                    <a:prstGeom prst="rect">
                      <a:avLst/>
                    </a:prstGeom>
                    <a:noFill/>
                    <a:ln>
                      <a:noFill/>
                    </a:ln>
                  </pic:spPr>
                </pic:pic>
              </a:graphicData>
            </a:graphic>
          </wp:inline>
        </w:drawing>
      </w:r>
    </w:p>
    <w:p w14:paraId="468A0E16">
      <w:pPr>
        <w:sectPr>
          <w:pgSz w:w="16838" w:h="11906" w:orient="landscape"/>
          <w:pgMar w:top="567" w:right="567" w:bottom="567" w:left="567" w:header="851" w:footer="992" w:gutter="0"/>
          <w:cols w:space="425" w:num="1"/>
          <w:docGrid w:type="lines" w:linePitch="312" w:charSpace="0"/>
        </w:sectPr>
      </w:pPr>
      <w:r>
        <w:br w:type="page"/>
      </w:r>
    </w:p>
    <w:p w14:paraId="4C72AADC">
      <w:pPr>
        <w:ind w:left="0" w:leftChars="0" w:firstLine="0" w:firstLineChars="0"/>
        <w:jc w:val="center"/>
        <w:sectPr>
          <w:pgSz w:w="11906" w:h="16838"/>
          <w:pgMar w:top="567" w:right="567" w:bottom="567" w:left="567" w:header="851" w:footer="992" w:gutter="0"/>
          <w:cols w:space="425" w:num="1"/>
          <w:docGrid w:type="lines" w:linePitch="312" w:charSpace="0"/>
        </w:sectPr>
      </w:pPr>
      <w:r>
        <w:pict>
          <v:shape id="_x0000_s1027" o:spid="_x0000_s1027" o:spt="136" type="#_x0000_t136" style="position:absolute;left:0pt;margin-left:25.25pt;margin-top:312.6pt;height:21pt;width:558pt;mso-position-horizontal-relative:page;mso-position-vertical-relative:page;rotation:-1769472f;z-index:251670528;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drawing>
          <wp:inline distT="0" distB="0" distL="114300" distR="114300">
            <wp:extent cx="6756400" cy="9226550"/>
            <wp:effectExtent l="0" t="0" r="6350" b="1270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3"/>
                    <a:stretch>
                      <a:fillRect/>
                    </a:stretch>
                  </pic:blipFill>
                  <pic:spPr>
                    <a:xfrm>
                      <a:off x="0" y="0"/>
                      <a:ext cx="6756400" cy="9226550"/>
                    </a:xfrm>
                    <a:prstGeom prst="rect">
                      <a:avLst/>
                    </a:prstGeom>
                    <a:noFill/>
                    <a:ln>
                      <a:noFill/>
                    </a:ln>
                  </pic:spPr>
                </pic:pic>
              </a:graphicData>
            </a:graphic>
          </wp:inline>
        </w:drawing>
      </w:r>
      <w:r>
        <w:br w:type="page"/>
      </w:r>
    </w:p>
    <w:p w14:paraId="28646170">
      <w:pPr>
        <w:ind w:left="0" w:leftChars="0" w:firstLine="0" w:firstLineChars="0"/>
        <w:jc w:val="center"/>
      </w:pPr>
      <w:r>
        <w:pict>
          <v:shape id="_x0000_s1028" o:spid="_x0000_s1028" o:spt="136" type="#_x0000_t136" style="position:absolute;left:0pt;margin-left:167.85pt;margin-top:220.45pt;height:21pt;width:558pt;mso-position-horizontal-relative:page;mso-position-vertical-relative:page;rotation:-1769472f;z-index:251672576;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drawing>
          <wp:inline distT="0" distB="0" distL="114300" distR="114300">
            <wp:extent cx="9958070" cy="4784725"/>
            <wp:effectExtent l="0" t="0" r="5080" b="15875"/>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24"/>
                    <a:stretch>
                      <a:fillRect/>
                    </a:stretch>
                  </pic:blipFill>
                  <pic:spPr>
                    <a:xfrm>
                      <a:off x="0" y="0"/>
                      <a:ext cx="9958070" cy="4784725"/>
                    </a:xfrm>
                    <a:prstGeom prst="rect">
                      <a:avLst/>
                    </a:prstGeom>
                    <a:noFill/>
                    <a:ln>
                      <a:noFill/>
                    </a:ln>
                  </pic:spPr>
                </pic:pic>
              </a:graphicData>
            </a:graphic>
          </wp:inline>
        </w:drawing>
      </w:r>
    </w:p>
    <w:p w14:paraId="23E98FD5">
      <w:pPr>
        <w:sectPr>
          <w:pgSz w:w="16838" w:h="11906" w:orient="landscape"/>
          <w:pgMar w:top="567" w:right="567" w:bottom="567" w:left="567" w:header="851" w:footer="992" w:gutter="0"/>
          <w:cols w:space="425" w:num="1"/>
          <w:docGrid w:type="lines" w:linePitch="312" w:charSpace="0"/>
        </w:sectPr>
      </w:pPr>
    </w:p>
    <w:p w14:paraId="1996251E">
      <w:pPr>
        <w:ind w:left="0" w:leftChars="0" w:firstLine="0" w:firstLineChars="0"/>
        <w:jc w:val="center"/>
        <w:sectPr>
          <w:pgSz w:w="16838" w:h="11906" w:orient="landscape"/>
          <w:pgMar w:top="567" w:right="567" w:bottom="567" w:left="567" w:header="851" w:footer="992" w:gutter="0"/>
          <w:cols w:space="425" w:num="1"/>
          <w:docGrid w:type="lines" w:linePitch="312" w:charSpace="0"/>
        </w:sectPr>
      </w:pPr>
      <w:r>
        <w:pict>
          <v:shape id="_x0000_s1029" o:spid="_x0000_s1029" o:spt="136" type="#_x0000_t136" style="position:absolute;left:0pt;margin-left:131.45pt;margin-top:206.55pt;height:21pt;width:558pt;mso-position-horizontal-relative:page;mso-position-vertical-relative:page;rotation:-1769472f;z-index:251674624;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drawing>
          <wp:inline distT="0" distB="0" distL="114300" distR="114300">
            <wp:extent cx="9963785" cy="4747260"/>
            <wp:effectExtent l="0" t="0" r="18415" b="15240"/>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25"/>
                    <a:stretch>
                      <a:fillRect/>
                    </a:stretch>
                  </pic:blipFill>
                  <pic:spPr>
                    <a:xfrm>
                      <a:off x="0" y="0"/>
                      <a:ext cx="9963785" cy="4747260"/>
                    </a:xfrm>
                    <a:prstGeom prst="rect">
                      <a:avLst/>
                    </a:prstGeom>
                    <a:noFill/>
                    <a:ln>
                      <a:noFill/>
                    </a:ln>
                  </pic:spPr>
                </pic:pic>
              </a:graphicData>
            </a:graphic>
          </wp:inline>
        </w:drawing>
      </w:r>
      <w:r>
        <w:pict>
          <v:shape id="_x0000_s1030" o:spid="_x0000_s1030" o:spt="136" type="#_x0000_t136" style="position:absolute;left:0pt;margin-left:172.85pt;margin-top:227.2pt;height:21pt;width:558pt;mso-position-horizontal-relative:page;mso-position-vertical-relative:page;rotation:-1769472f;z-index:251676672;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drawing>
          <wp:inline distT="0" distB="0" distL="114300" distR="114300">
            <wp:extent cx="9958070" cy="4769485"/>
            <wp:effectExtent l="0" t="0" r="5080" b="12065"/>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26"/>
                    <a:stretch>
                      <a:fillRect/>
                    </a:stretch>
                  </pic:blipFill>
                  <pic:spPr>
                    <a:xfrm>
                      <a:off x="0" y="0"/>
                      <a:ext cx="9958070" cy="4769485"/>
                    </a:xfrm>
                    <a:prstGeom prst="rect">
                      <a:avLst/>
                    </a:prstGeom>
                    <a:noFill/>
                    <a:ln>
                      <a:noFill/>
                    </a:ln>
                  </pic:spPr>
                </pic:pic>
              </a:graphicData>
            </a:graphic>
          </wp:inline>
        </w:drawing>
      </w:r>
      <w:r>
        <w:pict>
          <v:shape id="_x0000_s1033" o:spid="_x0000_s1033" o:spt="136" type="#_x0000_t136" style="position:absolute;left:0pt;margin-left:172.85pt;margin-top:227.2pt;height:21pt;width:558pt;mso-position-horizontal-relative:page;mso-position-vertical-relative:page;rotation:-1769472f;z-index:251677696;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drawing>
          <wp:inline distT="0" distB="0" distL="114300" distR="114300">
            <wp:extent cx="9965055" cy="4731385"/>
            <wp:effectExtent l="0" t="0" r="17145" b="12065"/>
            <wp:docPr id="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
                    <pic:cNvPicPr>
                      <a:picLocks noChangeAspect="1"/>
                    </pic:cNvPicPr>
                  </pic:nvPicPr>
                  <pic:blipFill>
                    <a:blip r:embed="rId27"/>
                    <a:stretch>
                      <a:fillRect/>
                    </a:stretch>
                  </pic:blipFill>
                  <pic:spPr>
                    <a:xfrm>
                      <a:off x="0" y="0"/>
                      <a:ext cx="9965055" cy="4731385"/>
                    </a:xfrm>
                    <a:prstGeom prst="rect">
                      <a:avLst/>
                    </a:prstGeom>
                    <a:noFill/>
                    <a:ln>
                      <a:noFill/>
                    </a:ln>
                  </pic:spPr>
                </pic:pic>
              </a:graphicData>
            </a:graphic>
          </wp:inline>
        </w:drawing>
      </w:r>
    </w:p>
    <w:p w14:paraId="6DDB9D48">
      <w:pPr>
        <w:ind w:left="0" w:leftChars="0" w:firstLine="0" w:firstLineChars="0"/>
        <w:jc w:val="center"/>
        <w:rPr>
          <w:rFonts w:hint="eastAsia" w:eastAsiaTheme="minorEastAsia"/>
          <w:lang w:eastAsia="zh-CN"/>
        </w:rPr>
      </w:pPr>
      <w:r>
        <w:pict>
          <v:shape id="_x0000_s1031" o:spid="_x0000_s1031" o:spt="136" type="#_x0000_t136" style="position:absolute;left:0pt;margin-left:17.2pt;margin-top:298.4pt;height:21pt;width:558pt;mso-position-horizontal-relative:page;mso-position-vertical-relative:page;rotation:-1769472f;z-index:251673600;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drawing>
          <wp:inline distT="0" distB="0" distL="114300" distR="114300">
            <wp:extent cx="6743065" cy="9613900"/>
            <wp:effectExtent l="0" t="0" r="635" b="6350"/>
            <wp:docPr id="23" name="图片 23" descr="社保证明20260325-刘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社保证明20260325-刘_01"/>
                    <pic:cNvPicPr>
                      <a:picLocks noChangeAspect="1"/>
                    </pic:cNvPicPr>
                  </pic:nvPicPr>
                  <pic:blipFill>
                    <a:blip r:embed="rId28"/>
                    <a:stretch>
                      <a:fillRect/>
                    </a:stretch>
                  </pic:blipFill>
                  <pic:spPr>
                    <a:xfrm>
                      <a:off x="0" y="0"/>
                      <a:ext cx="6743065" cy="9613900"/>
                    </a:xfrm>
                    <a:prstGeom prst="rect">
                      <a:avLst/>
                    </a:prstGeom>
                  </pic:spPr>
                </pic:pic>
              </a:graphicData>
            </a:graphic>
          </wp:inline>
        </w:drawing>
      </w:r>
      <w:r>
        <w:pict>
          <v:shape id="_x0000_s1032" o:spid="_x0000_s1032" o:spt="136" type="#_x0000_t136" style="position:absolute;left:0pt;margin-left:26.5pt;margin-top:314.75pt;height:21pt;width:558pt;mso-position-horizontal-relative:page;mso-position-vertical-relative:page;rotation:-1769472f;z-index:251675648;mso-width-relative:page;mso-height-relative:page;" fillcolor="#808080" filled="t" stroked="f" coordsize="21600,21600" adj="10800">
            <v:path/>
            <v:fill on="t" color2="#FFFFFF" focussize="0,0"/>
            <v:stroke on="f"/>
            <v:imagedata o:title=""/>
            <o:lock v:ext="edit" aspectratio="f"/>
            <v:textpath on="t" fitshape="t" fitpath="t" trim="t" xscale="f" string="仅限于平江县三阳乡万古村万古水库周边历史遗留重金属废渣整治项目使用，其他无效" style="font-family:&amp;quot;font-size:18pt;v-text-align:center;"/>
          </v:shape>
        </w:pict>
      </w:r>
      <w:r>
        <w:rPr>
          <w:rFonts w:hint="eastAsia" w:eastAsiaTheme="minorEastAsia"/>
          <w:lang w:eastAsia="zh-CN"/>
        </w:rPr>
        <w:drawing>
          <wp:inline distT="0" distB="0" distL="114300" distR="114300">
            <wp:extent cx="6638925" cy="9465310"/>
            <wp:effectExtent l="0" t="0" r="9525" b="2540"/>
            <wp:docPr id="25" name="图片 25" descr="社保证明20260325-刘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社保证明20260325-刘_02"/>
                    <pic:cNvPicPr>
                      <a:picLocks noChangeAspect="1"/>
                    </pic:cNvPicPr>
                  </pic:nvPicPr>
                  <pic:blipFill>
                    <a:blip r:embed="rId29"/>
                    <a:stretch>
                      <a:fillRect/>
                    </a:stretch>
                  </pic:blipFill>
                  <pic:spPr>
                    <a:xfrm>
                      <a:off x="0" y="0"/>
                      <a:ext cx="6638925" cy="9465310"/>
                    </a:xfrm>
                    <a:prstGeom prst="rect">
                      <a:avLst/>
                    </a:prstGeom>
                  </pic:spPr>
                </pic:pic>
              </a:graphicData>
            </a:graphic>
          </wp:inline>
        </w:drawing>
      </w:r>
    </w:p>
    <w:p w14:paraId="3C650BB9">
      <w:pPr>
        <w:keepNext w:val="0"/>
        <w:keepLines w:val="0"/>
        <w:pageBreakBefore w:val="0"/>
        <w:widowControl w:val="0"/>
        <w:kinsoku/>
        <w:wordWrap/>
        <w:overflowPunct/>
        <w:topLinePunct/>
        <w:autoSpaceDE/>
        <w:autoSpaceDN/>
        <w:bidi w:val="0"/>
        <w:adjustRightInd/>
        <w:snapToGrid w:val="0"/>
        <w:spacing w:line="360" w:lineRule="auto"/>
        <w:ind w:left="0" w:leftChars="0" w:firstLine="0" w:firstLineChars="0"/>
        <w:jc w:val="both"/>
        <w:textAlignment w:val="auto"/>
        <w:rPr>
          <w:rStyle w:val="67"/>
          <w:rFonts w:hint="eastAsia" w:ascii="Times New Roman" w:hAnsi="Times New Roman" w:eastAsia="宋体" w:cs="Times New Roman"/>
          <w:color w:val="auto"/>
          <w:sz w:val="30"/>
          <w:szCs w:val="30"/>
          <w:u w:val="none" w:color="auto"/>
          <w:lang w:val="en-US" w:eastAsia="zh-CN"/>
        </w:rPr>
        <w:sectPr>
          <w:pgSz w:w="11906" w:h="16838"/>
          <w:pgMar w:top="567" w:right="567" w:bottom="567" w:left="567"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sdt>
      <w:sdtPr>
        <w:rPr>
          <w:rFonts w:ascii="宋体" w:hAnsi="宋体" w:eastAsia="宋体" w:cs="Times New Roman"/>
          <w:b/>
          <w:bCs/>
          <w:kern w:val="2"/>
          <w:sz w:val="28"/>
          <w:szCs w:val="28"/>
          <w:lang w:val="en-US" w:eastAsia="zh-CN" w:bidi="ar-SA"/>
        </w:rPr>
        <w:id w:val="147476190"/>
        <w15:color w:val="DBDBDB"/>
        <w:docPartObj>
          <w:docPartGallery w:val="Table of Contents"/>
          <w:docPartUnique/>
        </w:docPartObj>
      </w:sdtPr>
      <w:sdtEndPr>
        <w:rPr>
          <w:rFonts w:ascii="宋体" w:hAnsi="宋体" w:eastAsia="宋体" w:cs="Times New Roman"/>
          <w:b/>
          <w:bCs/>
          <w:kern w:val="2"/>
          <w:sz w:val="28"/>
          <w:szCs w:val="28"/>
          <w:lang w:val="en-US" w:eastAsia="zh-CN" w:bidi="ar-SA"/>
        </w:rPr>
      </w:sdtEndPr>
      <w:sdtContent>
        <w:p w14:paraId="65533AD4">
          <w:pPr>
            <w:spacing w:before="0" w:beforeLines="0" w:after="0" w:afterLines="0" w:line="240" w:lineRule="auto"/>
            <w:ind w:left="0" w:leftChars="0" w:right="0" w:rightChars="0" w:firstLine="0" w:firstLineChars="0"/>
            <w:jc w:val="center"/>
            <w:rPr>
              <w:b/>
              <w:bCs/>
              <w:sz w:val="28"/>
              <w:szCs w:val="28"/>
            </w:rPr>
          </w:pPr>
          <w:bookmarkStart w:id="44" w:name="_Toc10541"/>
          <w:bookmarkStart w:id="45" w:name="_Toc30001"/>
          <w:r>
            <w:rPr>
              <w:rFonts w:ascii="宋体" w:hAnsi="宋体" w:eastAsia="宋体"/>
              <w:b/>
              <w:bCs/>
              <w:sz w:val="28"/>
              <w:szCs w:val="28"/>
            </w:rPr>
            <w:t>目录</w:t>
          </w:r>
        </w:p>
        <w:p w14:paraId="7B45E97C">
          <w:pPr>
            <w:pStyle w:val="35"/>
            <w:tabs>
              <w:tab w:val="right" w:leader="dot" w:pos="9076"/>
            </w:tabs>
          </w:pPr>
          <w:r>
            <w:fldChar w:fldCharType="begin"/>
          </w:r>
          <w:r>
            <w:instrText xml:space="preserve">TOC \o "1-2" \h \u </w:instrText>
          </w:r>
          <w:r>
            <w:fldChar w:fldCharType="separate"/>
          </w:r>
          <w:r>
            <w:rPr>
              <w:b/>
              <w:bCs/>
              <w:sz w:val="24"/>
              <w:szCs w:val="24"/>
            </w:rPr>
            <w:fldChar w:fldCharType="begin"/>
          </w:r>
          <w:r>
            <w:rPr>
              <w:b/>
              <w:bCs/>
              <w:sz w:val="24"/>
              <w:szCs w:val="24"/>
            </w:rPr>
            <w:instrText xml:space="preserve"> HYPERLINK \l _Toc19972 </w:instrText>
          </w:r>
          <w:r>
            <w:rPr>
              <w:b/>
              <w:bCs/>
              <w:sz w:val="24"/>
              <w:szCs w:val="24"/>
            </w:rPr>
            <w:fldChar w:fldCharType="separate"/>
          </w:r>
          <w:r>
            <w:rPr>
              <w:rFonts w:hint="default" w:ascii="Times New Roman" w:hAnsi="Times New Roman" w:cs="Times New Roman"/>
              <w:b/>
              <w:bCs/>
              <w:sz w:val="24"/>
              <w:szCs w:val="24"/>
              <w:highlight w:val="none"/>
            </w:rPr>
            <w:t>1 概述</w:t>
          </w:r>
          <w:r>
            <w:rPr>
              <w:b/>
              <w:bCs/>
              <w:sz w:val="24"/>
              <w:szCs w:val="24"/>
            </w:rPr>
            <w:tab/>
          </w:r>
          <w:r>
            <w:rPr>
              <w:b/>
              <w:bCs/>
              <w:sz w:val="24"/>
              <w:szCs w:val="24"/>
            </w:rPr>
            <w:fldChar w:fldCharType="begin"/>
          </w:r>
          <w:r>
            <w:rPr>
              <w:b/>
              <w:bCs/>
              <w:sz w:val="24"/>
              <w:szCs w:val="24"/>
            </w:rPr>
            <w:instrText xml:space="preserve"> PAGEREF _Toc19972 \h </w:instrText>
          </w:r>
          <w:r>
            <w:rPr>
              <w:b/>
              <w:bCs/>
              <w:sz w:val="24"/>
              <w:szCs w:val="24"/>
            </w:rPr>
            <w:fldChar w:fldCharType="separate"/>
          </w:r>
          <w:r>
            <w:rPr>
              <w:b/>
              <w:bCs/>
              <w:sz w:val="24"/>
              <w:szCs w:val="24"/>
            </w:rPr>
            <w:t>1</w:t>
          </w:r>
          <w:r>
            <w:rPr>
              <w:b/>
              <w:bCs/>
              <w:sz w:val="24"/>
              <w:szCs w:val="24"/>
            </w:rPr>
            <w:fldChar w:fldCharType="end"/>
          </w:r>
          <w:r>
            <w:rPr>
              <w:b/>
              <w:bCs/>
              <w:sz w:val="24"/>
              <w:szCs w:val="24"/>
            </w:rPr>
            <w:fldChar w:fldCharType="end"/>
          </w:r>
        </w:p>
        <w:p w14:paraId="7A3C2737">
          <w:pPr>
            <w:pStyle w:val="40"/>
            <w:tabs>
              <w:tab w:val="right" w:leader="dot" w:pos="9076"/>
            </w:tabs>
            <w:rPr>
              <w:sz w:val="24"/>
              <w:szCs w:val="24"/>
            </w:rPr>
          </w:pPr>
          <w:r>
            <w:rPr>
              <w:sz w:val="24"/>
              <w:szCs w:val="24"/>
            </w:rPr>
            <w:fldChar w:fldCharType="begin"/>
          </w:r>
          <w:r>
            <w:rPr>
              <w:sz w:val="24"/>
              <w:szCs w:val="24"/>
            </w:rPr>
            <w:instrText xml:space="preserve"> HYPERLINK \l _Toc5748 </w:instrText>
          </w:r>
          <w:r>
            <w:rPr>
              <w:sz w:val="24"/>
              <w:szCs w:val="24"/>
            </w:rPr>
            <w:fldChar w:fldCharType="separate"/>
          </w:r>
          <w:r>
            <w:rPr>
              <w:rFonts w:hint="default" w:ascii="Times New Roman" w:hAnsi="Times New Roman" w:eastAsia="宋体" w:cs="Times New Roman"/>
              <w:bCs/>
              <w:sz w:val="24"/>
              <w:szCs w:val="24"/>
              <w:highlight w:val="none"/>
              <w:lang w:val="en-US" w:bidi="zh-CN"/>
            </w:rPr>
            <w:t>1.1项目背景及由来</w:t>
          </w:r>
          <w:r>
            <w:rPr>
              <w:sz w:val="24"/>
              <w:szCs w:val="24"/>
            </w:rPr>
            <w:tab/>
          </w:r>
          <w:r>
            <w:rPr>
              <w:sz w:val="24"/>
              <w:szCs w:val="24"/>
            </w:rPr>
            <w:fldChar w:fldCharType="begin"/>
          </w:r>
          <w:r>
            <w:rPr>
              <w:sz w:val="24"/>
              <w:szCs w:val="24"/>
            </w:rPr>
            <w:instrText xml:space="preserve"> PAGEREF _Toc5748 \h </w:instrText>
          </w:r>
          <w:r>
            <w:rPr>
              <w:sz w:val="24"/>
              <w:szCs w:val="24"/>
            </w:rPr>
            <w:fldChar w:fldCharType="separate"/>
          </w:r>
          <w:r>
            <w:rPr>
              <w:sz w:val="24"/>
              <w:szCs w:val="24"/>
            </w:rPr>
            <w:t>1</w:t>
          </w:r>
          <w:r>
            <w:rPr>
              <w:sz w:val="24"/>
              <w:szCs w:val="24"/>
            </w:rPr>
            <w:fldChar w:fldCharType="end"/>
          </w:r>
          <w:r>
            <w:rPr>
              <w:sz w:val="24"/>
              <w:szCs w:val="24"/>
            </w:rPr>
            <w:fldChar w:fldCharType="end"/>
          </w:r>
        </w:p>
        <w:p w14:paraId="63EFFCCF">
          <w:pPr>
            <w:pStyle w:val="40"/>
            <w:tabs>
              <w:tab w:val="right" w:leader="dot" w:pos="9076"/>
            </w:tabs>
            <w:rPr>
              <w:sz w:val="24"/>
              <w:szCs w:val="24"/>
            </w:rPr>
          </w:pPr>
          <w:r>
            <w:rPr>
              <w:sz w:val="24"/>
              <w:szCs w:val="24"/>
            </w:rPr>
            <w:fldChar w:fldCharType="begin"/>
          </w:r>
          <w:r>
            <w:rPr>
              <w:sz w:val="24"/>
              <w:szCs w:val="24"/>
            </w:rPr>
            <w:instrText xml:space="preserve"> HYPERLINK \l _Toc14284 </w:instrText>
          </w:r>
          <w:r>
            <w:rPr>
              <w:sz w:val="24"/>
              <w:szCs w:val="24"/>
            </w:rPr>
            <w:fldChar w:fldCharType="separate"/>
          </w:r>
          <w:r>
            <w:rPr>
              <w:rFonts w:hint="default" w:cs="Times New Roman"/>
              <w:bCs/>
              <w:sz w:val="24"/>
              <w:szCs w:val="24"/>
              <w:highlight w:val="none"/>
              <w:lang w:val="en-US" w:eastAsia="zh-CN" w:bidi="zh-CN"/>
            </w:rPr>
            <w:t>1.2 项目特点</w:t>
          </w:r>
          <w:r>
            <w:rPr>
              <w:sz w:val="24"/>
              <w:szCs w:val="24"/>
            </w:rPr>
            <w:tab/>
          </w:r>
          <w:r>
            <w:rPr>
              <w:sz w:val="24"/>
              <w:szCs w:val="24"/>
            </w:rPr>
            <w:fldChar w:fldCharType="begin"/>
          </w:r>
          <w:r>
            <w:rPr>
              <w:sz w:val="24"/>
              <w:szCs w:val="24"/>
            </w:rPr>
            <w:instrText xml:space="preserve"> PAGEREF _Toc14284 \h </w:instrText>
          </w:r>
          <w:r>
            <w:rPr>
              <w:sz w:val="24"/>
              <w:szCs w:val="24"/>
            </w:rPr>
            <w:fldChar w:fldCharType="separate"/>
          </w:r>
          <w:r>
            <w:rPr>
              <w:sz w:val="24"/>
              <w:szCs w:val="24"/>
            </w:rPr>
            <w:t>4</w:t>
          </w:r>
          <w:r>
            <w:rPr>
              <w:sz w:val="24"/>
              <w:szCs w:val="24"/>
            </w:rPr>
            <w:fldChar w:fldCharType="end"/>
          </w:r>
          <w:r>
            <w:rPr>
              <w:sz w:val="24"/>
              <w:szCs w:val="24"/>
            </w:rPr>
            <w:fldChar w:fldCharType="end"/>
          </w:r>
        </w:p>
        <w:p w14:paraId="0EC9B50D">
          <w:pPr>
            <w:pStyle w:val="40"/>
            <w:tabs>
              <w:tab w:val="right" w:leader="dot" w:pos="9076"/>
            </w:tabs>
            <w:rPr>
              <w:sz w:val="24"/>
              <w:szCs w:val="24"/>
            </w:rPr>
          </w:pPr>
          <w:r>
            <w:rPr>
              <w:sz w:val="24"/>
              <w:szCs w:val="24"/>
            </w:rPr>
            <w:fldChar w:fldCharType="begin"/>
          </w:r>
          <w:r>
            <w:rPr>
              <w:sz w:val="24"/>
              <w:szCs w:val="24"/>
            </w:rPr>
            <w:instrText xml:space="preserve"> HYPERLINK \l _Toc22393 </w:instrText>
          </w:r>
          <w:r>
            <w:rPr>
              <w:sz w:val="24"/>
              <w:szCs w:val="24"/>
            </w:rPr>
            <w:fldChar w:fldCharType="separate"/>
          </w:r>
          <w:r>
            <w:rPr>
              <w:rFonts w:hint="default" w:ascii="Times New Roman" w:hAnsi="Times New Roman" w:eastAsia="宋体" w:cs="Times New Roman"/>
              <w:bCs/>
              <w:sz w:val="24"/>
              <w:szCs w:val="24"/>
              <w:highlight w:val="none"/>
              <w:lang w:val="en-US" w:bidi="zh-CN"/>
            </w:rPr>
            <w:t>1.3评价工作过程</w:t>
          </w:r>
          <w:r>
            <w:rPr>
              <w:sz w:val="24"/>
              <w:szCs w:val="24"/>
            </w:rPr>
            <w:tab/>
          </w:r>
          <w:r>
            <w:rPr>
              <w:sz w:val="24"/>
              <w:szCs w:val="24"/>
            </w:rPr>
            <w:fldChar w:fldCharType="begin"/>
          </w:r>
          <w:r>
            <w:rPr>
              <w:sz w:val="24"/>
              <w:szCs w:val="24"/>
            </w:rPr>
            <w:instrText xml:space="preserve"> PAGEREF _Toc22393 \h </w:instrText>
          </w:r>
          <w:r>
            <w:rPr>
              <w:sz w:val="24"/>
              <w:szCs w:val="24"/>
            </w:rPr>
            <w:fldChar w:fldCharType="separate"/>
          </w:r>
          <w:r>
            <w:rPr>
              <w:sz w:val="24"/>
              <w:szCs w:val="24"/>
            </w:rPr>
            <w:t>4</w:t>
          </w:r>
          <w:r>
            <w:rPr>
              <w:sz w:val="24"/>
              <w:szCs w:val="24"/>
            </w:rPr>
            <w:fldChar w:fldCharType="end"/>
          </w:r>
          <w:r>
            <w:rPr>
              <w:sz w:val="24"/>
              <w:szCs w:val="24"/>
            </w:rPr>
            <w:fldChar w:fldCharType="end"/>
          </w:r>
        </w:p>
        <w:p w14:paraId="55396ED9">
          <w:pPr>
            <w:pStyle w:val="40"/>
            <w:tabs>
              <w:tab w:val="right" w:leader="dot" w:pos="9076"/>
            </w:tabs>
            <w:rPr>
              <w:sz w:val="24"/>
              <w:szCs w:val="24"/>
            </w:rPr>
          </w:pPr>
          <w:r>
            <w:rPr>
              <w:sz w:val="24"/>
              <w:szCs w:val="24"/>
            </w:rPr>
            <w:fldChar w:fldCharType="begin"/>
          </w:r>
          <w:r>
            <w:rPr>
              <w:sz w:val="24"/>
              <w:szCs w:val="24"/>
            </w:rPr>
            <w:instrText xml:space="preserve"> HYPERLINK \l _Toc21062 </w:instrText>
          </w:r>
          <w:r>
            <w:rPr>
              <w:sz w:val="24"/>
              <w:szCs w:val="24"/>
            </w:rPr>
            <w:fldChar w:fldCharType="separate"/>
          </w:r>
          <w:r>
            <w:rPr>
              <w:rFonts w:hint="default" w:ascii="Times New Roman" w:hAnsi="Times New Roman" w:eastAsia="宋体" w:cs="Times New Roman"/>
              <w:bCs/>
              <w:sz w:val="24"/>
              <w:szCs w:val="24"/>
              <w:highlight w:val="none"/>
              <w:lang w:val="en-US" w:bidi="zh-CN"/>
            </w:rPr>
            <w:t>1.4分析判断相关情况</w:t>
          </w:r>
          <w:r>
            <w:rPr>
              <w:sz w:val="24"/>
              <w:szCs w:val="24"/>
            </w:rPr>
            <w:tab/>
          </w:r>
          <w:r>
            <w:rPr>
              <w:sz w:val="24"/>
              <w:szCs w:val="24"/>
            </w:rPr>
            <w:fldChar w:fldCharType="begin"/>
          </w:r>
          <w:r>
            <w:rPr>
              <w:sz w:val="24"/>
              <w:szCs w:val="24"/>
            </w:rPr>
            <w:instrText xml:space="preserve"> PAGEREF _Toc21062 \h </w:instrText>
          </w:r>
          <w:r>
            <w:rPr>
              <w:sz w:val="24"/>
              <w:szCs w:val="24"/>
            </w:rPr>
            <w:fldChar w:fldCharType="separate"/>
          </w:r>
          <w:r>
            <w:rPr>
              <w:sz w:val="24"/>
              <w:szCs w:val="24"/>
            </w:rPr>
            <w:t>6</w:t>
          </w:r>
          <w:r>
            <w:rPr>
              <w:sz w:val="24"/>
              <w:szCs w:val="24"/>
            </w:rPr>
            <w:fldChar w:fldCharType="end"/>
          </w:r>
          <w:r>
            <w:rPr>
              <w:sz w:val="24"/>
              <w:szCs w:val="24"/>
            </w:rPr>
            <w:fldChar w:fldCharType="end"/>
          </w:r>
        </w:p>
        <w:p w14:paraId="4DDD4754">
          <w:pPr>
            <w:pStyle w:val="40"/>
            <w:tabs>
              <w:tab w:val="right" w:leader="dot" w:pos="9076"/>
            </w:tabs>
            <w:rPr>
              <w:sz w:val="24"/>
              <w:szCs w:val="24"/>
            </w:rPr>
          </w:pPr>
          <w:r>
            <w:rPr>
              <w:sz w:val="24"/>
              <w:szCs w:val="24"/>
            </w:rPr>
            <w:fldChar w:fldCharType="begin"/>
          </w:r>
          <w:r>
            <w:rPr>
              <w:sz w:val="24"/>
              <w:szCs w:val="24"/>
            </w:rPr>
            <w:instrText xml:space="preserve"> HYPERLINK \l _Toc26006 </w:instrText>
          </w:r>
          <w:r>
            <w:rPr>
              <w:sz w:val="24"/>
              <w:szCs w:val="24"/>
            </w:rPr>
            <w:fldChar w:fldCharType="separate"/>
          </w:r>
          <w:r>
            <w:rPr>
              <w:rFonts w:hint="default" w:ascii="Times New Roman" w:hAnsi="Times New Roman" w:eastAsia="宋体" w:cs="Times New Roman"/>
              <w:sz w:val="24"/>
              <w:szCs w:val="24"/>
              <w:highlight w:val="none"/>
              <w:lang w:val="en-US"/>
            </w:rPr>
            <w:t>1.5关注的主要环境问题及环境影响</w:t>
          </w:r>
          <w:r>
            <w:rPr>
              <w:sz w:val="24"/>
              <w:szCs w:val="24"/>
            </w:rPr>
            <w:tab/>
          </w:r>
          <w:r>
            <w:rPr>
              <w:sz w:val="24"/>
              <w:szCs w:val="24"/>
            </w:rPr>
            <w:fldChar w:fldCharType="begin"/>
          </w:r>
          <w:r>
            <w:rPr>
              <w:sz w:val="24"/>
              <w:szCs w:val="24"/>
            </w:rPr>
            <w:instrText xml:space="preserve"> PAGEREF _Toc26006 \h </w:instrText>
          </w:r>
          <w:r>
            <w:rPr>
              <w:sz w:val="24"/>
              <w:szCs w:val="24"/>
            </w:rPr>
            <w:fldChar w:fldCharType="separate"/>
          </w:r>
          <w:r>
            <w:rPr>
              <w:sz w:val="24"/>
              <w:szCs w:val="24"/>
            </w:rPr>
            <w:t>20</w:t>
          </w:r>
          <w:r>
            <w:rPr>
              <w:sz w:val="24"/>
              <w:szCs w:val="24"/>
            </w:rPr>
            <w:fldChar w:fldCharType="end"/>
          </w:r>
          <w:r>
            <w:rPr>
              <w:sz w:val="24"/>
              <w:szCs w:val="24"/>
            </w:rPr>
            <w:fldChar w:fldCharType="end"/>
          </w:r>
        </w:p>
        <w:p w14:paraId="2709FA0F">
          <w:pPr>
            <w:pStyle w:val="40"/>
            <w:tabs>
              <w:tab w:val="right" w:leader="dot" w:pos="9076"/>
            </w:tabs>
            <w:rPr>
              <w:sz w:val="24"/>
              <w:szCs w:val="24"/>
            </w:rPr>
          </w:pPr>
          <w:r>
            <w:rPr>
              <w:sz w:val="24"/>
              <w:szCs w:val="24"/>
            </w:rPr>
            <w:fldChar w:fldCharType="begin"/>
          </w:r>
          <w:r>
            <w:rPr>
              <w:sz w:val="24"/>
              <w:szCs w:val="24"/>
            </w:rPr>
            <w:instrText xml:space="preserve"> HYPERLINK \l _Toc11501 </w:instrText>
          </w:r>
          <w:r>
            <w:rPr>
              <w:sz w:val="24"/>
              <w:szCs w:val="24"/>
            </w:rPr>
            <w:fldChar w:fldCharType="separate"/>
          </w:r>
          <w:r>
            <w:rPr>
              <w:rFonts w:hint="default" w:ascii="Times New Roman" w:hAnsi="Times New Roman" w:eastAsia="宋体" w:cs="Times New Roman"/>
              <w:sz w:val="24"/>
              <w:szCs w:val="24"/>
              <w:highlight w:val="none"/>
              <w:lang w:val="en-US"/>
            </w:rPr>
            <w:t>1.6环境影响评价的主要结论</w:t>
          </w:r>
          <w:r>
            <w:rPr>
              <w:sz w:val="24"/>
              <w:szCs w:val="24"/>
            </w:rPr>
            <w:tab/>
          </w:r>
          <w:r>
            <w:rPr>
              <w:sz w:val="24"/>
              <w:szCs w:val="24"/>
            </w:rPr>
            <w:fldChar w:fldCharType="begin"/>
          </w:r>
          <w:r>
            <w:rPr>
              <w:sz w:val="24"/>
              <w:szCs w:val="24"/>
            </w:rPr>
            <w:instrText xml:space="preserve"> PAGEREF _Toc11501 \h </w:instrText>
          </w:r>
          <w:r>
            <w:rPr>
              <w:sz w:val="24"/>
              <w:szCs w:val="24"/>
            </w:rPr>
            <w:fldChar w:fldCharType="separate"/>
          </w:r>
          <w:r>
            <w:rPr>
              <w:sz w:val="24"/>
              <w:szCs w:val="24"/>
            </w:rPr>
            <w:t>20</w:t>
          </w:r>
          <w:r>
            <w:rPr>
              <w:sz w:val="24"/>
              <w:szCs w:val="24"/>
            </w:rPr>
            <w:fldChar w:fldCharType="end"/>
          </w:r>
          <w:r>
            <w:rPr>
              <w:sz w:val="24"/>
              <w:szCs w:val="24"/>
            </w:rPr>
            <w:fldChar w:fldCharType="end"/>
          </w:r>
        </w:p>
        <w:p w14:paraId="3559AA33">
          <w:pPr>
            <w:pStyle w:val="35"/>
            <w:tabs>
              <w:tab w:val="right" w:leader="dot" w:pos="9076"/>
            </w:tabs>
            <w:rPr>
              <w:b/>
              <w:bCs/>
              <w:sz w:val="24"/>
              <w:szCs w:val="24"/>
            </w:rPr>
          </w:pPr>
          <w:r>
            <w:rPr>
              <w:b/>
              <w:bCs/>
              <w:sz w:val="24"/>
              <w:szCs w:val="24"/>
            </w:rPr>
            <w:fldChar w:fldCharType="begin"/>
          </w:r>
          <w:r>
            <w:rPr>
              <w:b/>
              <w:bCs/>
              <w:sz w:val="24"/>
              <w:szCs w:val="24"/>
            </w:rPr>
            <w:instrText xml:space="preserve"> HYPERLINK \l _Toc22176 </w:instrText>
          </w:r>
          <w:r>
            <w:rPr>
              <w:b/>
              <w:bCs/>
              <w:sz w:val="24"/>
              <w:szCs w:val="24"/>
            </w:rPr>
            <w:fldChar w:fldCharType="separate"/>
          </w:r>
          <w:r>
            <w:rPr>
              <w:rFonts w:hint="default" w:ascii="Times New Roman" w:hAnsi="Times New Roman" w:cs="Times New Roman"/>
              <w:b/>
              <w:bCs/>
              <w:sz w:val="24"/>
              <w:szCs w:val="24"/>
              <w:highlight w:val="none"/>
            </w:rPr>
            <w:t>2 总则</w:t>
          </w:r>
          <w:r>
            <w:rPr>
              <w:b/>
              <w:bCs/>
              <w:sz w:val="24"/>
              <w:szCs w:val="24"/>
            </w:rPr>
            <w:tab/>
          </w:r>
          <w:r>
            <w:rPr>
              <w:b/>
              <w:bCs/>
              <w:sz w:val="24"/>
              <w:szCs w:val="24"/>
            </w:rPr>
            <w:fldChar w:fldCharType="begin"/>
          </w:r>
          <w:r>
            <w:rPr>
              <w:b/>
              <w:bCs/>
              <w:sz w:val="24"/>
              <w:szCs w:val="24"/>
            </w:rPr>
            <w:instrText xml:space="preserve"> PAGEREF _Toc22176 \h </w:instrText>
          </w:r>
          <w:r>
            <w:rPr>
              <w:b/>
              <w:bCs/>
              <w:sz w:val="24"/>
              <w:szCs w:val="24"/>
            </w:rPr>
            <w:fldChar w:fldCharType="separate"/>
          </w:r>
          <w:r>
            <w:rPr>
              <w:b/>
              <w:bCs/>
              <w:sz w:val="24"/>
              <w:szCs w:val="24"/>
            </w:rPr>
            <w:t>22</w:t>
          </w:r>
          <w:r>
            <w:rPr>
              <w:b/>
              <w:bCs/>
              <w:sz w:val="24"/>
              <w:szCs w:val="24"/>
            </w:rPr>
            <w:fldChar w:fldCharType="end"/>
          </w:r>
          <w:r>
            <w:rPr>
              <w:b/>
              <w:bCs/>
              <w:sz w:val="24"/>
              <w:szCs w:val="24"/>
            </w:rPr>
            <w:fldChar w:fldCharType="end"/>
          </w:r>
        </w:p>
        <w:p w14:paraId="25734060">
          <w:pPr>
            <w:pStyle w:val="40"/>
            <w:tabs>
              <w:tab w:val="right" w:leader="dot" w:pos="9076"/>
            </w:tabs>
            <w:rPr>
              <w:sz w:val="24"/>
              <w:szCs w:val="24"/>
            </w:rPr>
          </w:pPr>
          <w:r>
            <w:rPr>
              <w:sz w:val="24"/>
              <w:szCs w:val="24"/>
            </w:rPr>
            <w:fldChar w:fldCharType="begin"/>
          </w:r>
          <w:r>
            <w:rPr>
              <w:sz w:val="24"/>
              <w:szCs w:val="24"/>
            </w:rPr>
            <w:instrText xml:space="preserve"> HYPERLINK \l _Toc2590 </w:instrText>
          </w:r>
          <w:r>
            <w:rPr>
              <w:sz w:val="24"/>
              <w:szCs w:val="24"/>
            </w:rPr>
            <w:fldChar w:fldCharType="separate"/>
          </w:r>
          <w:r>
            <w:rPr>
              <w:rFonts w:hint="default" w:ascii="Times New Roman" w:hAnsi="Times New Roman" w:eastAsia="宋体" w:cs="Times New Roman"/>
              <w:sz w:val="24"/>
              <w:szCs w:val="24"/>
              <w:highlight w:val="none"/>
              <w:lang w:val="en-US"/>
            </w:rPr>
            <w:t>2.1编制依据</w:t>
          </w:r>
          <w:r>
            <w:rPr>
              <w:sz w:val="24"/>
              <w:szCs w:val="24"/>
            </w:rPr>
            <w:tab/>
          </w:r>
          <w:r>
            <w:rPr>
              <w:sz w:val="24"/>
              <w:szCs w:val="24"/>
            </w:rPr>
            <w:fldChar w:fldCharType="begin"/>
          </w:r>
          <w:r>
            <w:rPr>
              <w:sz w:val="24"/>
              <w:szCs w:val="24"/>
            </w:rPr>
            <w:instrText xml:space="preserve"> PAGEREF _Toc2590 \h </w:instrText>
          </w:r>
          <w:r>
            <w:rPr>
              <w:sz w:val="24"/>
              <w:szCs w:val="24"/>
            </w:rPr>
            <w:fldChar w:fldCharType="separate"/>
          </w:r>
          <w:r>
            <w:rPr>
              <w:sz w:val="24"/>
              <w:szCs w:val="24"/>
            </w:rPr>
            <w:t>22</w:t>
          </w:r>
          <w:r>
            <w:rPr>
              <w:sz w:val="24"/>
              <w:szCs w:val="24"/>
            </w:rPr>
            <w:fldChar w:fldCharType="end"/>
          </w:r>
          <w:r>
            <w:rPr>
              <w:sz w:val="24"/>
              <w:szCs w:val="24"/>
            </w:rPr>
            <w:fldChar w:fldCharType="end"/>
          </w:r>
        </w:p>
        <w:p w14:paraId="2E08E8DE">
          <w:pPr>
            <w:pStyle w:val="40"/>
            <w:tabs>
              <w:tab w:val="right" w:leader="dot" w:pos="9076"/>
            </w:tabs>
            <w:rPr>
              <w:sz w:val="24"/>
              <w:szCs w:val="24"/>
            </w:rPr>
          </w:pPr>
          <w:r>
            <w:rPr>
              <w:sz w:val="24"/>
              <w:szCs w:val="24"/>
            </w:rPr>
            <w:fldChar w:fldCharType="begin"/>
          </w:r>
          <w:r>
            <w:rPr>
              <w:sz w:val="24"/>
              <w:szCs w:val="24"/>
            </w:rPr>
            <w:instrText xml:space="preserve"> HYPERLINK \l _Toc5332 </w:instrText>
          </w:r>
          <w:r>
            <w:rPr>
              <w:sz w:val="24"/>
              <w:szCs w:val="24"/>
            </w:rPr>
            <w:fldChar w:fldCharType="separate"/>
          </w:r>
          <w:r>
            <w:rPr>
              <w:rFonts w:hint="default" w:ascii="Times New Roman" w:hAnsi="Times New Roman" w:eastAsia="宋体" w:cs="Times New Roman"/>
              <w:sz w:val="24"/>
              <w:szCs w:val="24"/>
              <w:highlight w:val="none"/>
              <w:lang w:val="en-US"/>
            </w:rPr>
            <w:t>2.2评价重点</w:t>
          </w:r>
          <w:r>
            <w:rPr>
              <w:sz w:val="24"/>
              <w:szCs w:val="24"/>
            </w:rPr>
            <w:tab/>
          </w:r>
          <w:r>
            <w:rPr>
              <w:sz w:val="24"/>
              <w:szCs w:val="24"/>
            </w:rPr>
            <w:fldChar w:fldCharType="begin"/>
          </w:r>
          <w:r>
            <w:rPr>
              <w:sz w:val="24"/>
              <w:szCs w:val="24"/>
            </w:rPr>
            <w:instrText xml:space="preserve"> PAGEREF _Toc5332 \h </w:instrText>
          </w:r>
          <w:r>
            <w:rPr>
              <w:sz w:val="24"/>
              <w:szCs w:val="24"/>
            </w:rPr>
            <w:fldChar w:fldCharType="separate"/>
          </w:r>
          <w:r>
            <w:rPr>
              <w:sz w:val="24"/>
              <w:szCs w:val="24"/>
            </w:rPr>
            <w:t>26</w:t>
          </w:r>
          <w:r>
            <w:rPr>
              <w:sz w:val="24"/>
              <w:szCs w:val="24"/>
            </w:rPr>
            <w:fldChar w:fldCharType="end"/>
          </w:r>
          <w:r>
            <w:rPr>
              <w:sz w:val="24"/>
              <w:szCs w:val="24"/>
            </w:rPr>
            <w:fldChar w:fldCharType="end"/>
          </w:r>
        </w:p>
        <w:p w14:paraId="58B93179">
          <w:pPr>
            <w:pStyle w:val="40"/>
            <w:tabs>
              <w:tab w:val="right" w:leader="dot" w:pos="9076"/>
            </w:tabs>
            <w:rPr>
              <w:sz w:val="24"/>
              <w:szCs w:val="24"/>
            </w:rPr>
          </w:pPr>
          <w:r>
            <w:rPr>
              <w:sz w:val="24"/>
              <w:szCs w:val="24"/>
            </w:rPr>
            <w:fldChar w:fldCharType="begin"/>
          </w:r>
          <w:r>
            <w:rPr>
              <w:sz w:val="24"/>
              <w:szCs w:val="24"/>
            </w:rPr>
            <w:instrText xml:space="preserve"> HYPERLINK \l _Toc30417 </w:instrText>
          </w:r>
          <w:r>
            <w:rPr>
              <w:sz w:val="24"/>
              <w:szCs w:val="24"/>
            </w:rPr>
            <w:fldChar w:fldCharType="separate"/>
          </w:r>
          <w:r>
            <w:rPr>
              <w:rFonts w:hint="default" w:ascii="Times New Roman" w:hAnsi="Times New Roman" w:eastAsia="宋体" w:cs="Times New Roman"/>
              <w:sz w:val="24"/>
              <w:szCs w:val="24"/>
              <w:highlight w:val="none"/>
              <w:lang w:val="en-US"/>
            </w:rPr>
            <w:t>2.3环境影响识别及评价因子筛选</w:t>
          </w:r>
          <w:r>
            <w:rPr>
              <w:sz w:val="24"/>
              <w:szCs w:val="24"/>
            </w:rPr>
            <w:tab/>
          </w:r>
          <w:r>
            <w:rPr>
              <w:sz w:val="24"/>
              <w:szCs w:val="24"/>
            </w:rPr>
            <w:fldChar w:fldCharType="begin"/>
          </w:r>
          <w:r>
            <w:rPr>
              <w:sz w:val="24"/>
              <w:szCs w:val="24"/>
            </w:rPr>
            <w:instrText xml:space="preserve"> PAGEREF _Toc30417 \h </w:instrText>
          </w:r>
          <w:r>
            <w:rPr>
              <w:sz w:val="24"/>
              <w:szCs w:val="24"/>
            </w:rPr>
            <w:fldChar w:fldCharType="separate"/>
          </w:r>
          <w:r>
            <w:rPr>
              <w:sz w:val="24"/>
              <w:szCs w:val="24"/>
            </w:rPr>
            <w:t>27</w:t>
          </w:r>
          <w:r>
            <w:rPr>
              <w:sz w:val="24"/>
              <w:szCs w:val="24"/>
            </w:rPr>
            <w:fldChar w:fldCharType="end"/>
          </w:r>
          <w:r>
            <w:rPr>
              <w:sz w:val="24"/>
              <w:szCs w:val="24"/>
            </w:rPr>
            <w:fldChar w:fldCharType="end"/>
          </w:r>
        </w:p>
        <w:p w14:paraId="6A702BDC">
          <w:pPr>
            <w:pStyle w:val="40"/>
            <w:tabs>
              <w:tab w:val="right" w:leader="dot" w:pos="9076"/>
            </w:tabs>
            <w:rPr>
              <w:sz w:val="24"/>
              <w:szCs w:val="24"/>
            </w:rPr>
          </w:pPr>
          <w:r>
            <w:rPr>
              <w:sz w:val="24"/>
              <w:szCs w:val="24"/>
            </w:rPr>
            <w:fldChar w:fldCharType="begin"/>
          </w:r>
          <w:r>
            <w:rPr>
              <w:sz w:val="24"/>
              <w:szCs w:val="24"/>
            </w:rPr>
            <w:instrText xml:space="preserve"> HYPERLINK \l _Toc13679 </w:instrText>
          </w:r>
          <w:r>
            <w:rPr>
              <w:sz w:val="24"/>
              <w:szCs w:val="24"/>
            </w:rPr>
            <w:fldChar w:fldCharType="separate"/>
          </w:r>
          <w:r>
            <w:rPr>
              <w:rFonts w:hint="default" w:ascii="Times New Roman" w:hAnsi="Times New Roman" w:eastAsia="宋体" w:cs="Times New Roman"/>
              <w:sz w:val="24"/>
              <w:szCs w:val="24"/>
              <w:highlight w:val="none"/>
              <w:lang w:val="en-US"/>
            </w:rPr>
            <w:t>2.4区域环境功能区划和评价标准</w:t>
          </w:r>
          <w:r>
            <w:rPr>
              <w:sz w:val="24"/>
              <w:szCs w:val="24"/>
            </w:rPr>
            <w:tab/>
          </w:r>
          <w:r>
            <w:rPr>
              <w:sz w:val="24"/>
              <w:szCs w:val="24"/>
            </w:rPr>
            <w:fldChar w:fldCharType="begin"/>
          </w:r>
          <w:r>
            <w:rPr>
              <w:sz w:val="24"/>
              <w:szCs w:val="24"/>
            </w:rPr>
            <w:instrText xml:space="preserve"> PAGEREF _Toc13679 \h </w:instrText>
          </w:r>
          <w:r>
            <w:rPr>
              <w:sz w:val="24"/>
              <w:szCs w:val="24"/>
            </w:rPr>
            <w:fldChar w:fldCharType="separate"/>
          </w:r>
          <w:r>
            <w:rPr>
              <w:sz w:val="24"/>
              <w:szCs w:val="24"/>
            </w:rPr>
            <w:t>28</w:t>
          </w:r>
          <w:r>
            <w:rPr>
              <w:sz w:val="24"/>
              <w:szCs w:val="24"/>
            </w:rPr>
            <w:fldChar w:fldCharType="end"/>
          </w:r>
          <w:r>
            <w:rPr>
              <w:sz w:val="24"/>
              <w:szCs w:val="24"/>
            </w:rPr>
            <w:fldChar w:fldCharType="end"/>
          </w:r>
        </w:p>
        <w:p w14:paraId="3B107A87">
          <w:pPr>
            <w:pStyle w:val="40"/>
            <w:tabs>
              <w:tab w:val="right" w:leader="dot" w:pos="9076"/>
            </w:tabs>
            <w:rPr>
              <w:sz w:val="24"/>
              <w:szCs w:val="24"/>
            </w:rPr>
          </w:pPr>
          <w:r>
            <w:rPr>
              <w:sz w:val="24"/>
              <w:szCs w:val="24"/>
            </w:rPr>
            <w:fldChar w:fldCharType="begin"/>
          </w:r>
          <w:r>
            <w:rPr>
              <w:sz w:val="24"/>
              <w:szCs w:val="24"/>
            </w:rPr>
            <w:instrText xml:space="preserve"> HYPERLINK \l _Toc19202 </w:instrText>
          </w:r>
          <w:r>
            <w:rPr>
              <w:sz w:val="24"/>
              <w:szCs w:val="24"/>
            </w:rPr>
            <w:fldChar w:fldCharType="separate"/>
          </w:r>
          <w:r>
            <w:rPr>
              <w:rFonts w:hint="default" w:ascii="Times New Roman" w:hAnsi="Times New Roman" w:cs="Times New Roman"/>
              <w:bCs/>
              <w:sz w:val="24"/>
              <w:szCs w:val="24"/>
              <w:highlight w:val="none"/>
              <w:lang w:bidi="zh-CN"/>
            </w:rPr>
            <w:t>2.5评价工作等级</w:t>
          </w:r>
          <w:r>
            <w:rPr>
              <w:sz w:val="24"/>
              <w:szCs w:val="24"/>
            </w:rPr>
            <w:tab/>
          </w:r>
          <w:r>
            <w:rPr>
              <w:sz w:val="24"/>
              <w:szCs w:val="24"/>
            </w:rPr>
            <w:fldChar w:fldCharType="begin"/>
          </w:r>
          <w:r>
            <w:rPr>
              <w:sz w:val="24"/>
              <w:szCs w:val="24"/>
            </w:rPr>
            <w:instrText xml:space="preserve"> PAGEREF _Toc19202 \h </w:instrText>
          </w:r>
          <w:r>
            <w:rPr>
              <w:sz w:val="24"/>
              <w:szCs w:val="24"/>
            </w:rPr>
            <w:fldChar w:fldCharType="separate"/>
          </w:r>
          <w:r>
            <w:rPr>
              <w:sz w:val="24"/>
              <w:szCs w:val="24"/>
            </w:rPr>
            <w:t>35</w:t>
          </w:r>
          <w:r>
            <w:rPr>
              <w:sz w:val="24"/>
              <w:szCs w:val="24"/>
            </w:rPr>
            <w:fldChar w:fldCharType="end"/>
          </w:r>
          <w:r>
            <w:rPr>
              <w:sz w:val="24"/>
              <w:szCs w:val="24"/>
            </w:rPr>
            <w:fldChar w:fldCharType="end"/>
          </w:r>
        </w:p>
        <w:p w14:paraId="3463C767">
          <w:pPr>
            <w:pStyle w:val="40"/>
            <w:tabs>
              <w:tab w:val="right" w:leader="dot" w:pos="9076"/>
            </w:tabs>
            <w:rPr>
              <w:sz w:val="24"/>
              <w:szCs w:val="24"/>
            </w:rPr>
          </w:pPr>
          <w:r>
            <w:rPr>
              <w:sz w:val="24"/>
              <w:szCs w:val="24"/>
            </w:rPr>
            <w:fldChar w:fldCharType="begin"/>
          </w:r>
          <w:r>
            <w:rPr>
              <w:sz w:val="24"/>
              <w:szCs w:val="24"/>
            </w:rPr>
            <w:instrText xml:space="preserve"> HYPERLINK \l _Toc15970 </w:instrText>
          </w:r>
          <w:r>
            <w:rPr>
              <w:sz w:val="24"/>
              <w:szCs w:val="24"/>
            </w:rPr>
            <w:fldChar w:fldCharType="separate"/>
          </w:r>
          <w:r>
            <w:rPr>
              <w:rFonts w:hint="default" w:ascii="Times New Roman" w:hAnsi="Times New Roman" w:cs="Times New Roman"/>
              <w:bCs/>
              <w:sz w:val="24"/>
              <w:szCs w:val="24"/>
              <w:highlight w:val="none"/>
              <w:lang w:bidi="zh-CN"/>
            </w:rPr>
            <w:t>2.6环境保护目标</w:t>
          </w:r>
          <w:r>
            <w:rPr>
              <w:sz w:val="24"/>
              <w:szCs w:val="24"/>
            </w:rPr>
            <w:tab/>
          </w:r>
          <w:r>
            <w:rPr>
              <w:sz w:val="24"/>
              <w:szCs w:val="24"/>
            </w:rPr>
            <w:fldChar w:fldCharType="begin"/>
          </w:r>
          <w:r>
            <w:rPr>
              <w:sz w:val="24"/>
              <w:szCs w:val="24"/>
            </w:rPr>
            <w:instrText xml:space="preserve"> PAGEREF _Toc15970 \h </w:instrText>
          </w:r>
          <w:r>
            <w:rPr>
              <w:sz w:val="24"/>
              <w:szCs w:val="24"/>
            </w:rPr>
            <w:fldChar w:fldCharType="separate"/>
          </w:r>
          <w:r>
            <w:rPr>
              <w:sz w:val="24"/>
              <w:szCs w:val="24"/>
            </w:rPr>
            <w:t>42</w:t>
          </w:r>
          <w:r>
            <w:rPr>
              <w:sz w:val="24"/>
              <w:szCs w:val="24"/>
            </w:rPr>
            <w:fldChar w:fldCharType="end"/>
          </w:r>
          <w:r>
            <w:rPr>
              <w:sz w:val="24"/>
              <w:szCs w:val="24"/>
            </w:rPr>
            <w:fldChar w:fldCharType="end"/>
          </w:r>
        </w:p>
        <w:p w14:paraId="315A21C5">
          <w:pPr>
            <w:pStyle w:val="35"/>
            <w:tabs>
              <w:tab w:val="right" w:leader="dot" w:pos="9076"/>
            </w:tabs>
            <w:rPr>
              <w:sz w:val="24"/>
              <w:szCs w:val="24"/>
            </w:rPr>
          </w:pPr>
          <w:r>
            <w:rPr>
              <w:b/>
              <w:bCs/>
              <w:sz w:val="24"/>
              <w:szCs w:val="24"/>
            </w:rPr>
            <w:fldChar w:fldCharType="begin"/>
          </w:r>
          <w:r>
            <w:rPr>
              <w:b/>
              <w:bCs/>
              <w:sz w:val="24"/>
              <w:szCs w:val="24"/>
            </w:rPr>
            <w:instrText xml:space="preserve"> HYPERLINK \l _Toc14280 </w:instrText>
          </w:r>
          <w:r>
            <w:rPr>
              <w:b/>
              <w:bCs/>
              <w:sz w:val="24"/>
              <w:szCs w:val="24"/>
            </w:rPr>
            <w:fldChar w:fldCharType="separate"/>
          </w:r>
          <w:r>
            <w:rPr>
              <w:rFonts w:hint="eastAsia" w:cs="Times New Roman"/>
              <w:b/>
              <w:bCs/>
              <w:sz w:val="24"/>
              <w:szCs w:val="24"/>
              <w:highlight w:val="none"/>
              <w:lang w:val="en-US" w:eastAsia="zh-CN"/>
            </w:rPr>
            <w:t>3</w:t>
          </w:r>
          <w:r>
            <w:rPr>
              <w:rFonts w:hint="default" w:ascii="Times New Roman" w:hAnsi="Times New Roman" w:eastAsia="宋体" w:cs="Times New Roman"/>
              <w:b/>
              <w:bCs/>
              <w:sz w:val="24"/>
              <w:szCs w:val="24"/>
              <w:highlight w:val="none"/>
            </w:rPr>
            <w:t xml:space="preserve"> </w:t>
          </w:r>
          <w:r>
            <w:rPr>
              <w:rFonts w:hint="default" w:ascii="Times New Roman" w:hAnsi="Times New Roman" w:cs="Times New Roman"/>
              <w:b/>
              <w:bCs/>
              <w:sz w:val="24"/>
              <w:szCs w:val="24"/>
              <w:highlight w:val="none"/>
              <w:lang w:val="en-US" w:eastAsia="zh-CN"/>
            </w:rPr>
            <w:t>项目工程分析</w:t>
          </w:r>
          <w:r>
            <w:rPr>
              <w:b/>
              <w:bCs/>
              <w:sz w:val="24"/>
              <w:szCs w:val="24"/>
            </w:rPr>
            <w:tab/>
          </w:r>
          <w:r>
            <w:rPr>
              <w:b/>
              <w:bCs/>
              <w:sz w:val="24"/>
              <w:szCs w:val="24"/>
            </w:rPr>
            <w:fldChar w:fldCharType="begin"/>
          </w:r>
          <w:r>
            <w:rPr>
              <w:b/>
              <w:bCs/>
              <w:sz w:val="24"/>
              <w:szCs w:val="24"/>
            </w:rPr>
            <w:instrText xml:space="preserve"> PAGEREF _Toc14280 \h </w:instrText>
          </w:r>
          <w:r>
            <w:rPr>
              <w:b/>
              <w:bCs/>
              <w:sz w:val="24"/>
              <w:szCs w:val="24"/>
            </w:rPr>
            <w:fldChar w:fldCharType="separate"/>
          </w:r>
          <w:r>
            <w:rPr>
              <w:b/>
              <w:bCs/>
              <w:sz w:val="24"/>
              <w:szCs w:val="24"/>
            </w:rPr>
            <w:t>43</w:t>
          </w:r>
          <w:r>
            <w:rPr>
              <w:b/>
              <w:bCs/>
              <w:sz w:val="24"/>
              <w:szCs w:val="24"/>
            </w:rPr>
            <w:fldChar w:fldCharType="end"/>
          </w:r>
          <w:r>
            <w:rPr>
              <w:b/>
              <w:bCs/>
              <w:sz w:val="24"/>
              <w:szCs w:val="24"/>
            </w:rPr>
            <w:fldChar w:fldCharType="end"/>
          </w:r>
        </w:p>
        <w:p w14:paraId="0E0D8909">
          <w:pPr>
            <w:pStyle w:val="40"/>
            <w:tabs>
              <w:tab w:val="right" w:leader="dot" w:pos="9076"/>
            </w:tabs>
            <w:rPr>
              <w:sz w:val="24"/>
              <w:szCs w:val="24"/>
            </w:rPr>
          </w:pPr>
          <w:r>
            <w:rPr>
              <w:sz w:val="24"/>
              <w:szCs w:val="24"/>
            </w:rPr>
            <w:fldChar w:fldCharType="begin"/>
          </w:r>
          <w:r>
            <w:rPr>
              <w:sz w:val="24"/>
              <w:szCs w:val="24"/>
            </w:rPr>
            <w:instrText xml:space="preserve"> HYPERLINK \l _Toc2071 </w:instrText>
          </w:r>
          <w:r>
            <w:rPr>
              <w:sz w:val="24"/>
              <w:szCs w:val="24"/>
            </w:rPr>
            <w:fldChar w:fldCharType="separate"/>
          </w:r>
          <w:r>
            <w:rPr>
              <w:rFonts w:hint="eastAsia"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lang w:val="en-US"/>
            </w:rPr>
            <w:t>.1项目概况</w:t>
          </w:r>
          <w:r>
            <w:rPr>
              <w:sz w:val="24"/>
              <w:szCs w:val="24"/>
            </w:rPr>
            <w:tab/>
          </w:r>
          <w:r>
            <w:rPr>
              <w:sz w:val="24"/>
              <w:szCs w:val="24"/>
            </w:rPr>
            <w:fldChar w:fldCharType="begin"/>
          </w:r>
          <w:r>
            <w:rPr>
              <w:sz w:val="24"/>
              <w:szCs w:val="24"/>
            </w:rPr>
            <w:instrText xml:space="preserve"> PAGEREF _Toc2071 \h </w:instrText>
          </w:r>
          <w:r>
            <w:rPr>
              <w:sz w:val="24"/>
              <w:szCs w:val="24"/>
            </w:rPr>
            <w:fldChar w:fldCharType="separate"/>
          </w:r>
          <w:r>
            <w:rPr>
              <w:sz w:val="24"/>
              <w:szCs w:val="24"/>
            </w:rPr>
            <w:t>43</w:t>
          </w:r>
          <w:r>
            <w:rPr>
              <w:sz w:val="24"/>
              <w:szCs w:val="24"/>
            </w:rPr>
            <w:fldChar w:fldCharType="end"/>
          </w:r>
          <w:r>
            <w:rPr>
              <w:sz w:val="24"/>
              <w:szCs w:val="24"/>
            </w:rPr>
            <w:fldChar w:fldCharType="end"/>
          </w:r>
        </w:p>
        <w:p w14:paraId="0C7997F5">
          <w:pPr>
            <w:pStyle w:val="40"/>
            <w:tabs>
              <w:tab w:val="right" w:leader="dot" w:pos="9076"/>
            </w:tabs>
            <w:rPr>
              <w:sz w:val="24"/>
              <w:szCs w:val="24"/>
            </w:rPr>
          </w:pPr>
          <w:r>
            <w:rPr>
              <w:sz w:val="24"/>
              <w:szCs w:val="24"/>
            </w:rPr>
            <w:fldChar w:fldCharType="begin"/>
          </w:r>
          <w:r>
            <w:rPr>
              <w:sz w:val="24"/>
              <w:szCs w:val="24"/>
            </w:rPr>
            <w:instrText xml:space="preserve"> HYPERLINK \l _Toc26387 </w:instrText>
          </w:r>
          <w:r>
            <w:rPr>
              <w:sz w:val="24"/>
              <w:szCs w:val="24"/>
            </w:rPr>
            <w:fldChar w:fldCharType="separate"/>
          </w:r>
          <w:r>
            <w:rPr>
              <w:rFonts w:hint="eastAsia" w:ascii="Times New Roman" w:hAnsi="Times New Roman" w:eastAsia="宋体" w:cs="Times New Roman"/>
              <w:sz w:val="24"/>
              <w:szCs w:val="24"/>
              <w:highlight w:val="none"/>
              <w:lang w:val="en-US" w:eastAsia="zh-CN"/>
            </w:rPr>
            <w:t>3.2工程分析</w:t>
          </w:r>
          <w:r>
            <w:rPr>
              <w:sz w:val="24"/>
              <w:szCs w:val="24"/>
            </w:rPr>
            <w:tab/>
          </w:r>
          <w:r>
            <w:rPr>
              <w:sz w:val="24"/>
              <w:szCs w:val="24"/>
            </w:rPr>
            <w:fldChar w:fldCharType="begin"/>
          </w:r>
          <w:r>
            <w:rPr>
              <w:sz w:val="24"/>
              <w:szCs w:val="24"/>
            </w:rPr>
            <w:instrText xml:space="preserve"> PAGEREF _Toc26387 \h </w:instrText>
          </w:r>
          <w:r>
            <w:rPr>
              <w:sz w:val="24"/>
              <w:szCs w:val="24"/>
            </w:rPr>
            <w:fldChar w:fldCharType="separate"/>
          </w:r>
          <w:r>
            <w:rPr>
              <w:sz w:val="24"/>
              <w:szCs w:val="24"/>
            </w:rPr>
            <w:t>80</w:t>
          </w:r>
          <w:r>
            <w:rPr>
              <w:sz w:val="24"/>
              <w:szCs w:val="24"/>
            </w:rPr>
            <w:fldChar w:fldCharType="end"/>
          </w:r>
          <w:r>
            <w:rPr>
              <w:sz w:val="24"/>
              <w:szCs w:val="24"/>
            </w:rPr>
            <w:fldChar w:fldCharType="end"/>
          </w:r>
        </w:p>
        <w:p w14:paraId="7F03AE86">
          <w:pPr>
            <w:pStyle w:val="40"/>
            <w:tabs>
              <w:tab w:val="right" w:leader="dot" w:pos="9076"/>
            </w:tabs>
            <w:rPr>
              <w:sz w:val="24"/>
              <w:szCs w:val="24"/>
            </w:rPr>
          </w:pPr>
          <w:r>
            <w:rPr>
              <w:sz w:val="24"/>
              <w:szCs w:val="24"/>
            </w:rPr>
            <w:fldChar w:fldCharType="begin"/>
          </w:r>
          <w:r>
            <w:rPr>
              <w:sz w:val="24"/>
              <w:szCs w:val="24"/>
            </w:rPr>
            <w:instrText xml:space="preserve"> HYPERLINK \l _Toc2582 </w:instrText>
          </w:r>
          <w:r>
            <w:rPr>
              <w:sz w:val="24"/>
              <w:szCs w:val="24"/>
            </w:rPr>
            <w:fldChar w:fldCharType="separate"/>
          </w:r>
          <w:r>
            <w:rPr>
              <w:rFonts w:hint="eastAsia" w:ascii="Times New Roman" w:hAnsi="Times New Roman" w:eastAsia="宋体" w:cs="Times New Roman"/>
              <w:sz w:val="24"/>
              <w:szCs w:val="24"/>
              <w:highlight w:val="none"/>
              <w:lang w:val="en-US" w:eastAsia="zh-CN"/>
            </w:rPr>
            <w:t>3.3污染源汇总</w:t>
          </w:r>
          <w:r>
            <w:rPr>
              <w:sz w:val="24"/>
              <w:szCs w:val="24"/>
            </w:rPr>
            <w:tab/>
          </w:r>
          <w:r>
            <w:rPr>
              <w:sz w:val="24"/>
              <w:szCs w:val="24"/>
            </w:rPr>
            <w:fldChar w:fldCharType="begin"/>
          </w:r>
          <w:r>
            <w:rPr>
              <w:sz w:val="24"/>
              <w:szCs w:val="24"/>
            </w:rPr>
            <w:instrText xml:space="preserve"> PAGEREF _Toc2582 \h </w:instrText>
          </w:r>
          <w:r>
            <w:rPr>
              <w:sz w:val="24"/>
              <w:szCs w:val="24"/>
            </w:rPr>
            <w:fldChar w:fldCharType="separate"/>
          </w:r>
          <w:r>
            <w:rPr>
              <w:sz w:val="24"/>
              <w:szCs w:val="24"/>
            </w:rPr>
            <w:t>105</w:t>
          </w:r>
          <w:r>
            <w:rPr>
              <w:sz w:val="24"/>
              <w:szCs w:val="24"/>
            </w:rPr>
            <w:fldChar w:fldCharType="end"/>
          </w:r>
          <w:r>
            <w:rPr>
              <w:sz w:val="24"/>
              <w:szCs w:val="24"/>
            </w:rPr>
            <w:fldChar w:fldCharType="end"/>
          </w:r>
        </w:p>
        <w:p w14:paraId="4E65A78D">
          <w:pPr>
            <w:pStyle w:val="35"/>
            <w:tabs>
              <w:tab w:val="right" w:leader="dot" w:pos="9076"/>
            </w:tabs>
            <w:rPr>
              <w:b/>
              <w:bCs/>
              <w:sz w:val="24"/>
              <w:szCs w:val="24"/>
            </w:rPr>
          </w:pPr>
          <w:r>
            <w:rPr>
              <w:b/>
              <w:bCs/>
              <w:sz w:val="24"/>
              <w:szCs w:val="24"/>
            </w:rPr>
            <w:fldChar w:fldCharType="begin"/>
          </w:r>
          <w:r>
            <w:rPr>
              <w:b/>
              <w:bCs/>
              <w:sz w:val="24"/>
              <w:szCs w:val="24"/>
            </w:rPr>
            <w:instrText xml:space="preserve"> HYPERLINK \l _Toc4631 </w:instrText>
          </w:r>
          <w:r>
            <w:rPr>
              <w:b/>
              <w:bCs/>
              <w:sz w:val="24"/>
              <w:szCs w:val="24"/>
            </w:rPr>
            <w:fldChar w:fldCharType="separate"/>
          </w:r>
          <w:r>
            <w:rPr>
              <w:rFonts w:hint="eastAsia" w:cs="Times New Roman"/>
              <w:b/>
              <w:bCs/>
              <w:sz w:val="24"/>
              <w:szCs w:val="24"/>
              <w:highlight w:val="none"/>
              <w:lang w:val="en-US" w:eastAsia="zh-CN"/>
            </w:rPr>
            <w:t>4</w:t>
          </w:r>
          <w:r>
            <w:rPr>
              <w:rFonts w:hint="default" w:ascii="Times New Roman" w:hAnsi="Times New Roman" w:cs="Times New Roman"/>
              <w:b/>
              <w:bCs/>
              <w:sz w:val="24"/>
              <w:szCs w:val="24"/>
              <w:highlight w:val="none"/>
            </w:rPr>
            <w:t xml:space="preserve"> 环境现状调查与评价</w:t>
          </w:r>
          <w:r>
            <w:rPr>
              <w:b/>
              <w:bCs/>
              <w:sz w:val="24"/>
              <w:szCs w:val="24"/>
            </w:rPr>
            <w:tab/>
          </w:r>
          <w:r>
            <w:rPr>
              <w:b/>
              <w:bCs/>
              <w:sz w:val="24"/>
              <w:szCs w:val="24"/>
            </w:rPr>
            <w:fldChar w:fldCharType="begin"/>
          </w:r>
          <w:r>
            <w:rPr>
              <w:b/>
              <w:bCs/>
              <w:sz w:val="24"/>
              <w:szCs w:val="24"/>
            </w:rPr>
            <w:instrText xml:space="preserve"> PAGEREF _Toc4631 \h </w:instrText>
          </w:r>
          <w:r>
            <w:rPr>
              <w:b/>
              <w:bCs/>
              <w:sz w:val="24"/>
              <w:szCs w:val="24"/>
            </w:rPr>
            <w:fldChar w:fldCharType="separate"/>
          </w:r>
          <w:r>
            <w:rPr>
              <w:b/>
              <w:bCs/>
              <w:sz w:val="24"/>
              <w:szCs w:val="24"/>
            </w:rPr>
            <w:t>108</w:t>
          </w:r>
          <w:r>
            <w:rPr>
              <w:b/>
              <w:bCs/>
              <w:sz w:val="24"/>
              <w:szCs w:val="24"/>
            </w:rPr>
            <w:fldChar w:fldCharType="end"/>
          </w:r>
          <w:r>
            <w:rPr>
              <w:b/>
              <w:bCs/>
              <w:sz w:val="24"/>
              <w:szCs w:val="24"/>
            </w:rPr>
            <w:fldChar w:fldCharType="end"/>
          </w:r>
        </w:p>
        <w:p w14:paraId="247FE40D">
          <w:pPr>
            <w:pStyle w:val="40"/>
            <w:tabs>
              <w:tab w:val="right" w:leader="dot" w:pos="9076"/>
            </w:tabs>
            <w:rPr>
              <w:sz w:val="24"/>
              <w:szCs w:val="24"/>
            </w:rPr>
          </w:pPr>
          <w:r>
            <w:rPr>
              <w:sz w:val="24"/>
              <w:szCs w:val="24"/>
            </w:rPr>
            <w:fldChar w:fldCharType="begin"/>
          </w:r>
          <w:r>
            <w:rPr>
              <w:sz w:val="24"/>
              <w:szCs w:val="24"/>
            </w:rPr>
            <w:instrText xml:space="preserve"> HYPERLINK \l _Toc21543 </w:instrText>
          </w:r>
          <w:r>
            <w:rPr>
              <w:sz w:val="24"/>
              <w:szCs w:val="24"/>
            </w:rPr>
            <w:fldChar w:fldCharType="separate"/>
          </w:r>
          <w:r>
            <w:rPr>
              <w:rFonts w:hint="eastAsia"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lang w:val="en-US"/>
            </w:rPr>
            <w:t>.1自然环境概况</w:t>
          </w:r>
          <w:r>
            <w:rPr>
              <w:sz w:val="24"/>
              <w:szCs w:val="24"/>
            </w:rPr>
            <w:tab/>
          </w:r>
          <w:r>
            <w:rPr>
              <w:sz w:val="24"/>
              <w:szCs w:val="24"/>
            </w:rPr>
            <w:fldChar w:fldCharType="begin"/>
          </w:r>
          <w:r>
            <w:rPr>
              <w:sz w:val="24"/>
              <w:szCs w:val="24"/>
            </w:rPr>
            <w:instrText xml:space="preserve"> PAGEREF _Toc21543 \h </w:instrText>
          </w:r>
          <w:r>
            <w:rPr>
              <w:sz w:val="24"/>
              <w:szCs w:val="24"/>
            </w:rPr>
            <w:fldChar w:fldCharType="separate"/>
          </w:r>
          <w:r>
            <w:rPr>
              <w:sz w:val="24"/>
              <w:szCs w:val="24"/>
            </w:rPr>
            <w:t>108</w:t>
          </w:r>
          <w:r>
            <w:rPr>
              <w:sz w:val="24"/>
              <w:szCs w:val="24"/>
            </w:rPr>
            <w:fldChar w:fldCharType="end"/>
          </w:r>
          <w:r>
            <w:rPr>
              <w:sz w:val="24"/>
              <w:szCs w:val="24"/>
            </w:rPr>
            <w:fldChar w:fldCharType="end"/>
          </w:r>
        </w:p>
        <w:p w14:paraId="3A2DE7AA">
          <w:pPr>
            <w:pStyle w:val="40"/>
            <w:tabs>
              <w:tab w:val="right" w:leader="dot" w:pos="9076"/>
            </w:tabs>
            <w:rPr>
              <w:sz w:val="24"/>
              <w:szCs w:val="24"/>
            </w:rPr>
          </w:pPr>
          <w:r>
            <w:rPr>
              <w:sz w:val="24"/>
              <w:szCs w:val="24"/>
            </w:rPr>
            <w:fldChar w:fldCharType="begin"/>
          </w:r>
          <w:r>
            <w:rPr>
              <w:sz w:val="24"/>
              <w:szCs w:val="24"/>
            </w:rPr>
            <w:instrText xml:space="preserve"> HYPERLINK \l _Toc14382 </w:instrText>
          </w:r>
          <w:r>
            <w:rPr>
              <w:sz w:val="24"/>
              <w:szCs w:val="24"/>
            </w:rPr>
            <w:fldChar w:fldCharType="separate"/>
          </w:r>
          <w:r>
            <w:rPr>
              <w:rFonts w:hint="eastAsia"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lang w:val="en-US"/>
            </w:rPr>
            <w:t>.</w:t>
          </w:r>
          <w:r>
            <w:rPr>
              <w:rFonts w:hint="eastAsia"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lang w:val="en-US"/>
            </w:rPr>
            <w:t>环境质量现状评价</w:t>
          </w:r>
          <w:r>
            <w:rPr>
              <w:sz w:val="24"/>
              <w:szCs w:val="24"/>
            </w:rPr>
            <w:tab/>
          </w:r>
          <w:r>
            <w:rPr>
              <w:sz w:val="24"/>
              <w:szCs w:val="24"/>
            </w:rPr>
            <w:fldChar w:fldCharType="begin"/>
          </w:r>
          <w:r>
            <w:rPr>
              <w:sz w:val="24"/>
              <w:szCs w:val="24"/>
            </w:rPr>
            <w:instrText xml:space="preserve"> PAGEREF _Toc14382 \h </w:instrText>
          </w:r>
          <w:r>
            <w:rPr>
              <w:sz w:val="24"/>
              <w:szCs w:val="24"/>
            </w:rPr>
            <w:fldChar w:fldCharType="separate"/>
          </w:r>
          <w:r>
            <w:rPr>
              <w:sz w:val="24"/>
              <w:szCs w:val="24"/>
            </w:rPr>
            <w:t>113</w:t>
          </w:r>
          <w:r>
            <w:rPr>
              <w:sz w:val="24"/>
              <w:szCs w:val="24"/>
            </w:rPr>
            <w:fldChar w:fldCharType="end"/>
          </w:r>
          <w:r>
            <w:rPr>
              <w:sz w:val="24"/>
              <w:szCs w:val="24"/>
            </w:rPr>
            <w:fldChar w:fldCharType="end"/>
          </w:r>
        </w:p>
        <w:p w14:paraId="6347C12C">
          <w:pPr>
            <w:pStyle w:val="35"/>
            <w:tabs>
              <w:tab w:val="right" w:leader="dot" w:pos="9076"/>
            </w:tabs>
            <w:rPr>
              <w:b/>
              <w:bCs/>
              <w:sz w:val="24"/>
              <w:szCs w:val="24"/>
            </w:rPr>
          </w:pPr>
          <w:r>
            <w:rPr>
              <w:b/>
              <w:bCs/>
              <w:sz w:val="24"/>
              <w:szCs w:val="24"/>
            </w:rPr>
            <w:fldChar w:fldCharType="begin"/>
          </w:r>
          <w:r>
            <w:rPr>
              <w:b/>
              <w:bCs/>
              <w:sz w:val="24"/>
              <w:szCs w:val="24"/>
            </w:rPr>
            <w:instrText xml:space="preserve"> HYPERLINK \l _Toc9253 </w:instrText>
          </w:r>
          <w:r>
            <w:rPr>
              <w:b/>
              <w:bCs/>
              <w:sz w:val="24"/>
              <w:szCs w:val="24"/>
            </w:rPr>
            <w:fldChar w:fldCharType="separate"/>
          </w:r>
          <w:r>
            <w:rPr>
              <w:rFonts w:hint="eastAsia" w:cs="Times New Roman"/>
              <w:b/>
              <w:bCs/>
              <w:sz w:val="24"/>
              <w:szCs w:val="24"/>
              <w:highlight w:val="none"/>
              <w:lang w:val="en-US" w:eastAsia="zh-CN"/>
            </w:rPr>
            <w:t>5</w:t>
          </w:r>
          <w:r>
            <w:rPr>
              <w:rFonts w:hint="default" w:ascii="Times New Roman" w:hAnsi="Times New Roman" w:eastAsia="宋体" w:cs="Times New Roman"/>
              <w:b/>
              <w:bCs/>
              <w:sz w:val="24"/>
              <w:szCs w:val="24"/>
              <w:highlight w:val="none"/>
            </w:rPr>
            <w:t xml:space="preserve"> 环境影响预测与评价</w:t>
          </w:r>
          <w:r>
            <w:rPr>
              <w:b/>
              <w:bCs/>
              <w:sz w:val="24"/>
              <w:szCs w:val="24"/>
            </w:rPr>
            <w:tab/>
          </w:r>
          <w:r>
            <w:rPr>
              <w:b/>
              <w:bCs/>
              <w:sz w:val="24"/>
              <w:szCs w:val="24"/>
            </w:rPr>
            <w:fldChar w:fldCharType="begin"/>
          </w:r>
          <w:r>
            <w:rPr>
              <w:b/>
              <w:bCs/>
              <w:sz w:val="24"/>
              <w:szCs w:val="24"/>
            </w:rPr>
            <w:instrText xml:space="preserve"> PAGEREF _Toc9253 \h </w:instrText>
          </w:r>
          <w:r>
            <w:rPr>
              <w:b/>
              <w:bCs/>
              <w:sz w:val="24"/>
              <w:szCs w:val="24"/>
            </w:rPr>
            <w:fldChar w:fldCharType="separate"/>
          </w:r>
          <w:r>
            <w:rPr>
              <w:b/>
              <w:bCs/>
              <w:sz w:val="24"/>
              <w:szCs w:val="24"/>
            </w:rPr>
            <w:t>132</w:t>
          </w:r>
          <w:r>
            <w:rPr>
              <w:b/>
              <w:bCs/>
              <w:sz w:val="24"/>
              <w:szCs w:val="24"/>
            </w:rPr>
            <w:fldChar w:fldCharType="end"/>
          </w:r>
          <w:r>
            <w:rPr>
              <w:b/>
              <w:bCs/>
              <w:sz w:val="24"/>
              <w:szCs w:val="24"/>
            </w:rPr>
            <w:fldChar w:fldCharType="end"/>
          </w:r>
        </w:p>
        <w:p w14:paraId="1C71398C">
          <w:pPr>
            <w:pStyle w:val="40"/>
            <w:tabs>
              <w:tab w:val="right" w:leader="dot" w:pos="9076"/>
            </w:tabs>
            <w:rPr>
              <w:sz w:val="24"/>
              <w:szCs w:val="24"/>
            </w:rPr>
          </w:pPr>
          <w:r>
            <w:rPr>
              <w:sz w:val="24"/>
              <w:szCs w:val="24"/>
            </w:rPr>
            <w:fldChar w:fldCharType="begin"/>
          </w:r>
          <w:r>
            <w:rPr>
              <w:sz w:val="24"/>
              <w:szCs w:val="24"/>
            </w:rPr>
            <w:instrText xml:space="preserve"> HYPERLINK \l _Toc5126 </w:instrText>
          </w:r>
          <w:r>
            <w:rPr>
              <w:sz w:val="24"/>
              <w:szCs w:val="24"/>
            </w:rPr>
            <w:fldChar w:fldCharType="separate"/>
          </w:r>
          <w:r>
            <w:rPr>
              <w:rFonts w:hint="eastAsia"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lang w:val="en-US"/>
            </w:rPr>
            <w:t>.1施工期环境影响分析</w:t>
          </w:r>
          <w:r>
            <w:rPr>
              <w:sz w:val="24"/>
              <w:szCs w:val="24"/>
            </w:rPr>
            <w:tab/>
          </w:r>
          <w:r>
            <w:rPr>
              <w:sz w:val="24"/>
              <w:szCs w:val="24"/>
            </w:rPr>
            <w:fldChar w:fldCharType="begin"/>
          </w:r>
          <w:r>
            <w:rPr>
              <w:sz w:val="24"/>
              <w:szCs w:val="24"/>
            </w:rPr>
            <w:instrText xml:space="preserve"> PAGEREF _Toc5126 \h </w:instrText>
          </w:r>
          <w:r>
            <w:rPr>
              <w:sz w:val="24"/>
              <w:szCs w:val="24"/>
            </w:rPr>
            <w:fldChar w:fldCharType="separate"/>
          </w:r>
          <w:r>
            <w:rPr>
              <w:sz w:val="24"/>
              <w:szCs w:val="24"/>
            </w:rPr>
            <w:t>132</w:t>
          </w:r>
          <w:r>
            <w:rPr>
              <w:sz w:val="24"/>
              <w:szCs w:val="24"/>
            </w:rPr>
            <w:fldChar w:fldCharType="end"/>
          </w:r>
          <w:r>
            <w:rPr>
              <w:sz w:val="24"/>
              <w:szCs w:val="24"/>
            </w:rPr>
            <w:fldChar w:fldCharType="end"/>
          </w:r>
        </w:p>
        <w:p w14:paraId="573445A8">
          <w:pPr>
            <w:pStyle w:val="40"/>
            <w:tabs>
              <w:tab w:val="right" w:leader="dot" w:pos="9076"/>
            </w:tabs>
            <w:rPr>
              <w:sz w:val="24"/>
              <w:szCs w:val="24"/>
            </w:rPr>
          </w:pPr>
          <w:r>
            <w:rPr>
              <w:sz w:val="24"/>
              <w:szCs w:val="24"/>
            </w:rPr>
            <w:fldChar w:fldCharType="begin"/>
          </w:r>
          <w:r>
            <w:rPr>
              <w:sz w:val="24"/>
              <w:szCs w:val="24"/>
            </w:rPr>
            <w:instrText xml:space="preserve"> HYPERLINK \l _Toc30019 </w:instrText>
          </w:r>
          <w:r>
            <w:rPr>
              <w:sz w:val="24"/>
              <w:szCs w:val="24"/>
            </w:rPr>
            <w:fldChar w:fldCharType="separate"/>
          </w:r>
          <w:r>
            <w:rPr>
              <w:rFonts w:hint="eastAsia" w:ascii="Times New Roman" w:hAnsi="Times New Roman" w:eastAsia="宋体" w:cs="Times New Roman"/>
              <w:sz w:val="24"/>
              <w:szCs w:val="24"/>
              <w:highlight w:val="none"/>
              <w:lang w:val="en-US" w:eastAsia="zh-CN"/>
            </w:rPr>
            <w:t>5.2封场后环境影响分析</w:t>
          </w:r>
          <w:r>
            <w:rPr>
              <w:sz w:val="24"/>
              <w:szCs w:val="24"/>
            </w:rPr>
            <w:tab/>
          </w:r>
          <w:r>
            <w:rPr>
              <w:sz w:val="24"/>
              <w:szCs w:val="24"/>
            </w:rPr>
            <w:fldChar w:fldCharType="begin"/>
          </w:r>
          <w:r>
            <w:rPr>
              <w:sz w:val="24"/>
              <w:szCs w:val="24"/>
            </w:rPr>
            <w:instrText xml:space="preserve"> PAGEREF _Toc30019 \h </w:instrText>
          </w:r>
          <w:r>
            <w:rPr>
              <w:sz w:val="24"/>
              <w:szCs w:val="24"/>
            </w:rPr>
            <w:fldChar w:fldCharType="separate"/>
          </w:r>
          <w:r>
            <w:rPr>
              <w:sz w:val="24"/>
              <w:szCs w:val="24"/>
            </w:rPr>
            <w:t>146</w:t>
          </w:r>
          <w:r>
            <w:rPr>
              <w:sz w:val="24"/>
              <w:szCs w:val="24"/>
            </w:rPr>
            <w:fldChar w:fldCharType="end"/>
          </w:r>
          <w:r>
            <w:rPr>
              <w:sz w:val="24"/>
              <w:szCs w:val="24"/>
            </w:rPr>
            <w:fldChar w:fldCharType="end"/>
          </w:r>
        </w:p>
        <w:p w14:paraId="2AA7FD09">
          <w:pPr>
            <w:pStyle w:val="35"/>
            <w:tabs>
              <w:tab w:val="right" w:leader="dot" w:pos="9076"/>
            </w:tabs>
            <w:rPr>
              <w:b/>
              <w:bCs/>
              <w:sz w:val="24"/>
              <w:szCs w:val="24"/>
            </w:rPr>
          </w:pPr>
          <w:r>
            <w:rPr>
              <w:b/>
              <w:bCs/>
              <w:sz w:val="24"/>
              <w:szCs w:val="24"/>
            </w:rPr>
            <w:fldChar w:fldCharType="begin"/>
          </w:r>
          <w:r>
            <w:rPr>
              <w:b/>
              <w:bCs/>
              <w:sz w:val="24"/>
              <w:szCs w:val="24"/>
            </w:rPr>
            <w:instrText xml:space="preserve"> HYPERLINK \l _Toc32337 </w:instrText>
          </w:r>
          <w:r>
            <w:rPr>
              <w:b/>
              <w:bCs/>
              <w:sz w:val="24"/>
              <w:szCs w:val="24"/>
            </w:rPr>
            <w:fldChar w:fldCharType="separate"/>
          </w:r>
          <w:r>
            <w:rPr>
              <w:rFonts w:hint="eastAsia" w:cs="Times New Roman"/>
              <w:b/>
              <w:bCs/>
              <w:sz w:val="24"/>
              <w:szCs w:val="24"/>
              <w:highlight w:val="none"/>
              <w:lang w:val="en-US" w:eastAsia="zh-CN"/>
            </w:rPr>
            <w:t>6</w:t>
          </w:r>
          <w:r>
            <w:rPr>
              <w:rFonts w:hint="default" w:ascii="Times New Roman" w:hAnsi="Times New Roman" w:cs="Times New Roman"/>
              <w:b/>
              <w:bCs/>
              <w:sz w:val="24"/>
              <w:szCs w:val="24"/>
              <w:highlight w:val="none"/>
            </w:rPr>
            <w:t xml:space="preserve"> 环境风险评价</w:t>
          </w:r>
          <w:r>
            <w:rPr>
              <w:b/>
              <w:bCs/>
              <w:sz w:val="24"/>
              <w:szCs w:val="24"/>
            </w:rPr>
            <w:tab/>
          </w:r>
          <w:r>
            <w:rPr>
              <w:b/>
              <w:bCs/>
              <w:sz w:val="24"/>
              <w:szCs w:val="24"/>
            </w:rPr>
            <w:fldChar w:fldCharType="begin"/>
          </w:r>
          <w:r>
            <w:rPr>
              <w:b/>
              <w:bCs/>
              <w:sz w:val="24"/>
              <w:szCs w:val="24"/>
            </w:rPr>
            <w:instrText xml:space="preserve"> PAGEREF _Toc32337 \h </w:instrText>
          </w:r>
          <w:r>
            <w:rPr>
              <w:b/>
              <w:bCs/>
              <w:sz w:val="24"/>
              <w:szCs w:val="24"/>
            </w:rPr>
            <w:fldChar w:fldCharType="separate"/>
          </w:r>
          <w:r>
            <w:rPr>
              <w:b/>
              <w:bCs/>
              <w:sz w:val="24"/>
              <w:szCs w:val="24"/>
            </w:rPr>
            <w:t>158</w:t>
          </w:r>
          <w:r>
            <w:rPr>
              <w:b/>
              <w:bCs/>
              <w:sz w:val="24"/>
              <w:szCs w:val="24"/>
            </w:rPr>
            <w:fldChar w:fldCharType="end"/>
          </w:r>
          <w:r>
            <w:rPr>
              <w:b/>
              <w:bCs/>
              <w:sz w:val="24"/>
              <w:szCs w:val="24"/>
            </w:rPr>
            <w:fldChar w:fldCharType="end"/>
          </w:r>
        </w:p>
        <w:p w14:paraId="3A9CFE20">
          <w:pPr>
            <w:pStyle w:val="40"/>
            <w:tabs>
              <w:tab w:val="right" w:leader="dot" w:pos="9076"/>
            </w:tabs>
            <w:rPr>
              <w:sz w:val="24"/>
              <w:szCs w:val="24"/>
            </w:rPr>
          </w:pPr>
          <w:r>
            <w:rPr>
              <w:sz w:val="24"/>
              <w:szCs w:val="24"/>
            </w:rPr>
            <w:fldChar w:fldCharType="begin"/>
          </w:r>
          <w:r>
            <w:rPr>
              <w:sz w:val="24"/>
              <w:szCs w:val="24"/>
            </w:rPr>
            <w:instrText xml:space="preserve"> HYPERLINK \l _Toc4001 </w:instrText>
          </w:r>
          <w:r>
            <w:rPr>
              <w:sz w:val="24"/>
              <w:szCs w:val="24"/>
            </w:rPr>
            <w:fldChar w:fldCharType="separate"/>
          </w:r>
          <w:r>
            <w:rPr>
              <w:rFonts w:hint="eastAsia" w:ascii="Times New Roman" w:hAnsi="Times New Roman" w:eastAsia="宋体" w:cs="Times New Roman"/>
              <w:sz w:val="24"/>
              <w:szCs w:val="24"/>
              <w:highlight w:val="none"/>
              <w:lang w:val="en-US" w:eastAsia="zh-CN"/>
            </w:rPr>
            <w:t>6.1概述</w:t>
          </w:r>
          <w:r>
            <w:rPr>
              <w:sz w:val="24"/>
              <w:szCs w:val="24"/>
            </w:rPr>
            <w:tab/>
          </w:r>
          <w:r>
            <w:rPr>
              <w:sz w:val="24"/>
              <w:szCs w:val="24"/>
            </w:rPr>
            <w:fldChar w:fldCharType="begin"/>
          </w:r>
          <w:r>
            <w:rPr>
              <w:sz w:val="24"/>
              <w:szCs w:val="24"/>
            </w:rPr>
            <w:instrText xml:space="preserve"> PAGEREF _Toc4001 \h </w:instrText>
          </w:r>
          <w:r>
            <w:rPr>
              <w:sz w:val="24"/>
              <w:szCs w:val="24"/>
            </w:rPr>
            <w:fldChar w:fldCharType="separate"/>
          </w:r>
          <w:r>
            <w:rPr>
              <w:sz w:val="24"/>
              <w:szCs w:val="24"/>
            </w:rPr>
            <w:t>158</w:t>
          </w:r>
          <w:r>
            <w:rPr>
              <w:sz w:val="24"/>
              <w:szCs w:val="24"/>
            </w:rPr>
            <w:fldChar w:fldCharType="end"/>
          </w:r>
          <w:r>
            <w:rPr>
              <w:sz w:val="24"/>
              <w:szCs w:val="24"/>
            </w:rPr>
            <w:fldChar w:fldCharType="end"/>
          </w:r>
        </w:p>
        <w:p w14:paraId="7631218A">
          <w:pPr>
            <w:pStyle w:val="40"/>
            <w:tabs>
              <w:tab w:val="right" w:leader="dot" w:pos="9076"/>
            </w:tabs>
            <w:rPr>
              <w:sz w:val="24"/>
              <w:szCs w:val="24"/>
            </w:rPr>
          </w:pPr>
          <w:r>
            <w:rPr>
              <w:sz w:val="24"/>
              <w:szCs w:val="24"/>
            </w:rPr>
            <w:fldChar w:fldCharType="begin"/>
          </w:r>
          <w:r>
            <w:rPr>
              <w:sz w:val="24"/>
              <w:szCs w:val="24"/>
            </w:rPr>
            <w:instrText xml:space="preserve"> HYPERLINK \l _Toc16218 </w:instrText>
          </w:r>
          <w:r>
            <w:rPr>
              <w:sz w:val="24"/>
              <w:szCs w:val="24"/>
            </w:rPr>
            <w:fldChar w:fldCharType="separate"/>
          </w:r>
          <w:r>
            <w:rPr>
              <w:rFonts w:hint="eastAsia" w:ascii="Times New Roman" w:hAnsi="Times New Roman" w:eastAsia="宋体" w:cs="Times New Roman"/>
              <w:sz w:val="24"/>
              <w:szCs w:val="24"/>
              <w:highlight w:val="none"/>
              <w:lang w:val="en-US" w:eastAsia="zh-CN"/>
            </w:rPr>
            <w:t>6.2风险调查</w:t>
          </w:r>
          <w:r>
            <w:rPr>
              <w:sz w:val="24"/>
              <w:szCs w:val="24"/>
            </w:rPr>
            <w:tab/>
          </w:r>
          <w:r>
            <w:rPr>
              <w:sz w:val="24"/>
              <w:szCs w:val="24"/>
            </w:rPr>
            <w:fldChar w:fldCharType="begin"/>
          </w:r>
          <w:r>
            <w:rPr>
              <w:sz w:val="24"/>
              <w:szCs w:val="24"/>
            </w:rPr>
            <w:instrText xml:space="preserve"> PAGEREF _Toc16218 \h </w:instrText>
          </w:r>
          <w:r>
            <w:rPr>
              <w:sz w:val="24"/>
              <w:szCs w:val="24"/>
            </w:rPr>
            <w:fldChar w:fldCharType="separate"/>
          </w:r>
          <w:r>
            <w:rPr>
              <w:sz w:val="24"/>
              <w:szCs w:val="24"/>
            </w:rPr>
            <w:t>160</w:t>
          </w:r>
          <w:r>
            <w:rPr>
              <w:sz w:val="24"/>
              <w:szCs w:val="24"/>
            </w:rPr>
            <w:fldChar w:fldCharType="end"/>
          </w:r>
          <w:r>
            <w:rPr>
              <w:sz w:val="24"/>
              <w:szCs w:val="24"/>
            </w:rPr>
            <w:fldChar w:fldCharType="end"/>
          </w:r>
        </w:p>
        <w:p w14:paraId="2F566730">
          <w:pPr>
            <w:pStyle w:val="40"/>
            <w:tabs>
              <w:tab w:val="right" w:leader="dot" w:pos="9076"/>
            </w:tabs>
            <w:rPr>
              <w:sz w:val="24"/>
              <w:szCs w:val="24"/>
            </w:rPr>
          </w:pPr>
          <w:r>
            <w:rPr>
              <w:sz w:val="24"/>
              <w:szCs w:val="24"/>
            </w:rPr>
            <w:fldChar w:fldCharType="begin"/>
          </w:r>
          <w:r>
            <w:rPr>
              <w:sz w:val="24"/>
              <w:szCs w:val="24"/>
            </w:rPr>
            <w:instrText xml:space="preserve"> HYPERLINK \l _Toc29603 </w:instrText>
          </w:r>
          <w:r>
            <w:rPr>
              <w:sz w:val="24"/>
              <w:szCs w:val="24"/>
            </w:rPr>
            <w:fldChar w:fldCharType="separate"/>
          </w:r>
          <w:r>
            <w:rPr>
              <w:rFonts w:hint="eastAsia" w:ascii="Times New Roman" w:hAnsi="Times New Roman" w:eastAsia="宋体" w:cs="Times New Roman"/>
              <w:sz w:val="24"/>
              <w:szCs w:val="24"/>
              <w:highlight w:val="none"/>
              <w:lang w:val="en-US" w:eastAsia="zh-CN"/>
            </w:rPr>
            <w:t>6.3</w:t>
          </w:r>
          <w:r>
            <w:rPr>
              <w:rFonts w:hint="default" w:ascii="Times New Roman" w:hAnsi="Times New Roman" w:eastAsia="宋体" w:cs="Times New Roman"/>
              <w:sz w:val="24"/>
              <w:szCs w:val="24"/>
              <w:highlight w:val="none"/>
              <w:lang w:val="en-US" w:eastAsia="zh-CN"/>
            </w:rPr>
            <w:t>环境风险潜势初判</w:t>
          </w:r>
          <w:r>
            <w:rPr>
              <w:sz w:val="24"/>
              <w:szCs w:val="24"/>
            </w:rPr>
            <w:tab/>
          </w:r>
          <w:r>
            <w:rPr>
              <w:sz w:val="24"/>
              <w:szCs w:val="24"/>
            </w:rPr>
            <w:fldChar w:fldCharType="begin"/>
          </w:r>
          <w:r>
            <w:rPr>
              <w:sz w:val="24"/>
              <w:szCs w:val="24"/>
            </w:rPr>
            <w:instrText xml:space="preserve"> PAGEREF _Toc29603 \h </w:instrText>
          </w:r>
          <w:r>
            <w:rPr>
              <w:sz w:val="24"/>
              <w:szCs w:val="24"/>
            </w:rPr>
            <w:fldChar w:fldCharType="separate"/>
          </w:r>
          <w:r>
            <w:rPr>
              <w:sz w:val="24"/>
              <w:szCs w:val="24"/>
            </w:rPr>
            <w:t>160</w:t>
          </w:r>
          <w:r>
            <w:rPr>
              <w:sz w:val="24"/>
              <w:szCs w:val="24"/>
            </w:rPr>
            <w:fldChar w:fldCharType="end"/>
          </w:r>
          <w:r>
            <w:rPr>
              <w:sz w:val="24"/>
              <w:szCs w:val="24"/>
            </w:rPr>
            <w:fldChar w:fldCharType="end"/>
          </w:r>
        </w:p>
        <w:p w14:paraId="6246760A">
          <w:pPr>
            <w:pStyle w:val="40"/>
            <w:tabs>
              <w:tab w:val="right" w:leader="dot" w:pos="9076"/>
            </w:tabs>
            <w:rPr>
              <w:sz w:val="24"/>
              <w:szCs w:val="24"/>
            </w:rPr>
          </w:pPr>
          <w:r>
            <w:rPr>
              <w:sz w:val="24"/>
              <w:szCs w:val="24"/>
            </w:rPr>
            <w:fldChar w:fldCharType="begin"/>
          </w:r>
          <w:r>
            <w:rPr>
              <w:sz w:val="24"/>
              <w:szCs w:val="24"/>
            </w:rPr>
            <w:instrText xml:space="preserve"> HYPERLINK \l _Toc281 </w:instrText>
          </w:r>
          <w:r>
            <w:rPr>
              <w:sz w:val="24"/>
              <w:szCs w:val="24"/>
            </w:rPr>
            <w:fldChar w:fldCharType="separate"/>
          </w:r>
          <w:r>
            <w:rPr>
              <w:rFonts w:hint="eastAsia" w:ascii="Times New Roman" w:hAnsi="Times New Roman" w:eastAsia="宋体" w:cs="Times New Roman"/>
              <w:sz w:val="24"/>
              <w:szCs w:val="24"/>
              <w:highlight w:val="none"/>
              <w:lang w:val="en-US" w:eastAsia="zh-CN"/>
            </w:rPr>
            <w:t>6.4环境风险评价工作等级划分及评价范围</w:t>
          </w:r>
          <w:r>
            <w:rPr>
              <w:sz w:val="24"/>
              <w:szCs w:val="24"/>
            </w:rPr>
            <w:tab/>
          </w:r>
          <w:r>
            <w:rPr>
              <w:sz w:val="24"/>
              <w:szCs w:val="24"/>
            </w:rPr>
            <w:fldChar w:fldCharType="begin"/>
          </w:r>
          <w:r>
            <w:rPr>
              <w:sz w:val="24"/>
              <w:szCs w:val="24"/>
            </w:rPr>
            <w:instrText xml:space="preserve"> PAGEREF _Toc281 \h </w:instrText>
          </w:r>
          <w:r>
            <w:rPr>
              <w:sz w:val="24"/>
              <w:szCs w:val="24"/>
            </w:rPr>
            <w:fldChar w:fldCharType="separate"/>
          </w:r>
          <w:r>
            <w:rPr>
              <w:sz w:val="24"/>
              <w:szCs w:val="24"/>
            </w:rPr>
            <w:t>162</w:t>
          </w:r>
          <w:r>
            <w:rPr>
              <w:sz w:val="24"/>
              <w:szCs w:val="24"/>
            </w:rPr>
            <w:fldChar w:fldCharType="end"/>
          </w:r>
          <w:r>
            <w:rPr>
              <w:sz w:val="24"/>
              <w:szCs w:val="24"/>
            </w:rPr>
            <w:fldChar w:fldCharType="end"/>
          </w:r>
        </w:p>
        <w:p w14:paraId="41E61A4E">
          <w:pPr>
            <w:pStyle w:val="40"/>
            <w:tabs>
              <w:tab w:val="right" w:leader="dot" w:pos="9076"/>
            </w:tabs>
            <w:rPr>
              <w:sz w:val="24"/>
              <w:szCs w:val="24"/>
            </w:rPr>
          </w:pPr>
          <w:r>
            <w:rPr>
              <w:sz w:val="24"/>
              <w:szCs w:val="24"/>
            </w:rPr>
            <w:fldChar w:fldCharType="begin"/>
          </w:r>
          <w:r>
            <w:rPr>
              <w:sz w:val="24"/>
              <w:szCs w:val="24"/>
            </w:rPr>
            <w:instrText xml:space="preserve"> HYPERLINK \l _Toc15287 </w:instrText>
          </w:r>
          <w:r>
            <w:rPr>
              <w:sz w:val="24"/>
              <w:szCs w:val="24"/>
            </w:rPr>
            <w:fldChar w:fldCharType="separate"/>
          </w:r>
          <w:r>
            <w:rPr>
              <w:rFonts w:hint="eastAsia" w:ascii="Times New Roman" w:hAnsi="Times New Roman" w:eastAsia="宋体" w:cs="Times New Roman"/>
              <w:sz w:val="24"/>
              <w:szCs w:val="24"/>
              <w:highlight w:val="none"/>
              <w:lang w:val="en-US" w:eastAsia="zh-CN"/>
            </w:rPr>
            <w:t>6.5环境风险识别</w:t>
          </w:r>
          <w:r>
            <w:rPr>
              <w:sz w:val="24"/>
              <w:szCs w:val="24"/>
            </w:rPr>
            <w:tab/>
          </w:r>
          <w:r>
            <w:rPr>
              <w:sz w:val="24"/>
              <w:szCs w:val="24"/>
            </w:rPr>
            <w:fldChar w:fldCharType="begin"/>
          </w:r>
          <w:r>
            <w:rPr>
              <w:sz w:val="24"/>
              <w:szCs w:val="24"/>
            </w:rPr>
            <w:instrText xml:space="preserve"> PAGEREF _Toc15287 \h </w:instrText>
          </w:r>
          <w:r>
            <w:rPr>
              <w:sz w:val="24"/>
              <w:szCs w:val="24"/>
            </w:rPr>
            <w:fldChar w:fldCharType="separate"/>
          </w:r>
          <w:r>
            <w:rPr>
              <w:sz w:val="24"/>
              <w:szCs w:val="24"/>
            </w:rPr>
            <w:t>162</w:t>
          </w:r>
          <w:r>
            <w:rPr>
              <w:sz w:val="24"/>
              <w:szCs w:val="24"/>
            </w:rPr>
            <w:fldChar w:fldCharType="end"/>
          </w:r>
          <w:r>
            <w:rPr>
              <w:sz w:val="24"/>
              <w:szCs w:val="24"/>
            </w:rPr>
            <w:fldChar w:fldCharType="end"/>
          </w:r>
        </w:p>
        <w:p w14:paraId="1A36B89D">
          <w:pPr>
            <w:pStyle w:val="40"/>
            <w:tabs>
              <w:tab w:val="right" w:leader="dot" w:pos="9076"/>
            </w:tabs>
            <w:rPr>
              <w:sz w:val="24"/>
              <w:szCs w:val="24"/>
            </w:rPr>
          </w:pPr>
          <w:r>
            <w:rPr>
              <w:sz w:val="24"/>
              <w:szCs w:val="24"/>
            </w:rPr>
            <w:fldChar w:fldCharType="begin"/>
          </w:r>
          <w:r>
            <w:rPr>
              <w:sz w:val="24"/>
              <w:szCs w:val="24"/>
            </w:rPr>
            <w:instrText xml:space="preserve"> HYPERLINK \l _Toc32011 </w:instrText>
          </w:r>
          <w:r>
            <w:rPr>
              <w:sz w:val="24"/>
              <w:szCs w:val="24"/>
            </w:rPr>
            <w:fldChar w:fldCharType="separate"/>
          </w:r>
          <w:r>
            <w:rPr>
              <w:rFonts w:hint="eastAsia" w:ascii="Times New Roman" w:hAnsi="Times New Roman" w:eastAsia="宋体" w:cs="Times New Roman"/>
              <w:sz w:val="24"/>
              <w:szCs w:val="24"/>
              <w:highlight w:val="none"/>
              <w:lang w:val="en-US" w:eastAsia="zh-CN"/>
            </w:rPr>
            <w:t>6.6风险影响分析</w:t>
          </w:r>
          <w:r>
            <w:rPr>
              <w:sz w:val="24"/>
              <w:szCs w:val="24"/>
            </w:rPr>
            <w:tab/>
          </w:r>
          <w:r>
            <w:rPr>
              <w:sz w:val="24"/>
              <w:szCs w:val="24"/>
            </w:rPr>
            <w:fldChar w:fldCharType="begin"/>
          </w:r>
          <w:r>
            <w:rPr>
              <w:sz w:val="24"/>
              <w:szCs w:val="24"/>
            </w:rPr>
            <w:instrText xml:space="preserve"> PAGEREF _Toc32011 \h </w:instrText>
          </w:r>
          <w:r>
            <w:rPr>
              <w:sz w:val="24"/>
              <w:szCs w:val="24"/>
            </w:rPr>
            <w:fldChar w:fldCharType="separate"/>
          </w:r>
          <w:r>
            <w:rPr>
              <w:sz w:val="24"/>
              <w:szCs w:val="24"/>
            </w:rPr>
            <w:t>164</w:t>
          </w:r>
          <w:r>
            <w:rPr>
              <w:sz w:val="24"/>
              <w:szCs w:val="24"/>
            </w:rPr>
            <w:fldChar w:fldCharType="end"/>
          </w:r>
          <w:r>
            <w:rPr>
              <w:sz w:val="24"/>
              <w:szCs w:val="24"/>
            </w:rPr>
            <w:fldChar w:fldCharType="end"/>
          </w:r>
        </w:p>
        <w:p w14:paraId="2EE5CDDA">
          <w:pPr>
            <w:pStyle w:val="40"/>
            <w:tabs>
              <w:tab w:val="right" w:leader="dot" w:pos="9076"/>
            </w:tabs>
            <w:rPr>
              <w:sz w:val="24"/>
              <w:szCs w:val="24"/>
            </w:rPr>
          </w:pPr>
          <w:r>
            <w:rPr>
              <w:sz w:val="24"/>
              <w:szCs w:val="24"/>
            </w:rPr>
            <w:fldChar w:fldCharType="begin"/>
          </w:r>
          <w:r>
            <w:rPr>
              <w:sz w:val="24"/>
              <w:szCs w:val="24"/>
            </w:rPr>
            <w:instrText xml:space="preserve"> HYPERLINK \l _Toc22262 </w:instrText>
          </w:r>
          <w:r>
            <w:rPr>
              <w:sz w:val="24"/>
              <w:szCs w:val="24"/>
            </w:rPr>
            <w:fldChar w:fldCharType="separate"/>
          </w:r>
          <w:r>
            <w:rPr>
              <w:rFonts w:hint="eastAsia" w:ascii="Times New Roman" w:hAnsi="Times New Roman" w:eastAsia="宋体" w:cs="Times New Roman"/>
              <w:sz w:val="24"/>
              <w:szCs w:val="24"/>
              <w:highlight w:val="none"/>
              <w:lang w:val="en-US" w:eastAsia="zh-CN"/>
            </w:rPr>
            <w:t>6.7环境风险防范措施</w:t>
          </w:r>
          <w:r>
            <w:rPr>
              <w:sz w:val="24"/>
              <w:szCs w:val="24"/>
            </w:rPr>
            <w:tab/>
          </w:r>
          <w:r>
            <w:rPr>
              <w:sz w:val="24"/>
              <w:szCs w:val="24"/>
            </w:rPr>
            <w:fldChar w:fldCharType="begin"/>
          </w:r>
          <w:r>
            <w:rPr>
              <w:sz w:val="24"/>
              <w:szCs w:val="24"/>
            </w:rPr>
            <w:instrText xml:space="preserve"> PAGEREF _Toc22262 \h </w:instrText>
          </w:r>
          <w:r>
            <w:rPr>
              <w:sz w:val="24"/>
              <w:szCs w:val="24"/>
            </w:rPr>
            <w:fldChar w:fldCharType="separate"/>
          </w:r>
          <w:r>
            <w:rPr>
              <w:sz w:val="24"/>
              <w:szCs w:val="24"/>
            </w:rPr>
            <w:t>165</w:t>
          </w:r>
          <w:r>
            <w:rPr>
              <w:sz w:val="24"/>
              <w:szCs w:val="24"/>
            </w:rPr>
            <w:fldChar w:fldCharType="end"/>
          </w:r>
          <w:r>
            <w:rPr>
              <w:sz w:val="24"/>
              <w:szCs w:val="24"/>
            </w:rPr>
            <w:fldChar w:fldCharType="end"/>
          </w:r>
        </w:p>
        <w:p w14:paraId="2347AE99">
          <w:pPr>
            <w:pStyle w:val="40"/>
            <w:tabs>
              <w:tab w:val="right" w:leader="dot" w:pos="9076"/>
            </w:tabs>
            <w:rPr>
              <w:sz w:val="24"/>
              <w:szCs w:val="24"/>
            </w:rPr>
          </w:pPr>
          <w:r>
            <w:rPr>
              <w:sz w:val="24"/>
              <w:szCs w:val="24"/>
            </w:rPr>
            <w:fldChar w:fldCharType="begin"/>
          </w:r>
          <w:r>
            <w:rPr>
              <w:sz w:val="24"/>
              <w:szCs w:val="24"/>
            </w:rPr>
            <w:instrText xml:space="preserve"> HYPERLINK \l _Toc23344 </w:instrText>
          </w:r>
          <w:r>
            <w:rPr>
              <w:sz w:val="24"/>
              <w:szCs w:val="24"/>
            </w:rPr>
            <w:fldChar w:fldCharType="separate"/>
          </w:r>
          <w:r>
            <w:rPr>
              <w:rFonts w:hint="eastAsia" w:ascii="Times New Roman" w:hAnsi="Times New Roman" w:eastAsia="宋体" w:cs="Times New Roman"/>
              <w:sz w:val="24"/>
              <w:szCs w:val="24"/>
              <w:highlight w:val="none"/>
              <w:lang w:val="en-US" w:eastAsia="zh-CN"/>
            </w:rPr>
            <w:t>6.8应急预案</w:t>
          </w:r>
          <w:r>
            <w:rPr>
              <w:sz w:val="24"/>
              <w:szCs w:val="24"/>
            </w:rPr>
            <w:tab/>
          </w:r>
          <w:r>
            <w:rPr>
              <w:sz w:val="24"/>
              <w:szCs w:val="24"/>
            </w:rPr>
            <w:fldChar w:fldCharType="begin"/>
          </w:r>
          <w:r>
            <w:rPr>
              <w:sz w:val="24"/>
              <w:szCs w:val="24"/>
            </w:rPr>
            <w:instrText xml:space="preserve"> PAGEREF _Toc23344 \h </w:instrText>
          </w:r>
          <w:r>
            <w:rPr>
              <w:sz w:val="24"/>
              <w:szCs w:val="24"/>
            </w:rPr>
            <w:fldChar w:fldCharType="separate"/>
          </w:r>
          <w:r>
            <w:rPr>
              <w:sz w:val="24"/>
              <w:szCs w:val="24"/>
            </w:rPr>
            <w:t>168</w:t>
          </w:r>
          <w:r>
            <w:rPr>
              <w:sz w:val="24"/>
              <w:szCs w:val="24"/>
            </w:rPr>
            <w:fldChar w:fldCharType="end"/>
          </w:r>
          <w:r>
            <w:rPr>
              <w:sz w:val="24"/>
              <w:szCs w:val="24"/>
            </w:rPr>
            <w:fldChar w:fldCharType="end"/>
          </w:r>
        </w:p>
        <w:p w14:paraId="27C67E92">
          <w:pPr>
            <w:pStyle w:val="40"/>
            <w:tabs>
              <w:tab w:val="right" w:leader="dot" w:pos="9076"/>
            </w:tabs>
            <w:rPr>
              <w:sz w:val="24"/>
              <w:szCs w:val="24"/>
            </w:rPr>
          </w:pPr>
          <w:r>
            <w:rPr>
              <w:sz w:val="24"/>
              <w:szCs w:val="24"/>
            </w:rPr>
            <w:fldChar w:fldCharType="begin"/>
          </w:r>
          <w:r>
            <w:rPr>
              <w:sz w:val="24"/>
              <w:szCs w:val="24"/>
            </w:rPr>
            <w:instrText xml:space="preserve"> HYPERLINK \l _Toc5507 </w:instrText>
          </w:r>
          <w:r>
            <w:rPr>
              <w:sz w:val="24"/>
              <w:szCs w:val="24"/>
            </w:rPr>
            <w:fldChar w:fldCharType="separate"/>
          </w:r>
          <w:r>
            <w:rPr>
              <w:rFonts w:hint="eastAsia" w:ascii="Times New Roman" w:hAnsi="Times New Roman" w:eastAsia="宋体" w:cs="Times New Roman"/>
              <w:sz w:val="24"/>
              <w:szCs w:val="24"/>
              <w:highlight w:val="none"/>
              <w:lang w:val="en-US" w:eastAsia="zh-CN"/>
            </w:rPr>
            <w:t>6.9结论</w:t>
          </w:r>
          <w:r>
            <w:rPr>
              <w:sz w:val="24"/>
              <w:szCs w:val="24"/>
            </w:rPr>
            <w:tab/>
          </w:r>
          <w:r>
            <w:rPr>
              <w:sz w:val="24"/>
              <w:szCs w:val="24"/>
            </w:rPr>
            <w:fldChar w:fldCharType="begin"/>
          </w:r>
          <w:r>
            <w:rPr>
              <w:sz w:val="24"/>
              <w:szCs w:val="24"/>
            </w:rPr>
            <w:instrText xml:space="preserve"> PAGEREF _Toc5507 \h </w:instrText>
          </w:r>
          <w:r>
            <w:rPr>
              <w:sz w:val="24"/>
              <w:szCs w:val="24"/>
            </w:rPr>
            <w:fldChar w:fldCharType="separate"/>
          </w:r>
          <w:r>
            <w:rPr>
              <w:sz w:val="24"/>
              <w:szCs w:val="24"/>
            </w:rPr>
            <w:t>169</w:t>
          </w:r>
          <w:r>
            <w:rPr>
              <w:sz w:val="24"/>
              <w:szCs w:val="24"/>
            </w:rPr>
            <w:fldChar w:fldCharType="end"/>
          </w:r>
          <w:r>
            <w:rPr>
              <w:sz w:val="24"/>
              <w:szCs w:val="24"/>
            </w:rPr>
            <w:fldChar w:fldCharType="end"/>
          </w:r>
        </w:p>
        <w:p w14:paraId="5ACEA3A5">
          <w:pPr>
            <w:pStyle w:val="35"/>
            <w:tabs>
              <w:tab w:val="right" w:leader="dot" w:pos="9076"/>
            </w:tabs>
            <w:rPr>
              <w:b/>
              <w:bCs/>
              <w:sz w:val="24"/>
              <w:szCs w:val="24"/>
            </w:rPr>
          </w:pPr>
          <w:r>
            <w:rPr>
              <w:b/>
              <w:bCs/>
              <w:sz w:val="24"/>
              <w:szCs w:val="24"/>
            </w:rPr>
            <w:fldChar w:fldCharType="begin"/>
          </w:r>
          <w:r>
            <w:rPr>
              <w:b/>
              <w:bCs/>
              <w:sz w:val="24"/>
              <w:szCs w:val="24"/>
            </w:rPr>
            <w:instrText xml:space="preserve"> HYPERLINK \l _Toc23224 </w:instrText>
          </w:r>
          <w:r>
            <w:rPr>
              <w:b/>
              <w:bCs/>
              <w:sz w:val="24"/>
              <w:szCs w:val="24"/>
            </w:rPr>
            <w:fldChar w:fldCharType="separate"/>
          </w:r>
          <w:r>
            <w:rPr>
              <w:rFonts w:hint="eastAsia" w:cs="Times New Roman"/>
              <w:b/>
              <w:bCs/>
              <w:sz w:val="24"/>
              <w:szCs w:val="24"/>
              <w:highlight w:val="none"/>
              <w:lang w:val="en-US" w:eastAsia="zh-CN"/>
            </w:rPr>
            <w:t>7</w:t>
          </w:r>
          <w:r>
            <w:rPr>
              <w:rFonts w:hint="default" w:ascii="Times New Roman" w:hAnsi="Times New Roman" w:eastAsia="宋体" w:cs="Times New Roman"/>
              <w:b/>
              <w:bCs/>
              <w:sz w:val="24"/>
              <w:szCs w:val="24"/>
              <w:highlight w:val="none"/>
            </w:rPr>
            <w:t xml:space="preserve"> 环境保护措施及其经济技术可行性分析</w:t>
          </w:r>
          <w:r>
            <w:rPr>
              <w:b/>
              <w:bCs/>
              <w:sz w:val="24"/>
              <w:szCs w:val="24"/>
            </w:rPr>
            <w:tab/>
          </w:r>
          <w:r>
            <w:rPr>
              <w:b/>
              <w:bCs/>
              <w:sz w:val="24"/>
              <w:szCs w:val="24"/>
            </w:rPr>
            <w:fldChar w:fldCharType="begin"/>
          </w:r>
          <w:r>
            <w:rPr>
              <w:b/>
              <w:bCs/>
              <w:sz w:val="24"/>
              <w:szCs w:val="24"/>
            </w:rPr>
            <w:instrText xml:space="preserve"> PAGEREF _Toc23224 \h </w:instrText>
          </w:r>
          <w:r>
            <w:rPr>
              <w:b/>
              <w:bCs/>
              <w:sz w:val="24"/>
              <w:szCs w:val="24"/>
            </w:rPr>
            <w:fldChar w:fldCharType="separate"/>
          </w:r>
          <w:r>
            <w:rPr>
              <w:b/>
              <w:bCs/>
              <w:sz w:val="24"/>
              <w:szCs w:val="24"/>
            </w:rPr>
            <w:t>170</w:t>
          </w:r>
          <w:r>
            <w:rPr>
              <w:b/>
              <w:bCs/>
              <w:sz w:val="24"/>
              <w:szCs w:val="24"/>
            </w:rPr>
            <w:fldChar w:fldCharType="end"/>
          </w:r>
          <w:r>
            <w:rPr>
              <w:b/>
              <w:bCs/>
              <w:sz w:val="24"/>
              <w:szCs w:val="24"/>
            </w:rPr>
            <w:fldChar w:fldCharType="end"/>
          </w:r>
        </w:p>
        <w:p w14:paraId="51ED97D0">
          <w:pPr>
            <w:pStyle w:val="40"/>
            <w:tabs>
              <w:tab w:val="right" w:leader="dot" w:pos="9076"/>
            </w:tabs>
            <w:rPr>
              <w:sz w:val="24"/>
              <w:szCs w:val="24"/>
            </w:rPr>
          </w:pPr>
          <w:r>
            <w:rPr>
              <w:sz w:val="24"/>
              <w:szCs w:val="24"/>
            </w:rPr>
            <w:fldChar w:fldCharType="begin"/>
          </w:r>
          <w:r>
            <w:rPr>
              <w:sz w:val="24"/>
              <w:szCs w:val="24"/>
            </w:rPr>
            <w:instrText xml:space="preserve"> HYPERLINK \l _Toc4862 </w:instrText>
          </w:r>
          <w:r>
            <w:rPr>
              <w:sz w:val="24"/>
              <w:szCs w:val="24"/>
            </w:rPr>
            <w:fldChar w:fldCharType="separate"/>
          </w:r>
          <w:r>
            <w:rPr>
              <w:rFonts w:hint="eastAsia" w:ascii="Times New Roman" w:hAnsi="Times New Roman" w:eastAsia="宋体" w:cs="Times New Roman"/>
              <w:sz w:val="24"/>
              <w:szCs w:val="24"/>
              <w:highlight w:val="none"/>
              <w:lang w:val="en-US" w:eastAsia="zh-CN"/>
            </w:rPr>
            <w:t>7</w:t>
          </w:r>
          <w:r>
            <w:rPr>
              <w:rFonts w:hint="default" w:ascii="Times New Roman" w:hAnsi="Times New Roman" w:eastAsia="宋体" w:cs="Times New Roman"/>
              <w:sz w:val="24"/>
              <w:szCs w:val="24"/>
              <w:highlight w:val="none"/>
              <w:lang w:val="en-US"/>
            </w:rPr>
            <w:t>.</w:t>
          </w:r>
          <w:r>
            <w:rPr>
              <w:rFonts w:hint="eastAsia" w:ascii="Times New Roman" w:hAnsi="Times New Roman" w:eastAsia="宋体" w:cs="Times New Roman"/>
              <w:sz w:val="24"/>
              <w:szCs w:val="24"/>
              <w:highlight w:val="none"/>
              <w:lang w:val="en-US" w:eastAsia="zh-CN"/>
            </w:rPr>
            <w:t>1施工期</w:t>
          </w:r>
          <w:r>
            <w:rPr>
              <w:rFonts w:hint="default" w:ascii="Times New Roman" w:hAnsi="Times New Roman" w:eastAsia="宋体" w:cs="Times New Roman"/>
              <w:sz w:val="24"/>
              <w:szCs w:val="24"/>
              <w:highlight w:val="none"/>
              <w:lang w:val="en-US"/>
            </w:rPr>
            <w:t>污染防治措施及可行性分析</w:t>
          </w:r>
          <w:r>
            <w:rPr>
              <w:sz w:val="24"/>
              <w:szCs w:val="24"/>
            </w:rPr>
            <w:tab/>
          </w:r>
          <w:r>
            <w:rPr>
              <w:sz w:val="24"/>
              <w:szCs w:val="24"/>
            </w:rPr>
            <w:fldChar w:fldCharType="begin"/>
          </w:r>
          <w:r>
            <w:rPr>
              <w:sz w:val="24"/>
              <w:szCs w:val="24"/>
            </w:rPr>
            <w:instrText xml:space="preserve"> PAGEREF _Toc4862 \h </w:instrText>
          </w:r>
          <w:r>
            <w:rPr>
              <w:sz w:val="24"/>
              <w:szCs w:val="24"/>
            </w:rPr>
            <w:fldChar w:fldCharType="separate"/>
          </w:r>
          <w:r>
            <w:rPr>
              <w:sz w:val="24"/>
              <w:szCs w:val="24"/>
            </w:rPr>
            <w:t>170</w:t>
          </w:r>
          <w:r>
            <w:rPr>
              <w:sz w:val="24"/>
              <w:szCs w:val="24"/>
            </w:rPr>
            <w:fldChar w:fldCharType="end"/>
          </w:r>
          <w:r>
            <w:rPr>
              <w:sz w:val="24"/>
              <w:szCs w:val="24"/>
            </w:rPr>
            <w:fldChar w:fldCharType="end"/>
          </w:r>
        </w:p>
        <w:p w14:paraId="25E7C117">
          <w:pPr>
            <w:pStyle w:val="40"/>
            <w:tabs>
              <w:tab w:val="right" w:leader="dot" w:pos="9076"/>
            </w:tabs>
            <w:rPr>
              <w:sz w:val="24"/>
              <w:szCs w:val="24"/>
            </w:rPr>
          </w:pPr>
          <w:r>
            <w:rPr>
              <w:sz w:val="24"/>
              <w:szCs w:val="24"/>
            </w:rPr>
            <w:fldChar w:fldCharType="begin"/>
          </w:r>
          <w:r>
            <w:rPr>
              <w:sz w:val="24"/>
              <w:szCs w:val="24"/>
            </w:rPr>
            <w:instrText xml:space="preserve"> HYPERLINK \l _Toc25901 </w:instrText>
          </w:r>
          <w:r>
            <w:rPr>
              <w:sz w:val="24"/>
              <w:szCs w:val="24"/>
            </w:rPr>
            <w:fldChar w:fldCharType="separate"/>
          </w:r>
          <w:r>
            <w:rPr>
              <w:rFonts w:hint="eastAsia" w:ascii="Times New Roman" w:hAnsi="Times New Roman" w:eastAsia="宋体" w:cs="Times New Roman"/>
              <w:sz w:val="24"/>
              <w:szCs w:val="24"/>
              <w:highlight w:val="none"/>
              <w:lang w:val="en-US" w:eastAsia="zh-CN"/>
            </w:rPr>
            <w:t>7.2封场后环境保护措施</w:t>
          </w:r>
          <w:r>
            <w:rPr>
              <w:sz w:val="24"/>
              <w:szCs w:val="24"/>
            </w:rPr>
            <w:tab/>
          </w:r>
          <w:r>
            <w:rPr>
              <w:sz w:val="24"/>
              <w:szCs w:val="24"/>
            </w:rPr>
            <w:fldChar w:fldCharType="begin"/>
          </w:r>
          <w:r>
            <w:rPr>
              <w:sz w:val="24"/>
              <w:szCs w:val="24"/>
            </w:rPr>
            <w:instrText xml:space="preserve"> PAGEREF _Toc25901 \h </w:instrText>
          </w:r>
          <w:r>
            <w:rPr>
              <w:sz w:val="24"/>
              <w:szCs w:val="24"/>
            </w:rPr>
            <w:fldChar w:fldCharType="separate"/>
          </w:r>
          <w:r>
            <w:rPr>
              <w:sz w:val="24"/>
              <w:szCs w:val="24"/>
            </w:rPr>
            <w:t>177</w:t>
          </w:r>
          <w:r>
            <w:rPr>
              <w:sz w:val="24"/>
              <w:szCs w:val="24"/>
            </w:rPr>
            <w:fldChar w:fldCharType="end"/>
          </w:r>
          <w:r>
            <w:rPr>
              <w:sz w:val="24"/>
              <w:szCs w:val="24"/>
            </w:rPr>
            <w:fldChar w:fldCharType="end"/>
          </w:r>
        </w:p>
        <w:p w14:paraId="27EAF609">
          <w:pPr>
            <w:pStyle w:val="35"/>
            <w:tabs>
              <w:tab w:val="right" w:leader="dot" w:pos="9076"/>
            </w:tabs>
            <w:rPr>
              <w:b/>
              <w:bCs/>
              <w:sz w:val="24"/>
              <w:szCs w:val="24"/>
            </w:rPr>
          </w:pPr>
          <w:r>
            <w:rPr>
              <w:b/>
              <w:bCs/>
              <w:sz w:val="24"/>
              <w:szCs w:val="24"/>
            </w:rPr>
            <w:fldChar w:fldCharType="begin"/>
          </w:r>
          <w:r>
            <w:rPr>
              <w:b/>
              <w:bCs/>
              <w:sz w:val="24"/>
              <w:szCs w:val="24"/>
            </w:rPr>
            <w:instrText xml:space="preserve"> HYPERLINK \l _Toc1419 </w:instrText>
          </w:r>
          <w:r>
            <w:rPr>
              <w:b/>
              <w:bCs/>
              <w:sz w:val="24"/>
              <w:szCs w:val="24"/>
            </w:rPr>
            <w:fldChar w:fldCharType="separate"/>
          </w:r>
          <w:r>
            <w:rPr>
              <w:rFonts w:hint="eastAsia" w:cs="Times New Roman"/>
              <w:b/>
              <w:bCs/>
              <w:sz w:val="24"/>
              <w:szCs w:val="24"/>
              <w:highlight w:val="none"/>
              <w:lang w:val="en-US" w:eastAsia="zh-CN"/>
            </w:rPr>
            <w:t>8</w:t>
          </w:r>
          <w:r>
            <w:rPr>
              <w:rFonts w:hint="default" w:ascii="Times New Roman" w:hAnsi="Times New Roman" w:eastAsia="宋体" w:cs="Times New Roman"/>
              <w:b/>
              <w:bCs/>
              <w:sz w:val="24"/>
              <w:szCs w:val="24"/>
              <w:highlight w:val="none"/>
            </w:rPr>
            <w:t xml:space="preserve"> 环境影响经济损益分析</w:t>
          </w:r>
          <w:r>
            <w:rPr>
              <w:b/>
              <w:bCs/>
              <w:sz w:val="24"/>
              <w:szCs w:val="24"/>
            </w:rPr>
            <w:tab/>
          </w:r>
          <w:r>
            <w:rPr>
              <w:b/>
              <w:bCs/>
              <w:sz w:val="24"/>
              <w:szCs w:val="24"/>
            </w:rPr>
            <w:fldChar w:fldCharType="begin"/>
          </w:r>
          <w:r>
            <w:rPr>
              <w:b/>
              <w:bCs/>
              <w:sz w:val="24"/>
              <w:szCs w:val="24"/>
            </w:rPr>
            <w:instrText xml:space="preserve"> PAGEREF _Toc1419 \h </w:instrText>
          </w:r>
          <w:r>
            <w:rPr>
              <w:b/>
              <w:bCs/>
              <w:sz w:val="24"/>
              <w:szCs w:val="24"/>
            </w:rPr>
            <w:fldChar w:fldCharType="separate"/>
          </w:r>
          <w:r>
            <w:rPr>
              <w:b/>
              <w:bCs/>
              <w:sz w:val="24"/>
              <w:szCs w:val="24"/>
            </w:rPr>
            <w:t>188</w:t>
          </w:r>
          <w:r>
            <w:rPr>
              <w:b/>
              <w:bCs/>
              <w:sz w:val="24"/>
              <w:szCs w:val="24"/>
            </w:rPr>
            <w:fldChar w:fldCharType="end"/>
          </w:r>
          <w:r>
            <w:rPr>
              <w:b/>
              <w:bCs/>
              <w:sz w:val="24"/>
              <w:szCs w:val="24"/>
            </w:rPr>
            <w:fldChar w:fldCharType="end"/>
          </w:r>
        </w:p>
        <w:p w14:paraId="23D37119">
          <w:pPr>
            <w:pStyle w:val="40"/>
            <w:tabs>
              <w:tab w:val="right" w:leader="dot" w:pos="9076"/>
            </w:tabs>
            <w:rPr>
              <w:sz w:val="24"/>
              <w:szCs w:val="24"/>
            </w:rPr>
          </w:pPr>
          <w:r>
            <w:rPr>
              <w:sz w:val="24"/>
              <w:szCs w:val="24"/>
            </w:rPr>
            <w:fldChar w:fldCharType="begin"/>
          </w:r>
          <w:r>
            <w:rPr>
              <w:sz w:val="24"/>
              <w:szCs w:val="24"/>
            </w:rPr>
            <w:instrText xml:space="preserve"> HYPERLINK \l _Toc2012 </w:instrText>
          </w:r>
          <w:r>
            <w:rPr>
              <w:sz w:val="24"/>
              <w:szCs w:val="24"/>
            </w:rPr>
            <w:fldChar w:fldCharType="separate"/>
          </w:r>
          <w:r>
            <w:rPr>
              <w:rFonts w:hint="eastAsia" w:ascii="Times New Roman" w:hAnsi="Times New Roman" w:eastAsia="宋体" w:cs="Times New Roman"/>
              <w:sz w:val="24"/>
              <w:szCs w:val="24"/>
              <w:highlight w:val="none"/>
              <w:lang w:val="en-US" w:eastAsia="zh-CN"/>
            </w:rPr>
            <w:t>8</w:t>
          </w:r>
          <w:r>
            <w:rPr>
              <w:rFonts w:hint="default" w:ascii="Times New Roman" w:hAnsi="Times New Roman" w:eastAsia="宋体" w:cs="Times New Roman"/>
              <w:sz w:val="24"/>
              <w:szCs w:val="24"/>
              <w:highlight w:val="none"/>
              <w:lang w:val="en-US"/>
            </w:rPr>
            <w:t>.1</w:t>
          </w:r>
          <w:r>
            <w:rPr>
              <w:rFonts w:hint="default" w:ascii="Times New Roman" w:hAnsi="Times New Roman" w:eastAsia="宋体" w:cs="Times New Roman"/>
              <w:sz w:val="24"/>
              <w:szCs w:val="24"/>
              <w:highlight w:val="none"/>
              <w:lang w:val="en-US" w:eastAsia="zh-CN"/>
            </w:rPr>
            <w:t>项目环保投资情况</w:t>
          </w:r>
          <w:r>
            <w:rPr>
              <w:sz w:val="24"/>
              <w:szCs w:val="24"/>
            </w:rPr>
            <w:tab/>
          </w:r>
          <w:r>
            <w:rPr>
              <w:sz w:val="24"/>
              <w:szCs w:val="24"/>
            </w:rPr>
            <w:fldChar w:fldCharType="begin"/>
          </w:r>
          <w:r>
            <w:rPr>
              <w:sz w:val="24"/>
              <w:szCs w:val="24"/>
            </w:rPr>
            <w:instrText xml:space="preserve"> PAGEREF _Toc2012 \h </w:instrText>
          </w:r>
          <w:r>
            <w:rPr>
              <w:sz w:val="24"/>
              <w:szCs w:val="24"/>
            </w:rPr>
            <w:fldChar w:fldCharType="separate"/>
          </w:r>
          <w:r>
            <w:rPr>
              <w:sz w:val="24"/>
              <w:szCs w:val="24"/>
            </w:rPr>
            <w:t>188</w:t>
          </w:r>
          <w:r>
            <w:rPr>
              <w:sz w:val="24"/>
              <w:szCs w:val="24"/>
            </w:rPr>
            <w:fldChar w:fldCharType="end"/>
          </w:r>
          <w:r>
            <w:rPr>
              <w:sz w:val="24"/>
              <w:szCs w:val="24"/>
            </w:rPr>
            <w:fldChar w:fldCharType="end"/>
          </w:r>
        </w:p>
        <w:p w14:paraId="00754AB7">
          <w:pPr>
            <w:pStyle w:val="40"/>
            <w:tabs>
              <w:tab w:val="right" w:leader="dot" w:pos="9076"/>
            </w:tabs>
            <w:rPr>
              <w:sz w:val="24"/>
              <w:szCs w:val="24"/>
            </w:rPr>
          </w:pPr>
          <w:r>
            <w:rPr>
              <w:sz w:val="24"/>
              <w:szCs w:val="24"/>
            </w:rPr>
            <w:fldChar w:fldCharType="begin"/>
          </w:r>
          <w:r>
            <w:rPr>
              <w:sz w:val="24"/>
              <w:szCs w:val="24"/>
            </w:rPr>
            <w:instrText xml:space="preserve"> HYPERLINK \l _Toc7706 </w:instrText>
          </w:r>
          <w:r>
            <w:rPr>
              <w:sz w:val="24"/>
              <w:szCs w:val="24"/>
            </w:rPr>
            <w:fldChar w:fldCharType="separate"/>
          </w:r>
          <w:r>
            <w:rPr>
              <w:rFonts w:hint="eastAsia" w:ascii="Times New Roman" w:hAnsi="Times New Roman" w:eastAsia="宋体" w:cs="Times New Roman"/>
              <w:sz w:val="24"/>
              <w:szCs w:val="24"/>
              <w:highlight w:val="none"/>
              <w:lang w:val="en-US" w:eastAsia="zh-CN"/>
            </w:rPr>
            <w:t>8</w:t>
          </w:r>
          <w:r>
            <w:rPr>
              <w:rFonts w:hint="default" w:ascii="Times New Roman" w:hAnsi="Times New Roman" w:eastAsia="宋体" w:cs="Times New Roman"/>
              <w:sz w:val="24"/>
              <w:szCs w:val="24"/>
              <w:highlight w:val="none"/>
              <w:lang w:val="en-US"/>
            </w:rPr>
            <w:t>.</w:t>
          </w:r>
          <w:r>
            <w:rPr>
              <w:rFonts w:hint="default" w:ascii="Times New Roman" w:hAnsi="Times New Roman" w:eastAsia="宋体" w:cs="Times New Roman"/>
              <w:sz w:val="24"/>
              <w:szCs w:val="24"/>
              <w:highlight w:val="none"/>
              <w:lang w:val="en-US" w:eastAsia="zh-CN"/>
            </w:rPr>
            <w:t>2环境影响经济损益分析</w:t>
          </w:r>
          <w:r>
            <w:rPr>
              <w:sz w:val="24"/>
              <w:szCs w:val="24"/>
            </w:rPr>
            <w:tab/>
          </w:r>
          <w:r>
            <w:rPr>
              <w:sz w:val="24"/>
              <w:szCs w:val="24"/>
            </w:rPr>
            <w:fldChar w:fldCharType="begin"/>
          </w:r>
          <w:r>
            <w:rPr>
              <w:sz w:val="24"/>
              <w:szCs w:val="24"/>
            </w:rPr>
            <w:instrText xml:space="preserve"> PAGEREF _Toc7706 \h </w:instrText>
          </w:r>
          <w:r>
            <w:rPr>
              <w:sz w:val="24"/>
              <w:szCs w:val="24"/>
            </w:rPr>
            <w:fldChar w:fldCharType="separate"/>
          </w:r>
          <w:r>
            <w:rPr>
              <w:sz w:val="24"/>
              <w:szCs w:val="24"/>
            </w:rPr>
            <w:t>188</w:t>
          </w:r>
          <w:r>
            <w:rPr>
              <w:sz w:val="24"/>
              <w:szCs w:val="24"/>
            </w:rPr>
            <w:fldChar w:fldCharType="end"/>
          </w:r>
          <w:r>
            <w:rPr>
              <w:sz w:val="24"/>
              <w:szCs w:val="24"/>
            </w:rPr>
            <w:fldChar w:fldCharType="end"/>
          </w:r>
        </w:p>
        <w:p w14:paraId="1FE800F0">
          <w:pPr>
            <w:pStyle w:val="40"/>
            <w:tabs>
              <w:tab w:val="right" w:leader="dot" w:pos="9076"/>
            </w:tabs>
            <w:rPr>
              <w:sz w:val="24"/>
              <w:szCs w:val="24"/>
            </w:rPr>
          </w:pPr>
          <w:r>
            <w:rPr>
              <w:sz w:val="24"/>
              <w:szCs w:val="24"/>
            </w:rPr>
            <w:fldChar w:fldCharType="begin"/>
          </w:r>
          <w:r>
            <w:rPr>
              <w:sz w:val="24"/>
              <w:szCs w:val="24"/>
            </w:rPr>
            <w:instrText xml:space="preserve"> HYPERLINK \l _Toc28036 </w:instrText>
          </w:r>
          <w:r>
            <w:rPr>
              <w:sz w:val="24"/>
              <w:szCs w:val="24"/>
            </w:rPr>
            <w:fldChar w:fldCharType="separate"/>
          </w:r>
          <w:r>
            <w:rPr>
              <w:rFonts w:hint="eastAsia" w:ascii="Times New Roman" w:hAnsi="Times New Roman" w:eastAsia="宋体" w:cs="Times New Roman"/>
              <w:sz w:val="24"/>
              <w:szCs w:val="24"/>
              <w:highlight w:val="none"/>
              <w:lang w:val="en-US" w:eastAsia="zh-CN"/>
            </w:rPr>
            <w:t>8.3</w:t>
          </w:r>
          <w:r>
            <w:rPr>
              <w:rFonts w:hint="eastAsia" w:ascii="Times New Roman" w:hAnsi="Times New Roman" w:eastAsia="宋体" w:cs="Times New Roman"/>
              <w:sz w:val="24"/>
              <w:szCs w:val="24"/>
              <w:highlight w:val="none"/>
              <w:lang w:val="en-US"/>
            </w:rPr>
            <w:t>结论</w:t>
          </w:r>
          <w:r>
            <w:rPr>
              <w:sz w:val="24"/>
              <w:szCs w:val="24"/>
            </w:rPr>
            <w:tab/>
          </w:r>
          <w:r>
            <w:rPr>
              <w:sz w:val="24"/>
              <w:szCs w:val="24"/>
            </w:rPr>
            <w:fldChar w:fldCharType="begin"/>
          </w:r>
          <w:r>
            <w:rPr>
              <w:sz w:val="24"/>
              <w:szCs w:val="24"/>
            </w:rPr>
            <w:instrText xml:space="preserve"> PAGEREF _Toc28036 \h </w:instrText>
          </w:r>
          <w:r>
            <w:rPr>
              <w:sz w:val="24"/>
              <w:szCs w:val="24"/>
            </w:rPr>
            <w:fldChar w:fldCharType="separate"/>
          </w:r>
          <w:r>
            <w:rPr>
              <w:sz w:val="24"/>
              <w:szCs w:val="24"/>
            </w:rPr>
            <w:t>190</w:t>
          </w:r>
          <w:r>
            <w:rPr>
              <w:sz w:val="24"/>
              <w:szCs w:val="24"/>
            </w:rPr>
            <w:fldChar w:fldCharType="end"/>
          </w:r>
          <w:r>
            <w:rPr>
              <w:sz w:val="24"/>
              <w:szCs w:val="24"/>
            </w:rPr>
            <w:fldChar w:fldCharType="end"/>
          </w:r>
        </w:p>
        <w:p w14:paraId="2ED6979A">
          <w:pPr>
            <w:pStyle w:val="35"/>
            <w:tabs>
              <w:tab w:val="right" w:leader="dot" w:pos="9076"/>
            </w:tabs>
            <w:rPr>
              <w:b/>
              <w:bCs/>
              <w:sz w:val="24"/>
              <w:szCs w:val="24"/>
            </w:rPr>
          </w:pPr>
          <w:r>
            <w:rPr>
              <w:b/>
              <w:bCs/>
              <w:sz w:val="24"/>
              <w:szCs w:val="24"/>
            </w:rPr>
            <w:fldChar w:fldCharType="begin"/>
          </w:r>
          <w:r>
            <w:rPr>
              <w:b/>
              <w:bCs/>
              <w:sz w:val="24"/>
              <w:szCs w:val="24"/>
            </w:rPr>
            <w:instrText xml:space="preserve"> HYPERLINK \l _Toc19401 </w:instrText>
          </w:r>
          <w:r>
            <w:rPr>
              <w:b/>
              <w:bCs/>
              <w:sz w:val="24"/>
              <w:szCs w:val="24"/>
            </w:rPr>
            <w:fldChar w:fldCharType="separate"/>
          </w:r>
          <w:r>
            <w:rPr>
              <w:rFonts w:hint="eastAsia" w:cs="Times New Roman"/>
              <w:b/>
              <w:bCs/>
              <w:sz w:val="24"/>
              <w:szCs w:val="24"/>
              <w:highlight w:val="none"/>
              <w:lang w:val="en-US" w:eastAsia="zh-CN"/>
            </w:rPr>
            <w:t>9</w:t>
          </w:r>
          <w:r>
            <w:rPr>
              <w:rFonts w:hint="default" w:ascii="Times New Roman" w:hAnsi="Times New Roman" w:cs="Times New Roman"/>
              <w:b/>
              <w:bCs/>
              <w:sz w:val="24"/>
              <w:szCs w:val="24"/>
              <w:highlight w:val="none"/>
            </w:rPr>
            <w:t xml:space="preserve"> 环境管理与监测计划</w:t>
          </w:r>
          <w:r>
            <w:rPr>
              <w:b/>
              <w:bCs/>
              <w:sz w:val="24"/>
              <w:szCs w:val="24"/>
            </w:rPr>
            <w:tab/>
          </w:r>
          <w:r>
            <w:rPr>
              <w:b/>
              <w:bCs/>
              <w:sz w:val="24"/>
              <w:szCs w:val="24"/>
            </w:rPr>
            <w:fldChar w:fldCharType="begin"/>
          </w:r>
          <w:r>
            <w:rPr>
              <w:b/>
              <w:bCs/>
              <w:sz w:val="24"/>
              <w:szCs w:val="24"/>
            </w:rPr>
            <w:instrText xml:space="preserve"> PAGEREF _Toc19401 \h </w:instrText>
          </w:r>
          <w:r>
            <w:rPr>
              <w:b/>
              <w:bCs/>
              <w:sz w:val="24"/>
              <w:szCs w:val="24"/>
            </w:rPr>
            <w:fldChar w:fldCharType="separate"/>
          </w:r>
          <w:r>
            <w:rPr>
              <w:b/>
              <w:bCs/>
              <w:sz w:val="24"/>
              <w:szCs w:val="24"/>
            </w:rPr>
            <w:t>191</w:t>
          </w:r>
          <w:r>
            <w:rPr>
              <w:b/>
              <w:bCs/>
              <w:sz w:val="24"/>
              <w:szCs w:val="24"/>
            </w:rPr>
            <w:fldChar w:fldCharType="end"/>
          </w:r>
          <w:r>
            <w:rPr>
              <w:b/>
              <w:bCs/>
              <w:sz w:val="24"/>
              <w:szCs w:val="24"/>
            </w:rPr>
            <w:fldChar w:fldCharType="end"/>
          </w:r>
        </w:p>
        <w:p w14:paraId="53FDAD05">
          <w:pPr>
            <w:pStyle w:val="40"/>
            <w:tabs>
              <w:tab w:val="right" w:leader="dot" w:pos="9076"/>
            </w:tabs>
            <w:rPr>
              <w:sz w:val="24"/>
              <w:szCs w:val="24"/>
            </w:rPr>
          </w:pPr>
          <w:r>
            <w:rPr>
              <w:sz w:val="24"/>
              <w:szCs w:val="24"/>
            </w:rPr>
            <w:fldChar w:fldCharType="begin"/>
          </w:r>
          <w:r>
            <w:rPr>
              <w:sz w:val="24"/>
              <w:szCs w:val="24"/>
            </w:rPr>
            <w:instrText xml:space="preserve"> HYPERLINK \l _Toc670 </w:instrText>
          </w:r>
          <w:r>
            <w:rPr>
              <w:sz w:val="24"/>
              <w:szCs w:val="24"/>
            </w:rPr>
            <w:fldChar w:fldCharType="separate"/>
          </w:r>
          <w:r>
            <w:rPr>
              <w:rFonts w:hint="eastAsia"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lang w:val="en-US"/>
            </w:rPr>
            <w:t>1环境管理</w:t>
          </w:r>
          <w:r>
            <w:rPr>
              <w:sz w:val="24"/>
              <w:szCs w:val="24"/>
            </w:rPr>
            <w:tab/>
          </w:r>
          <w:r>
            <w:rPr>
              <w:sz w:val="24"/>
              <w:szCs w:val="24"/>
            </w:rPr>
            <w:fldChar w:fldCharType="begin"/>
          </w:r>
          <w:r>
            <w:rPr>
              <w:sz w:val="24"/>
              <w:szCs w:val="24"/>
            </w:rPr>
            <w:instrText xml:space="preserve"> PAGEREF _Toc670 \h </w:instrText>
          </w:r>
          <w:r>
            <w:rPr>
              <w:sz w:val="24"/>
              <w:szCs w:val="24"/>
            </w:rPr>
            <w:fldChar w:fldCharType="separate"/>
          </w:r>
          <w:r>
            <w:rPr>
              <w:sz w:val="24"/>
              <w:szCs w:val="24"/>
            </w:rPr>
            <w:t>191</w:t>
          </w:r>
          <w:r>
            <w:rPr>
              <w:sz w:val="24"/>
              <w:szCs w:val="24"/>
            </w:rPr>
            <w:fldChar w:fldCharType="end"/>
          </w:r>
          <w:r>
            <w:rPr>
              <w:sz w:val="24"/>
              <w:szCs w:val="24"/>
            </w:rPr>
            <w:fldChar w:fldCharType="end"/>
          </w:r>
        </w:p>
        <w:p w14:paraId="00EEB932">
          <w:pPr>
            <w:pStyle w:val="40"/>
            <w:tabs>
              <w:tab w:val="right" w:leader="dot" w:pos="9076"/>
            </w:tabs>
            <w:rPr>
              <w:sz w:val="24"/>
              <w:szCs w:val="24"/>
            </w:rPr>
          </w:pPr>
          <w:r>
            <w:rPr>
              <w:sz w:val="24"/>
              <w:szCs w:val="24"/>
            </w:rPr>
            <w:fldChar w:fldCharType="begin"/>
          </w:r>
          <w:r>
            <w:rPr>
              <w:sz w:val="24"/>
              <w:szCs w:val="24"/>
            </w:rPr>
            <w:instrText xml:space="preserve"> HYPERLINK \l _Toc932 </w:instrText>
          </w:r>
          <w:r>
            <w:rPr>
              <w:sz w:val="24"/>
              <w:szCs w:val="24"/>
            </w:rPr>
            <w:fldChar w:fldCharType="separate"/>
          </w:r>
          <w:r>
            <w:rPr>
              <w:rFonts w:hint="eastAsia"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lang w:val="en-US"/>
            </w:rPr>
            <w:t>.2</w:t>
          </w:r>
          <w:r>
            <w:rPr>
              <w:rFonts w:hint="eastAsia" w:ascii="Times New Roman" w:hAnsi="Times New Roman" w:eastAsia="宋体" w:cs="Times New Roman"/>
              <w:sz w:val="24"/>
              <w:szCs w:val="24"/>
              <w:highlight w:val="none"/>
              <w:lang w:val="en-US" w:eastAsia="zh-CN"/>
            </w:rPr>
            <w:t>总量控制指标</w:t>
          </w:r>
          <w:r>
            <w:rPr>
              <w:sz w:val="24"/>
              <w:szCs w:val="24"/>
            </w:rPr>
            <w:tab/>
          </w:r>
          <w:r>
            <w:rPr>
              <w:sz w:val="24"/>
              <w:szCs w:val="24"/>
            </w:rPr>
            <w:fldChar w:fldCharType="begin"/>
          </w:r>
          <w:r>
            <w:rPr>
              <w:sz w:val="24"/>
              <w:szCs w:val="24"/>
            </w:rPr>
            <w:instrText xml:space="preserve"> PAGEREF _Toc932 \h </w:instrText>
          </w:r>
          <w:r>
            <w:rPr>
              <w:sz w:val="24"/>
              <w:szCs w:val="24"/>
            </w:rPr>
            <w:fldChar w:fldCharType="separate"/>
          </w:r>
          <w:r>
            <w:rPr>
              <w:sz w:val="24"/>
              <w:szCs w:val="24"/>
            </w:rPr>
            <w:t>194</w:t>
          </w:r>
          <w:r>
            <w:rPr>
              <w:sz w:val="24"/>
              <w:szCs w:val="24"/>
            </w:rPr>
            <w:fldChar w:fldCharType="end"/>
          </w:r>
          <w:r>
            <w:rPr>
              <w:sz w:val="24"/>
              <w:szCs w:val="24"/>
            </w:rPr>
            <w:fldChar w:fldCharType="end"/>
          </w:r>
        </w:p>
        <w:p w14:paraId="0A1C559A">
          <w:pPr>
            <w:pStyle w:val="40"/>
            <w:tabs>
              <w:tab w:val="right" w:leader="dot" w:pos="9076"/>
            </w:tabs>
            <w:rPr>
              <w:sz w:val="24"/>
              <w:szCs w:val="24"/>
            </w:rPr>
          </w:pPr>
          <w:r>
            <w:rPr>
              <w:sz w:val="24"/>
              <w:szCs w:val="24"/>
            </w:rPr>
            <w:fldChar w:fldCharType="begin"/>
          </w:r>
          <w:r>
            <w:rPr>
              <w:sz w:val="24"/>
              <w:szCs w:val="24"/>
            </w:rPr>
            <w:instrText xml:space="preserve"> HYPERLINK \l _Toc181 </w:instrText>
          </w:r>
          <w:r>
            <w:rPr>
              <w:sz w:val="24"/>
              <w:szCs w:val="24"/>
            </w:rPr>
            <w:fldChar w:fldCharType="separate"/>
          </w:r>
          <w:r>
            <w:rPr>
              <w:rFonts w:hint="eastAsia"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lang w:val="en-US"/>
            </w:rPr>
            <w:t>.</w:t>
          </w:r>
          <w:r>
            <w:rPr>
              <w:rFonts w:hint="eastAsia"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lang w:val="en-US"/>
            </w:rPr>
            <w:t>环境监测计划</w:t>
          </w:r>
          <w:r>
            <w:rPr>
              <w:sz w:val="24"/>
              <w:szCs w:val="24"/>
            </w:rPr>
            <w:tab/>
          </w:r>
          <w:r>
            <w:rPr>
              <w:sz w:val="24"/>
              <w:szCs w:val="24"/>
            </w:rPr>
            <w:fldChar w:fldCharType="begin"/>
          </w:r>
          <w:r>
            <w:rPr>
              <w:sz w:val="24"/>
              <w:szCs w:val="24"/>
            </w:rPr>
            <w:instrText xml:space="preserve"> PAGEREF _Toc181 \h </w:instrText>
          </w:r>
          <w:r>
            <w:rPr>
              <w:sz w:val="24"/>
              <w:szCs w:val="24"/>
            </w:rPr>
            <w:fldChar w:fldCharType="separate"/>
          </w:r>
          <w:r>
            <w:rPr>
              <w:sz w:val="24"/>
              <w:szCs w:val="24"/>
            </w:rPr>
            <w:t>194</w:t>
          </w:r>
          <w:r>
            <w:rPr>
              <w:sz w:val="24"/>
              <w:szCs w:val="24"/>
            </w:rPr>
            <w:fldChar w:fldCharType="end"/>
          </w:r>
          <w:r>
            <w:rPr>
              <w:sz w:val="24"/>
              <w:szCs w:val="24"/>
            </w:rPr>
            <w:fldChar w:fldCharType="end"/>
          </w:r>
        </w:p>
        <w:p w14:paraId="563F31A5">
          <w:pPr>
            <w:pStyle w:val="40"/>
            <w:tabs>
              <w:tab w:val="right" w:leader="dot" w:pos="9076"/>
            </w:tabs>
            <w:rPr>
              <w:sz w:val="24"/>
              <w:szCs w:val="24"/>
            </w:rPr>
          </w:pPr>
          <w:r>
            <w:rPr>
              <w:sz w:val="24"/>
              <w:szCs w:val="24"/>
            </w:rPr>
            <w:fldChar w:fldCharType="begin"/>
          </w:r>
          <w:r>
            <w:rPr>
              <w:sz w:val="24"/>
              <w:szCs w:val="24"/>
            </w:rPr>
            <w:instrText xml:space="preserve"> HYPERLINK \l _Toc30473 </w:instrText>
          </w:r>
          <w:r>
            <w:rPr>
              <w:sz w:val="24"/>
              <w:szCs w:val="24"/>
            </w:rPr>
            <w:fldChar w:fldCharType="separate"/>
          </w:r>
          <w:r>
            <w:rPr>
              <w:rFonts w:hint="eastAsia" w:ascii="Times New Roman" w:hAnsi="Times New Roman" w:eastAsia="宋体" w:cs="Times New Roman"/>
              <w:bCs/>
              <w:sz w:val="24"/>
              <w:szCs w:val="24"/>
              <w:highlight w:val="none"/>
              <w:lang w:val="en-US" w:eastAsia="zh-CN"/>
            </w:rPr>
            <w:t>9.4</w:t>
          </w:r>
          <w:r>
            <w:rPr>
              <w:rFonts w:hint="default" w:ascii="Times New Roman" w:hAnsi="Times New Roman" w:eastAsia="宋体" w:cs="Times New Roman"/>
              <w:bCs/>
              <w:sz w:val="24"/>
              <w:szCs w:val="24"/>
              <w:highlight w:val="none"/>
              <w:lang w:val="en-US" w:eastAsia="zh-CN"/>
            </w:rPr>
            <w:t>排污口规范化管理</w:t>
          </w:r>
          <w:r>
            <w:rPr>
              <w:sz w:val="24"/>
              <w:szCs w:val="24"/>
            </w:rPr>
            <w:tab/>
          </w:r>
          <w:r>
            <w:rPr>
              <w:sz w:val="24"/>
              <w:szCs w:val="24"/>
            </w:rPr>
            <w:fldChar w:fldCharType="begin"/>
          </w:r>
          <w:r>
            <w:rPr>
              <w:sz w:val="24"/>
              <w:szCs w:val="24"/>
            </w:rPr>
            <w:instrText xml:space="preserve"> PAGEREF _Toc30473 \h </w:instrText>
          </w:r>
          <w:r>
            <w:rPr>
              <w:sz w:val="24"/>
              <w:szCs w:val="24"/>
            </w:rPr>
            <w:fldChar w:fldCharType="separate"/>
          </w:r>
          <w:r>
            <w:rPr>
              <w:sz w:val="24"/>
              <w:szCs w:val="24"/>
            </w:rPr>
            <w:t>196</w:t>
          </w:r>
          <w:r>
            <w:rPr>
              <w:sz w:val="24"/>
              <w:szCs w:val="24"/>
            </w:rPr>
            <w:fldChar w:fldCharType="end"/>
          </w:r>
          <w:r>
            <w:rPr>
              <w:sz w:val="24"/>
              <w:szCs w:val="24"/>
            </w:rPr>
            <w:fldChar w:fldCharType="end"/>
          </w:r>
        </w:p>
        <w:p w14:paraId="5E0658BE">
          <w:pPr>
            <w:pStyle w:val="40"/>
            <w:tabs>
              <w:tab w:val="right" w:leader="dot" w:pos="9076"/>
            </w:tabs>
            <w:rPr>
              <w:sz w:val="24"/>
              <w:szCs w:val="24"/>
            </w:rPr>
          </w:pPr>
          <w:r>
            <w:rPr>
              <w:sz w:val="24"/>
              <w:szCs w:val="24"/>
            </w:rPr>
            <w:fldChar w:fldCharType="begin"/>
          </w:r>
          <w:r>
            <w:rPr>
              <w:sz w:val="24"/>
              <w:szCs w:val="24"/>
            </w:rPr>
            <w:instrText xml:space="preserve"> HYPERLINK \l _Toc16806 </w:instrText>
          </w:r>
          <w:r>
            <w:rPr>
              <w:sz w:val="24"/>
              <w:szCs w:val="24"/>
            </w:rPr>
            <w:fldChar w:fldCharType="separate"/>
          </w:r>
          <w:r>
            <w:rPr>
              <w:rFonts w:hint="eastAsia"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lang w:val="en-US"/>
            </w:rPr>
            <w:t>.</w:t>
          </w:r>
          <w:r>
            <w:rPr>
              <w:rFonts w:hint="eastAsia"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lang w:val="en-US"/>
            </w:rPr>
            <w:t>项目竣工环保验收</w:t>
          </w:r>
          <w:r>
            <w:rPr>
              <w:sz w:val="24"/>
              <w:szCs w:val="24"/>
            </w:rPr>
            <w:tab/>
          </w:r>
          <w:r>
            <w:rPr>
              <w:sz w:val="24"/>
              <w:szCs w:val="24"/>
            </w:rPr>
            <w:fldChar w:fldCharType="begin"/>
          </w:r>
          <w:r>
            <w:rPr>
              <w:sz w:val="24"/>
              <w:szCs w:val="24"/>
            </w:rPr>
            <w:instrText xml:space="preserve"> PAGEREF _Toc16806 \h </w:instrText>
          </w:r>
          <w:r>
            <w:rPr>
              <w:sz w:val="24"/>
              <w:szCs w:val="24"/>
            </w:rPr>
            <w:fldChar w:fldCharType="separate"/>
          </w:r>
          <w:r>
            <w:rPr>
              <w:sz w:val="24"/>
              <w:szCs w:val="24"/>
            </w:rPr>
            <w:t>198</w:t>
          </w:r>
          <w:r>
            <w:rPr>
              <w:sz w:val="24"/>
              <w:szCs w:val="24"/>
            </w:rPr>
            <w:fldChar w:fldCharType="end"/>
          </w:r>
          <w:r>
            <w:rPr>
              <w:sz w:val="24"/>
              <w:szCs w:val="24"/>
            </w:rPr>
            <w:fldChar w:fldCharType="end"/>
          </w:r>
        </w:p>
        <w:p w14:paraId="479E687E">
          <w:pPr>
            <w:pStyle w:val="40"/>
            <w:tabs>
              <w:tab w:val="right" w:leader="dot" w:pos="9076"/>
            </w:tabs>
            <w:rPr>
              <w:sz w:val="24"/>
              <w:szCs w:val="24"/>
            </w:rPr>
          </w:pPr>
          <w:r>
            <w:rPr>
              <w:sz w:val="24"/>
              <w:szCs w:val="24"/>
            </w:rPr>
            <w:fldChar w:fldCharType="begin"/>
          </w:r>
          <w:r>
            <w:rPr>
              <w:sz w:val="24"/>
              <w:szCs w:val="24"/>
            </w:rPr>
            <w:instrText xml:space="preserve"> HYPERLINK \l _Toc13942 </w:instrText>
          </w:r>
          <w:r>
            <w:rPr>
              <w:sz w:val="24"/>
              <w:szCs w:val="24"/>
            </w:rPr>
            <w:fldChar w:fldCharType="separate"/>
          </w:r>
          <w:r>
            <w:rPr>
              <w:rFonts w:hint="eastAsia" w:ascii="Times New Roman" w:hAnsi="Times New Roman" w:eastAsia="宋体" w:cs="Times New Roman"/>
              <w:bCs/>
              <w:sz w:val="24"/>
              <w:szCs w:val="24"/>
              <w:highlight w:val="none"/>
              <w:lang w:val="en-US" w:eastAsia="zh-CN"/>
            </w:rPr>
            <w:t>9.5.1工程竣工验收内容</w:t>
          </w:r>
          <w:r>
            <w:rPr>
              <w:sz w:val="24"/>
              <w:szCs w:val="24"/>
            </w:rPr>
            <w:tab/>
          </w:r>
          <w:r>
            <w:rPr>
              <w:sz w:val="24"/>
              <w:szCs w:val="24"/>
            </w:rPr>
            <w:fldChar w:fldCharType="begin"/>
          </w:r>
          <w:r>
            <w:rPr>
              <w:sz w:val="24"/>
              <w:szCs w:val="24"/>
            </w:rPr>
            <w:instrText xml:space="preserve"> PAGEREF _Toc13942 \h </w:instrText>
          </w:r>
          <w:r>
            <w:rPr>
              <w:sz w:val="24"/>
              <w:szCs w:val="24"/>
            </w:rPr>
            <w:fldChar w:fldCharType="separate"/>
          </w:r>
          <w:r>
            <w:rPr>
              <w:sz w:val="24"/>
              <w:szCs w:val="24"/>
            </w:rPr>
            <w:t>198</w:t>
          </w:r>
          <w:r>
            <w:rPr>
              <w:sz w:val="24"/>
              <w:szCs w:val="24"/>
            </w:rPr>
            <w:fldChar w:fldCharType="end"/>
          </w:r>
          <w:r>
            <w:rPr>
              <w:sz w:val="24"/>
              <w:szCs w:val="24"/>
            </w:rPr>
            <w:fldChar w:fldCharType="end"/>
          </w:r>
        </w:p>
        <w:p w14:paraId="705A9270">
          <w:pPr>
            <w:pStyle w:val="40"/>
            <w:tabs>
              <w:tab w:val="right" w:leader="dot" w:pos="9076"/>
            </w:tabs>
            <w:rPr>
              <w:sz w:val="24"/>
              <w:szCs w:val="24"/>
            </w:rPr>
          </w:pPr>
          <w:r>
            <w:rPr>
              <w:sz w:val="24"/>
              <w:szCs w:val="24"/>
            </w:rPr>
            <w:fldChar w:fldCharType="begin"/>
          </w:r>
          <w:r>
            <w:rPr>
              <w:sz w:val="24"/>
              <w:szCs w:val="24"/>
            </w:rPr>
            <w:instrText xml:space="preserve"> HYPERLINK \l _Toc451 </w:instrText>
          </w:r>
          <w:r>
            <w:rPr>
              <w:sz w:val="24"/>
              <w:szCs w:val="24"/>
            </w:rPr>
            <w:fldChar w:fldCharType="separate"/>
          </w:r>
          <w:r>
            <w:rPr>
              <w:rFonts w:hint="eastAsia" w:ascii="Times New Roman" w:hAnsi="Times New Roman" w:eastAsia="宋体" w:cs="Times New Roman"/>
              <w:bCs/>
              <w:sz w:val="24"/>
              <w:szCs w:val="24"/>
              <w:highlight w:val="none"/>
              <w:lang w:val="en-US" w:eastAsia="zh-CN"/>
            </w:rPr>
            <w:t>9.5.2验收流程</w:t>
          </w:r>
          <w:r>
            <w:rPr>
              <w:sz w:val="24"/>
              <w:szCs w:val="24"/>
            </w:rPr>
            <w:tab/>
          </w:r>
          <w:r>
            <w:rPr>
              <w:sz w:val="24"/>
              <w:szCs w:val="24"/>
            </w:rPr>
            <w:fldChar w:fldCharType="begin"/>
          </w:r>
          <w:r>
            <w:rPr>
              <w:sz w:val="24"/>
              <w:szCs w:val="24"/>
            </w:rPr>
            <w:instrText xml:space="preserve"> PAGEREF _Toc451 \h </w:instrText>
          </w:r>
          <w:r>
            <w:rPr>
              <w:sz w:val="24"/>
              <w:szCs w:val="24"/>
            </w:rPr>
            <w:fldChar w:fldCharType="separate"/>
          </w:r>
          <w:r>
            <w:rPr>
              <w:sz w:val="24"/>
              <w:szCs w:val="24"/>
            </w:rPr>
            <w:t>198</w:t>
          </w:r>
          <w:r>
            <w:rPr>
              <w:sz w:val="24"/>
              <w:szCs w:val="24"/>
            </w:rPr>
            <w:fldChar w:fldCharType="end"/>
          </w:r>
          <w:r>
            <w:rPr>
              <w:sz w:val="24"/>
              <w:szCs w:val="24"/>
            </w:rPr>
            <w:fldChar w:fldCharType="end"/>
          </w:r>
        </w:p>
        <w:p w14:paraId="57D3938D">
          <w:pPr>
            <w:pStyle w:val="35"/>
            <w:tabs>
              <w:tab w:val="right" w:leader="dot" w:pos="9076"/>
            </w:tabs>
            <w:rPr>
              <w:b/>
              <w:bCs/>
              <w:sz w:val="24"/>
              <w:szCs w:val="24"/>
            </w:rPr>
          </w:pPr>
          <w:r>
            <w:rPr>
              <w:b/>
              <w:bCs/>
              <w:sz w:val="24"/>
              <w:szCs w:val="24"/>
            </w:rPr>
            <w:fldChar w:fldCharType="begin"/>
          </w:r>
          <w:r>
            <w:rPr>
              <w:b/>
              <w:bCs/>
              <w:sz w:val="24"/>
              <w:szCs w:val="24"/>
            </w:rPr>
            <w:instrText xml:space="preserve"> HYPERLINK \l _Toc27538 </w:instrText>
          </w:r>
          <w:r>
            <w:rPr>
              <w:b/>
              <w:bCs/>
              <w:sz w:val="24"/>
              <w:szCs w:val="24"/>
            </w:rPr>
            <w:fldChar w:fldCharType="separate"/>
          </w:r>
          <w:r>
            <w:rPr>
              <w:rFonts w:hint="eastAsia" w:cs="Times New Roman"/>
              <w:b/>
              <w:bCs/>
              <w:sz w:val="24"/>
              <w:szCs w:val="24"/>
              <w:highlight w:val="none"/>
              <w:lang w:val="en-US" w:eastAsia="zh-CN"/>
            </w:rPr>
            <w:t>10</w:t>
          </w:r>
          <w:r>
            <w:rPr>
              <w:rFonts w:hint="default" w:ascii="Times New Roman" w:hAnsi="Times New Roman" w:cs="Times New Roman"/>
              <w:b/>
              <w:bCs/>
              <w:sz w:val="24"/>
              <w:szCs w:val="24"/>
              <w:highlight w:val="none"/>
            </w:rPr>
            <w:t xml:space="preserve"> 评价结论与建议</w:t>
          </w:r>
          <w:r>
            <w:rPr>
              <w:b/>
              <w:bCs/>
              <w:sz w:val="24"/>
              <w:szCs w:val="24"/>
            </w:rPr>
            <w:tab/>
          </w:r>
          <w:r>
            <w:rPr>
              <w:b/>
              <w:bCs/>
              <w:sz w:val="24"/>
              <w:szCs w:val="24"/>
            </w:rPr>
            <w:fldChar w:fldCharType="begin"/>
          </w:r>
          <w:r>
            <w:rPr>
              <w:b/>
              <w:bCs/>
              <w:sz w:val="24"/>
              <w:szCs w:val="24"/>
            </w:rPr>
            <w:instrText xml:space="preserve"> PAGEREF _Toc27538 \h </w:instrText>
          </w:r>
          <w:r>
            <w:rPr>
              <w:b/>
              <w:bCs/>
              <w:sz w:val="24"/>
              <w:szCs w:val="24"/>
            </w:rPr>
            <w:fldChar w:fldCharType="separate"/>
          </w:r>
          <w:r>
            <w:rPr>
              <w:b/>
              <w:bCs/>
              <w:sz w:val="24"/>
              <w:szCs w:val="24"/>
            </w:rPr>
            <w:t>202</w:t>
          </w:r>
          <w:r>
            <w:rPr>
              <w:b/>
              <w:bCs/>
              <w:sz w:val="24"/>
              <w:szCs w:val="24"/>
            </w:rPr>
            <w:fldChar w:fldCharType="end"/>
          </w:r>
          <w:r>
            <w:rPr>
              <w:b/>
              <w:bCs/>
              <w:sz w:val="24"/>
              <w:szCs w:val="24"/>
            </w:rPr>
            <w:fldChar w:fldCharType="end"/>
          </w:r>
        </w:p>
        <w:p w14:paraId="2B8B7F0B">
          <w:pPr>
            <w:pStyle w:val="40"/>
            <w:tabs>
              <w:tab w:val="right" w:leader="dot" w:pos="9076"/>
            </w:tabs>
            <w:rPr>
              <w:sz w:val="24"/>
              <w:szCs w:val="24"/>
            </w:rPr>
          </w:pPr>
          <w:r>
            <w:rPr>
              <w:sz w:val="24"/>
              <w:szCs w:val="24"/>
            </w:rPr>
            <w:fldChar w:fldCharType="begin"/>
          </w:r>
          <w:r>
            <w:rPr>
              <w:sz w:val="24"/>
              <w:szCs w:val="24"/>
            </w:rPr>
            <w:instrText xml:space="preserve"> HYPERLINK \l _Toc12335 </w:instrText>
          </w:r>
          <w:r>
            <w:rPr>
              <w:sz w:val="24"/>
              <w:szCs w:val="24"/>
            </w:rPr>
            <w:fldChar w:fldCharType="separate"/>
          </w:r>
          <w:r>
            <w:rPr>
              <w:rFonts w:hint="default" w:ascii="Times New Roman" w:hAnsi="Times New Roman" w:eastAsia="宋体" w:cs="Times New Roman"/>
              <w:sz w:val="24"/>
              <w:szCs w:val="24"/>
              <w:highlight w:val="none"/>
              <w:lang w:val="en-US"/>
            </w:rPr>
            <w:t>1</w:t>
          </w:r>
          <w:r>
            <w:rPr>
              <w:rFonts w:hint="eastAsia" w:ascii="Times New Roman" w:hAnsi="Times New Roman" w:eastAsia="宋体" w:cs="Times New Roman"/>
              <w:sz w:val="24"/>
              <w:szCs w:val="24"/>
              <w:highlight w:val="none"/>
              <w:lang w:val="en-US" w:eastAsia="zh-CN"/>
            </w:rPr>
            <w:t>0</w:t>
          </w:r>
          <w:r>
            <w:rPr>
              <w:rFonts w:hint="default" w:ascii="Times New Roman" w:hAnsi="Times New Roman" w:eastAsia="宋体" w:cs="Times New Roman"/>
              <w:sz w:val="24"/>
              <w:szCs w:val="24"/>
              <w:highlight w:val="none"/>
              <w:lang w:val="en-US"/>
            </w:rPr>
            <w:t>.1项目概况</w:t>
          </w:r>
          <w:r>
            <w:rPr>
              <w:sz w:val="24"/>
              <w:szCs w:val="24"/>
            </w:rPr>
            <w:tab/>
          </w:r>
          <w:r>
            <w:rPr>
              <w:sz w:val="24"/>
              <w:szCs w:val="24"/>
            </w:rPr>
            <w:fldChar w:fldCharType="begin"/>
          </w:r>
          <w:r>
            <w:rPr>
              <w:sz w:val="24"/>
              <w:szCs w:val="24"/>
            </w:rPr>
            <w:instrText xml:space="preserve"> PAGEREF _Toc12335 \h </w:instrText>
          </w:r>
          <w:r>
            <w:rPr>
              <w:sz w:val="24"/>
              <w:szCs w:val="24"/>
            </w:rPr>
            <w:fldChar w:fldCharType="separate"/>
          </w:r>
          <w:r>
            <w:rPr>
              <w:sz w:val="24"/>
              <w:szCs w:val="24"/>
            </w:rPr>
            <w:t>202</w:t>
          </w:r>
          <w:r>
            <w:rPr>
              <w:sz w:val="24"/>
              <w:szCs w:val="24"/>
            </w:rPr>
            <w:fldChar w:fldCharType="end"/>
          </w:r>
          <w:r>
            <w:rPr>
              <w:sz w:val="24"/>
              <w:szCs w:val="24"/>
            </w:rPr>
            <w:fldChar w:fldCharType="end"/>
          </w:r>
        </w:p>
        <w:p w14:paraId="396289B1">
          <w:pPr>
            <w:pStyle w:val="40"/>
            <w:tabs>
              <w:tab w:val="right" w:leader="dot" w:pos="9076"/>
            </w:tabs>
            <w:rPr>
              <w:sz w:val="24"/>
              <w:szCs w:val="24"/>
            </w:rPr>
          </w:pPr>
          <w:r>
            <w:rPr>
              <w:sz w:val="24"/>
              <w:szCs w:val="24"/>
            </w:rPr>
            <w:fldChar w:fldCharType="begin"/>
          </w:r>
          <w:r>
            <w:rPr>
              <w:sz w:val="24"/>
              <w:szCs w:val="24"/>
            </w:rPr>
            <w:instrText xml:space="preserve"> HYPERLINK \l _Toc27820 </w:instrText>
          </w:r>
          <w:r>
            <w:rPr>
              <w:sz w:val="24"/>
              <w:szCs w:val="24"/>
            </w:rPr>
            <w:fldChar w:fldCharType="separate"/>
          </w:r>
          <w:r>
            <w:rPr>
              <w:rFonts w:hint="default" w:ascii="Times New Roman" w:hAnsi="Times New Roman" w:eastAsia="宋体" w:cs="Times New Roman"/>
              <w:sz w:val="24"/>
              <w:szCs w:val="24"/>
              <w:highlight w:val="none"/>
              <w:lang w:val="en-US"/>
            </w:rPr>
            <w:t>1</w:t>
          </w:r>
          <w:r>
            <w:rPr>
              <w:rFonts w:hint="eastAsia" w:ascii="Times New Roman" w:hAnsi="Times New Roman" w:eastAsia="宋体" w:cs="Times New Roman"/>
              <w:sz w:val="24"/>
              <w:szCs w:val="24"/>
              <w:highlight w:val="none"/>
              <w:lang w:val="en-US" w:eastAsia="zh-CN"/>
            </w:rPr>
            <w:t>0</w:t>
          </w:r>
          <w:r>
            <w:rPr>
              <w:rFonts w:hint="default" w:ascii="Times New Roman" w:hAnsi="Times New Roman" w:eastAsia="宋体" w:cs="Times New Roman"/>
              <w:sz w:val="24"/>
              <w:szCs w:val="24"/>
              <w:highlight w:val="none"/>
              <w:lang w:val="en-US"/>
            </w:rPr>
            <w:t>.2政策符合性</w:t>
          </w:r>
          <w:r>
            <w:rPr>
              <w:rFonts w:hint="eastAsia" w:ascii="Times New Roman" w:hAnsi="Times New Roman" w:eastAsia="宋体" w:cs="Times New Roman"/>
              <w:sz w:val="24"/>
              <w:szCs w:val="24"/>
              <w:highlight w:val="none"/>
              <w:lang w:val="en-US" w:eastAsia="zh-CN"/>
            </w:rPr>
            <w:t>分析</w:t>
          </w:r>
          <w:r>
            <w:rPr>
              <w:rFonts w:hint="default" w:ascii="Times New Roman" w:hAnsi="Times New Roman" w:eastAsia="宋体" w:cs="Times New Roman"/>
              <w:sz w:val="24"/>
              <w:szCs w:val="24"/>
              <w:highlight w:val="none"/>
              <w:lang w:val="en-US"/>
            </w:rPr>
            <w:t>结论</w:t>
          </w:r>
          <w:r>
            <w:rPr>
              <w:sz w:val="24"/>
              <w:szCs w:val="24"/>
            </w:rPr>
            <w:tab/>
          </w:r>
          <w:r>
            <w:rPr>
              <w:sz w:val="24"/>
              <w:szCs w:val="24"/>
            </w:rPr>
            <w:fldChar w:fldCharType="begin"/>
          </w:r>
          <w:r>
            <w:rPr>
              <w:sz w:val="24"/>
              <w:szCs w:val="24"/>
            </w:rPr>
            <w:instrText xml:space="preserve"> PAGEREF _Toc27820 \h </w:instrText>
          </w:r>
          <w:r>
            <w:rPr>
              <w:sz w:val="24"/>
              <w:szCs w:val="24"/>
            </w:rPr>
            <w:fldChar w:fldCharType="separate"/>
          </w:r>
          <w:r>
            <w:rPr>
              <w:sz w:val="24"/>
              <w:szCs w:val="24"/>
            </w:rPr>
            <w:t>203</w:t>
          </w:r>
          <w:r>
            <w:rPr>
              <w:sz w:val="24"/>
              <w:szCs w:val="24"/>
            </w:rPr>
            <w:fldChar w:fldCharType="end"/>
          </w:r>
          <w:r>
            <w:rPr>
              <w:sz w:val="24"/>
              <w:szCs w:val="24"/>
            </w:rPr>
            <w:fldChar w:fldCharType="end"/>
          </w:r>
        </w:p>
        <w:p w14:paraId="3B4946DC">
          <w:pPr>
            <w:pStyle w:val="40"/>
            <w:tabs>
              <w:tab w:val="right" w:leader="dot" w:pos="9076"/>
            </w:tabs>
            <w:rPr>
              <w:sz w:val="24"/>
              <w:szCs w:val="24"/>
            </w:rPr>
          </w:pPr>
          <w:r>
            <w:rPr>
              <w:sz w:val="24"/>
              <w:szCs w:val="24"/>
            </w:rPr>
            <w:fldChar w:fldCharType="begin"/>
          </w:r>
          <w:r>
            <w:rPr>
              <w:sz w:val="24"/>
              <w:szCs w:val="24"/>
            </w:rPr>
            <w:instrText xml:space="preserve"> HYPERLINK \l _Toc9960 </w:instrText>
          </w:r>
          <w:r>
            <w:rPr>
              <w:sz w:val="24"/>
              <w:szCs w:val="24"/>
            </w:rPr>
            <w:fldChar w:fldCharType="separate"/>
          </w:r>
          <w:r>
            <w:rPr>
              <w:rFonts w:hint="default" w:ascii="Times New Roman" w:hAnsi="Times New Roman" w:eastAsia="宋体" w:cs="Times New Roman"/>
              <w:sz w:val="24"/>
              <w:szCs w:val="24"/>
              <w:highlight w:val="none"/>
              <w:lang w:val="en-US"/>
            </w:rPr>
            <w:t>1</w:t>
          </w:r>
          <w:r>
            <w:rPr>
              <w:rFonts w:hint="eastAsia" w:ascii="Times New Roman" w:hAnsi="Times New Roman" w:eastAsia="宋体" w:cs="Times New Roman"/>
              <w:sz w:val="24"/>
              <w:szCs w:val="24"/>
              <w:highlight w:val="none"/>
              <w:lang w:val="en-US" w:eastAsia="zh-CN"/>
            </w:rPr>
            <w:t>0</w:t>
          </w:r>
          <w:r>
            <w:rPr>
              <w:rFonts w:hint="default" w:ascii="Times New Roman" w:hAnsi="Times New Roman" w:eastAsia="宋体" w:cs="Times New Roman"/>
              <w:sz w:val="24"/>
              <w:szCs w:val="24"/>
              <w:highlight w:val="none"/>
              <w:lang w:val="en-US"/>
            </w:rPr>
            <w:t>.3环境质量现状评价结论</w:t>
          </w:r>
          <w:r>
            <w:rPr>
              <w:sz w:val="24"/>
              <w:szCs w:val="24"/>
            </w:rPr>
            <w:tab/>
          </w:r>
          <w:r>
            <w:rPr>
              <w:sz w:val="24"/>
              <w:szCs w:val="24"/>
            </w:rPr>
            <w:fldChar w:fldCharType="begin"/>
          </w:r>
          <w:r>
            <w:rPr>
              <w:sz w:val="24"/>
              <w:szCs w:val="24"/>
            </w:rPr>
            <w:instrText xml:space="preserve"> PAGEREF _Toc9960 \h </w:instrText>
          </w:r>
          <w:r>
            <w:rPr>
              <w:sz w:val="24"/>
              <w:szCs w:val="24"/>
            </w:rPr>
            <w:fldChar w:fldCharType="separate"/>
          </w:r>
          <w:r>
            <w:rPr>
              <w:sz w:val="24"/>
              <w:szCs w:val="24"/>
            </w:rPr>
            <w:t>203</w:t>
          </w:r>
          <w:r>
            <w:rPr>
              <w:sz w:val="24"/>
              <w:szCs w:val="24"/>
            </w:rPr>
            <w:fldChar w:fldCharType="end"/>
          </w:r>
          <w:r>
            <w:rPr>
              <w:sz w:val="24"/>
              <w:szCs w:val="24"/>
            </w:rPr>
            <w:fldChar w:fldCharType="end"/>
          </w:r>
        </w:p>
        <w:p w14:paraId="5CCFC39B">
          <w:pPr>
            <w:pStyle w:val="40"/>
            <w:tabs>
              <w:tab w:val="right" w:leader="dot" w:pos="9076"/>
            </w:tabs>
            <w:rPr>
              <w:sz w:val="24"/>
              <w:szCs w:val="24"/>
            </w:rPr>
          </w:pPr>
          <w:r>
            <w:rPr>
              <w:sz w:val="24"/>
              <w:szCs w:val="24"/>
            </w:rPr>
            <w:fldChar w:fldCharType="begin"/>
          </w:r>
          <w:r>
            <w:rPr>
              <w:sz w:val="24"/>
              <w:szCs w:val="24"/>
            </w:rPr>
            <w:instrText xml:space="preserve"> HYPERLINK \l _Toc15624 </w:instrText>
          </w:r>
          <w:r>
            <w:rPr>
              <w:sz w:val="24"/>
              <w:szCs w:val="24"/>
            </w:rPr>
            <w:fldChar w:fldCharType="separate"/>
          </w:r>
          <w:r>
            <w:rPr>
              <w:rFonts w:hint="eastAsia" w:ascii="Times New Roman" w:hAnsi="Times New Roman" w:eastAsia="宋体" w:cs="Times New Roman"/>
              <w:sz w:val="24"/>
              <w:szCs w:val="24"/>
              <w:highlight w:val="none"/>
              <w:lang w:val="en-US"/>
            </w:rPr>
            <w:t>1</w:t>
          </w:r>
          <w:r>
            <w:rPr>
              <w:rFonts w:hint="eastAsia" w:ascii="Times New Roman" w:hAnsi="Times New Roman" w:eastAsia="宋体" w:cs="Times New Roman"/>
              <w:sz w:val="24"/>
              <w:szCs w:val="24"/>
              <w:highlight w:val="none"/>
              <w:lang w:val="en-US" w:eastAsia="zh-CN"/>
            </w:rPr>
            <w:t>0</w:t>
          </w:r>
          <w:r>
            <w:rPr>
              <w:rFonts w:hint="eastAsia" w:ascii="Times New Roman" w:hAnsi="Times New Roman" w:eastAsia="宋体" w:cs="Times New Roman"/>
              <w:sz w:val="24"/>
              <w:szCs w:val="24"/>
              <w:highlight w:val="none"/>
              <w:lang w:val="en-US"/>
            </w:rPr>
            <w:t>.4环境影响评价结论</w:t>
          </w:r>
          <w:r>
            <w:rPr>
              <w:sz w:val="24"/>
              <w:szCs w:val="24"/>
            </w:rPr>
            <w:tab/>
          </w:r>
          <w:r>
            <w:rPr>
              <w:sz w:val="24"/>
              <w:szCs w:val="24"/>
            </w:rPr>
            <w:fldChar w:fldCharType="begin"/>
          </w:r>
          <w:r>
            <w:rPr>
              <w:sz w:val="24"/>
              <w:szCs w:val="24"/>
            </w:rPr>
            <w:instrText xml:space="preserve"> PAGEREF _Toc15624 \h </w:instrText>
          </w:r>
          <w:r>
            <w:rPr>
              <w:sz w:val="24"/>
              <w:szCs w:val="24"/>
            </w:rPr>
            <w:fldChar w:fldCharType="separate"/>
          </w:r>
          <w:r>
            <w:rPr>
              <w:sz w:val="24"/>
              <w:szCs w:val="24"/>
            </w:rPr>
            <w:t>204</w:t>
          </w:r>
          <w:r>
            <w:rPr>
              <w:sz w:val="24"/>
              <w:szCs w:val="24"/>
            </w:rPr>
            <w:fldChar w:fldCharType="end"/>
          </w:r>
          <w:r>
            <w:rPr>
              <w:sz w:val="24"/>
              <w:szCs w:val="24"/>
            </w:rPr>
            <w:fldChar w:fldCharType="end"/>
          </w:r>
        </w:p>
        <w:p w14:paraId="3F4B31DA">
          <w:pPr>
            <w:pStyle w:val="40"/>
            <w:tabs>
              <w:tab w:val="right" w:leader="dot" w:pos="9076"/>
            </w:tabs>
            <w:rPr>
              <w:sz w:val="24"/>
              <w:szCs w:val="24"/>
            </w:rPr>
          </w:pPr>
          <w:r>
            <w:rPr>
              <w:sz w:val="24"/>
              <w:szCs w:val="24"/>
            </w:rPr>
            <w:fldChar w:fldCharType="begin"/>
          </w:r>
          <w:r>
            <w:rPr>
              <w:sz w:val="24"/>
              <w:szCs w:val="24"/>
            </w:rPr>
            <w:instrText xml:space="preserve"> HYPERLINK \l _Toc12381 </w:instrText>
          </w:r>
          <w:r>
            <w:rPr>
              <w:sz w:val="24"/>
              <w:szCs w:val="24"/>
            </w:rPr>
            <w:fldChar w:fldCharType="separate"/>
          </w:r>
          <w:r>
            <w:rPr>
              <w:rFonts w:hint="default" w:ascii="Times New Roman" w:hAnsi="Times New Roman" w:eastAsia="宋体" w:cs="Times New Roman"/>
              <w:sz w:val="24"/>
              <w:szCs w:val="24"/>
              <w:highlight w:val="none"/>
              <w:lang w:val="en-US"/>
            </w:rPr>
            <w:t>1</w:t>
          </w:r>
          <w:r>
            <w:rPr>
              <w:rFonts w:hint="eastAsia" w:ascii="Times New Roman" w:hAnsi="Times New Roman" w:eastAsia="宋体" w:cs="Times New Roman"/>
              <w:sz w:val="24"/>
              <w:szCs w:val="24"/>
              <w:highlight w:val="none"/>
              <w:lang w:val="en-US" w:eastAsia="zh-CN"/>
            </w:rPr>
            <w:t>0</w:t>
          </w:r>
          <w:r>
            <w:rPr>
              <w:rFonts w:hint="default" w:ascii="Times New Roman" w:hAnsi="Times New Roman" w:eastAsia="宋体" w:cs="Times New Roman"/>
              <w:sz w:val="24"/>
              <w:szCs w:val="24"/>
              <w:highlight w:val="none"/>
              <w:lang w:val="en-US"/>
            </w:rPr>
            <w:t>.5环境风险结论</w:t>
          </w:r>
          <w:r>
            <w:rPr>
              <w:sz w:val="24"/>
              <w:szCs w:val="24"/>
            </w:rPr>
            <w:tab/>
          </w:r>
          <w:r>
            <w:rPr>
              <w:sz w:val="24"/>
              <w:szCs w:val="24"/>
            </w:rPr>
            <w:fldChar w:fldCharType="begin"/>
          </w:r>
          <w:r>
            <w:rPr>
              <w:sz w:val="24"/>
              <w:szCs w:val="24"/>
            </w:rPr>
            <w:instrText xml:space="preserve"> PAGEREF _Toc12381 \h </w:instrText>
          </w:r>
          <w:r>
            <w:rPr>
              <w:sz w:val="24"/>
              <w:szCs w:val="24"/>
            </w:rPr>
            <w:fldChar w:fldCharType="separate"/>
          </w:r>
          <w:r>
            <w:rPr>
              <w:sz w:val="24"/>
              <w:szCs w:val="24"/>
            </w:rPr>
            <w:t>206</w:t>
          </w:r>
          <w:r>
            <w:rPr>
              <w:sz w:val="24"/>
              <w:szCs w:val="24"/>
            </w:rPr>
            <w:fldChar w:fldCharType="end"/>
          </w:r>
          <w:r>
            <w:rPr>
              <w:sz w:val="24"/>
              <w:szCs w:val="24"/>
            </w:rPr>
            <w:fldChar w:fldCharType="end"/>
          </w:r>
        </w:p>
        <w:p w14:paraId="45751ED1">
          <w:pPr>
            <w:pStyle w:val="40"/>
            <w:tabs>
              <w:tab w:val="right" w:leader="dot" w:pos="9076"/>
            </w:tabs>
            <w:rPr>
              <w:sz w:val="24"/>
              <w:szCs w:val="24"/>
            </w:rPr>
          </w:pPr>
          <w:r>
            <w:rPr>
              <w:sz w:val="24"/>
              <w:szCs w:val="24"/>
            </w:rPr>
            <w:fldChar w:fldCharType="begin"/>
          </w:r>
          <w:r>
            <w:rPr>
              <w:sz w:val="24"/>
              <w:szCs w:val="24"/>
            </w:rPr>
            <w:instrText xml:space="preserve"> HYPERLINK \l _Toc26796 </w:instrText>
          </w:r>
          <w:r>
            <w:rPr>
              <w:sz w:val="24"/>
              <w:szCs w:val="24"/>
            </w:rPr>
            <w:fldChar w:fldCharType="separate"/>
          </w:r>
          <w:r>
            <w:rPr>
              <w:rFonts w:ascii="Times New Roman" w:hAnsi="Times New Roman" w:eastAsia="Times New Roman" w:cs="Times New Roman"/>
              <w:bCs/>
              <w:spacing w:val="-3"/>
              <w:sz w:val="24"/>
              <w:szCs w:val="24"/>
            </w:rPr>
            <w:t xml:space="preserve">10.6 </w:t>
          </w:r>
          <w:r>
            <w:rPr>
              <w:rFonts w:ascii="宋体" w:hAnsi="宋体" w:eastAsia="宋体" w:cs="宋体"/>
              <w:bCs/>
              <w:spacing w:val="-3"/>
              <w:sz w:val="24"/>
              <w:szCs w:val="24"/>
            </w:rPr>
            <w:t>环境影响经济损益分析结论</w:t>
          </w:r>
          <w:r>
            <w:rPr>
              <w:sz w:val="24"/>
              <w:szCs w:val="24"/>
            </w:rPr>
            <w:tab/>
          </w:r>
          <w:r>
            <w:rPr>
              <w:sz w:val="24"/>
              <w:szCs w:val="24"/>
            </w:rPr>
            <w:fldChar w:fldCharType="begin"/>
          </w:r>
          <w:r>
            <w:rPr>
              <w:sz w:val="24"/>
              <w:szCs w:val="24"/>
            </w:rPr>
            <w:instrText xml:space="preserve"> PAGEREF _Toc26796 \h </w:instrText>
          </w:r>
          <w:r>
            <w:rPr>
              <w:sz w:val="24"/>
              <w:szCs w:val="24"/>
            </w:rPr>
            <w:fldChar w:fldCharType="separate"/>
          </w:r>
          <w:r>
            <w:rPr>
              <w:sz w:val="24"/>
              <w:szCs w:val="24"/>
            </w:rPr>
            <w:t>206</w:t>
          </w:r>
          <w:r>
            <w:rPr>
              <w:sz w:val="24"/>
              <w:szCs w:val="24"/>
            </w:rPr>
            <w:fldChar w:fldCharType="end"/>
          </w:r>
          <w:r>
            <w:rPr>
              <w:sz w:val="24"/>
              <w:szCs w:val="24"/>
            </w:rPr>
            <w:fldChar w:fldCharType="end"/>
          </w:r>
        </w:p>
        <w:p w14:paraId="77CD8BC2">
          <w:pPr>
            <w:pStyle w:val="40"/>
            <w:tabs>
              <w:tab w:val="right" w:leader="dot" w:pos="9076"/>
            </w:tabs>
            <w:rPr>
              <w:sz w:val="24"/>
              <w:szCs w:val="24"/>
            </w:rPr>
          </w:pPr>
          <w:r>
            <w:rPr>
              <w:sz w:val="24"/>
              <w:szCs w:val="24"/>
            </w:rPr>
            <w:fldChar w:fldCharType="begin"/>
          </w:r>
          <w:r>
            <w:rPr>
              <w:sz w:val="24"/>
              <w:szCs w:val="24"/>
            </w:rPr>
            <w:instrText xml:space="preserve"> HYPERLINK \l _Toc11911 </w:instrText>
          </w:r>
          <w:r>
            <w:rPr>
              <w:sz w:val="24"/>
              <w:szCs w:val="24"/>
            </w:rPr>
            <w:fldChar w:fldCharType="separate"/>
          </w:r>
          <w:r>
            <w:rPr>
              <w:rFonts w:ascii="Times New Roman" w:hAnsi="Times New Roman" w:eastAsia="Times New Roman" w:cs="Times New Roman"/>
              <w:bCs/>
              <w:spacing w:val="-3"/>
              <w:sz w:val="24"/>
              <w:szCs w:val="24"/>
            </w:rPr>
            <w:t xml:space="preserve">10.7 </w:t>
          </w:r>
          <w:r>
            <w:rPr>
              <w:rFonts w:ascii="宋体" w:hAnsi="宋体" w:eastAsia="宋体" w:cs="宋体"/>
              <w:bCs/>
              <w:spacing w:val="-3"/>
              <w:sz w:val="24"/>
              <w:szCs w:val="24"/>
            </w:rPr>
            <w:t>环境保护管理与监测计划</w:t>
          </w:r>
          <w:r>
            <w:rPr>
              <w:sz w:val="24"/>
              <w:szCs w:val="24"/>
            </w:rPr>
            <w:tab/>
          </w:r>
          <w:r>
            <w:rPr>
              <w:sz w:val="24"/>
              <w:szCs w:val="24"/>
            </w:rPr>
            <w:fldChar w:fldCharType="begin"/>
          </w:r>
          <w:r>
            <w:rPr>
              <w:sz w:val="24"/>
              <w:szCs w:val="24"/>
            </w:rPr>
            <w:instrText xml:space="preserve"> PAGEREF _Toc11911 \h </w:instrText>
          </w:r>
          <w:r>
            <w:rPr>
              <w:sz w:val="24"/>
              <w:szCs w:val="24"/>
            </w:rPr>
            <w:fldChar w:fldCharType="separate"/>
          </w:r>
          <w:r>
            <w:rPr>
              <w:sz w:val="24"/>
              <w:szCs w:val="24"/>
            </w:rPr>
            <w:t>207</w:t>
          </w:r>
          <w:r>
            <w:rPr>
              <w:sz w:val="24"/>
              <w:szCs w:val="24"/>
            </w:rPr>
            <w:fldChar w:fldCharType="end"/>
          </w:r>
          <w:r>
            <w:rPr>
              <w:sz w:val="24"/>
              <w:szCs w:val="24"/>
            </w:rPr>
            <w:fldChar w:fldCharType="end"/>
          </w:r>
        </w:p>
        <w:p w14:paraId="57F70B6A">
          <w:pPr>
            <w:pStyle w:val="40"/>
            <w:tabs>
              <w:tab w:val="right" w:leader="dot" w:pos="9076"/>
            </w:tabs>
            <w:rPr>
              <w:sz w:val="24"/>
              <w:szCs w:val="24"/>
            </w:rPr>
          </w:pPr>
          <w:r>
            <w:rPr>
              <w:sz w:val="24"/>
              <w:szCs w:val="24"/>
            </w:rPr>
            <w:fldChar w:fldCharType="begin"/>
          </w:r>
          <w:r>
            <w:rPr>
              <w:sz w:val="24"/>
              <w:szCs w:val="24"/>
            </w:rPr>
            <w:instrText xml:space="preserve"> HYPERLINK \l _Toc24465 </w:instrText>
          </w:r>
          <w:r>
            <w:rPr>
              <w:sz w:val="24"/>
              <w:szCs w:val="24"/>
            </w:rPr>
            <w:fldChar w:fldCharType="separate"/>
          </w:r>
          <w:r>
            <w:rPr>
              <w:rFonts w:ascii="Times New Roman" w:hAnsi="Times New Roman" w:eastAsia="Times New Roman" w:cs="Times New Roman"/>
              <w:bCs/>
              <w:spacing w:val="-5"/>
              <w:sz w:val="24"/>
              <w:szCs w:val="24"/>
            </w:rPr>
            <w:t>10.8</w:t>
          </w:r>
          <w:r>
            <w:rPr>
              <w:rFonts w:ascii="Times New Roman" w:hAnsi="Times New Roman" w:eastAsia="Times New Roman" w:cs="Times New Roman"/>
              <w:bCs/>
              <w:spacing w:val="21"/>
              <w:sz w:val="24"/>
              <w:szCs w:val="24"/>
            </w:rPr>
            <w:t xml:space="preserve"> </w:t>
          </w:r>
          <w:r>
            <w:rPr>
              <w:rFonts w:ascii="宋体" w:hAnsi="宋体" w:eastAsia="宋体" w:cs="宋体"/>
              <w:bCs/>
              <w:spacing w:val="-5"/>
              <w:sz w:val="24"/>
              <w:szCs w:val="24"/>
            </w:rPr>
            <w:t>公众意见采纳情况</w:t>
          </w:r>
          <w:r>
            <w:rPr>
              <w:sz w:val="24"/>
              <w:szCs w:val="24"/>
            </w:rPr>
            <w:tab/>
          </w:r>
          <w:r>
            <w:rPr>
              <w:sz w:val="24"/>
              <w:szCs w:val="24"/>
            </w:rPr>
            <w:fldChar w:fldCharType="begin"/>
          </w:r>
          <w:r>
            <w:rPr>
              <w:sz w:val="24"/>
              <w:szCs w:val="24"/>
            </w:rPr>
            <w:instrText xml:space="preserve"> PAGEREF _Toc24465 \h </w:instrText>
          </w:r>
          <w:r>
            <w:rPr>
              <w:sz w:val="24"/>
              <w:szCs w:val="24"/>
            </w:rPr>
            <w:fldChar w:fldCharType="separate"/>
          </w:r>
          <w:r>
            <w:rPr>
              <w:sz w:val="24"/>
              <w:szCs w:val="24"/>
            </w:rPr>
            <w:t>207</w:t>
          </w:r>
          <w:r>
            <w:rPr>
              <w:sz w:val="24"/>
              <w:szCs w:val="24"/>
            </w:rPr>
            <w:fldChar w:fldCharType="end"/>
          </w:r>
          <w:r>
            <w:rPr>
              <w:sz w:val="24"/>
              <w:szCs w:val="24"/>
            </w:rPr>
            <w:fldChar w:fldCharType="end"/>
          </w:r>
        </w:p>
        <w:p w14:paraId="54DB2FF1">
          <w:pPr>
            <w:pStyle w:val="40"/>
            <w:tabs>
              <w:tab w:val="right" w:leader="dot" w:pos="9076"/>
            </w:tabs>
            <w:rPr>
              <w:sz w:val="24"/>
              <w:szCs w:val="24"/>
            </w:rPr>
          </w:pPr>
          <w:r>
            <w:rPr>
              <w:sz w:val="24"/>
              <w:szCs w:val="24"/>
            </w:rPr>
            <w:fldChar w:fldCharType="begin"/>
          </w:r>
          <w:r>
            <w:rPr>
              <w:sz w:val="24"/>
              <w:szCs w:val="24"/>
            </w:rPr>
            <w:instrText xml:space="preserve"> HYPERLINK \l _Toc6097 </w:instrText>
          </w:r>
          <w:r>
            <w:rPr>
              <w:sz w:val="24"/>
              <w:szCs w:val="24"/>
            </w:rPr>
            <w:fldChar w:fldCharType="separate"/>
          </w:r>
          <w:r>
            <w:rPr>
              <w:rFonts w:ascii="Times New Roman" w:hAnsi="Times New Roman" w:eastAsia="Times New Roman" w:cs="Times New Roman"/>
              <w:bCs/>
              <w:spacing w:val="-6"/>
              <w:sz w:val="24"/>
              <w:szCs w:val="24"/>
            </w:rPr>
            <w:t>10.10</w:t>
          </w:r>
          <w:r>
            <w:rPr>
              <w:rFonts w:ascii="Times New Roman" w:hAnsi="Times New Roman" w:eastAsia="Times New Roman" w:cs="Times New Roman"/>
              <w:bCs/>
              <w:spacing w:val="16"/>
              <w:sz w:val="24"/>
              <w:szCs w:val="24"/>
            </w:rPr>
            <w:t xml:space="preserve"> </w:t>
          </w:r>
          <w:r>
            <w:rPr>
              <w:rFonts w:ascii="宋体" w:hAnsi="宋体" w:eastAsia="宋体" w:cs="宋体"/>
              <w:bCs/>
              <w:spacing w:val="-6"/>
              <w:sz w:val="24"/>
              <w:szCs w:val="24"/>
            </w:rPr>
            <w:t>建议</w:t>
          </w:r>
          <w:r>
            <w:rPr>
              <w:sz w:val="24"/>
              <w:szCs w:val="24"/>
            </w:rPr>
            <w:tab/>
          </w:r>
          <w:r>
            <w:rPr>
              <w:sz w:val="24"/>
              <w:szCs w:val="24"/>
            </w:rPr>
            <w:fldChar w:fldCharType="begin"/>
          </w:r>
          <w:r>
            <w:rPr>
              <w:sz w:val="24"/>
              <w:szCs w:val="24"/>
            </w:rPr>
            <w:instrText xml:space="preserve"> PAGEREF _Toc6097 \h </w:instrText>
          </w:r>
          <w:r>
            <w:rPr>
              <w:sz w:val="24"/>
              <w:szCs w:val="24"/>
            </w:rPr>
            <w:fldChar w:fldCharType="separate"/>
          </w:r>
          <w:r>
            <w:rPr>
              <w:sz w:val="24"/>
              <w:szCs w:val="24"/>
            </w:rPr>
            <w:t>208</w:t>
          </w:r>
          <w:r>
            <w:rPr>
              <w:sz w:val="24"/>
              <w:szCs w:val="24"/>
            </w:rPr>
            <w:fldChar w:fldCharType="end"/>
          </w:r>
          <w:r>
            <w:rPr>
              <w:sz w:val="24"/>
              <w:szCs w:val="24"/>
            </w:rPr>
            <w:fldChar w:fldCharType="end"/>
          </w:r>
        </w:p>
        <w:p w14:paraId="1F05BA75">
          <w:r>
            <w:fldChar w:fldCharType="end"/>
          </w:r>
        </w:p>
      </w:sdtContent>
    </w:sdt>
    <w:p w14:paraId="19093266">
      <w:pPr>
        <w:keepNext w:val="0"/>
        <w:keepLines w:val="0"/>
        <w:pageBreakBefore w:val="0"/>
        <w:kinsoku/>
        <w:overflowPunct/>
        <w:autoSpaceDE/>
        <w:autoSpaceDN/>
        <w:bidi w:val="0"/>
        <w:adjustRightInd/>
        <w:snapToGrid/>
        <w:ind w:firstLine="482" w:firstLineChars="200"/>
        <w:textAlignment w:val="auto"/>
        <w:rPr>
          <w:rFonts w:hint="eastAsia" w:cs="Times New Roman"/>
          <w:b/>
          <w:bCs w:val="0"/>
          <w:color w:val="auto"/>
          <w:sz w:val="24"/>
          <w:szCs w:val="24"/>
          <w:highlight w:val="none"/>
          <w:u w:val="none" w:color="auto"/>
          <w:lang w:val="en-US" w:eastAsia="zh-CN"/>
        </w:rPr>
      </w:pPr>
      <w:r>
        <w:rPr>
          <w:rFonts w:hint="eastAsia" w:cs="Times New Roman"/>
          <w:b/>
          <w:bCs w:val="0"/>
          <w:color w:val="auto"/>
          <w:sz w:val="24"/>
          <w:szCs w:val="24"/>
          <w:highlight w:val="none"/>
          <w:u w:val="none" w:color="auto"/>
          <w:lang w:val="en-US" w:eastAsia="zh-CN"/>
        </w:rPr>
        <w:t>附件：</w:t>
      </w:r>
    </w:p>
    <w:p w14:paraId="1EA7A31F">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附件1</w:t>
      </w:r>
      <w:r>
        <w:rPr>
          <w:rFonts w:hint="eastAsia"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环境影响评价</w:t>
      </w:r>
      <w:r>
        <w:rPr>
          <w:rFonts w:hint="eastAsia" w:cs="Times New Roman"/>
          <w:color w:val="auto"/>
          <w:kern w:val="13"/>
          <w:sz w:val="24"/>
          <w:szCs w:val="24"/>
          <w:highlight w:val="none"/>
          <w:u w:val="none" w:color="auto"/>
          <w:lang w:val="en-US" w:eastAsia="zh-CN"/>
        </w:rPr>
        <w:t>委托</w:t>
      </w:r>
      <w:r>
        <w:rPr>
          <w:rFonts w:hint="default" w:ascii="Times New Roman" w:hAnsi="Times New Roman" w:cs="Times New Roman"/>
          <w:color w:val="auto"/>
          <w:kern w:val="13"/>
          <w:sz w:val="24"/>
          <w:szCs w:val="24"/>
          <w:highlight w:val="none"/>
          <w:u w:val="none" w:color="auto"/>
        </w:rPr>
        <w:t>书</w:t>
      </w:r>
    </w:p>
    <w:p w14:paraId="3E4F4A11">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附件2</w:t>
      </w:r>
      <w:r>
        <w:rPr>
          <w:rFonts w:hint="eastAsia"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请愿书</w:t>
      </w:r>
    </w:p>
    <w:p w14:paraId="65045D46">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附件3</w:t>
      </w:r>
      <w:r>
        <w:rPr>
          <w:rFonts w:hint="eastAsia"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责任主体证明</w:t>
      </w:r>
    </w:p>
    <w:p w14:paraId="5052F894">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附件4</w:t>
      </w:r>
      <w:r>
        <w:rPr>
          <w:rFonts w:hint="eastAsia"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污染状况调查报告专家评审意见</w:t>
      </w:r>
    </w:p>
    <w:p w14:paraId="61CAB7EC">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附件5</w:t>
      </w:r>
      <w:r>
        <w:rPr>
          <w:rFonts w:hint="eastAsia"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实施方案评审意见</w:t>
      </w:r>
    </w:p>
    <w:p w14:paraId="15E492DB">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附件6</w:t>
      </w:r>
      <w:r>
        <w:rPr>
          <w:rFonts w:hint="eastAsia"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可行性研究报告的批复</w:t>
      </w:r>
    </w:p>
    <w:p w14:paraId="3AA469DA">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附件7</w:t>
      </w:r>
      <w:r>
        <w:rPr>
          <w:rFonts w:hint="eastAsia" w:ascii="Times New Roman" w:hAnsi="Times New Roman" w:cs="Times New Roman"/>
          <w:color w:val="auto"/>
          <w:kern w:val="13"/>
          <w:sz w:val="24"/>
          <w:szCs w:val="24"/>
          <w:highlight w:val="none"/>
          <w:u w:val="none" w:color="auto"/>
          <w:lang w:val="en-US" w:eastAsia="zh-CN"/>
        </w:rPr>
        <w:t xml:space="preserve"> </w:t>
      </w:r>
      <w:r>
        <w:rPr>
          <w:rFonts w:hint="eastAsia" w:cs="Times New Roman"/>
          <w:color w:val="auto"/>
          <w:kern w:val="13"/>
          <w:sz w:val="24"/>
          <w:szCs w:val="24"/>
          <w:highlight w:val="none"/>
          <w:u w:val="none" w:color="auto"/>
          <w:lang w:val="en-US" w:eastAsia="zh-CN"/>
        </w:rPr>
        <w:t>实施方案的初步审查意见</w:t>
      </w:r>
    </w:p>
    <w:p w14:paraId="7C64E9A9">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附件8</w:t>
      </w:r>
      <w:r>
        <w:rPr>
          <w:rFonts w:hint="eastAsia" w:ascii="Times New Roman" w:hAnsi="Times New Roman" w:cs="Times New Roman"/>
          <w:color w:val="auto"/>
          <w:kern w:val="13"/>
          <w:sz w:val="24"/>
          <w:szCs w:val="24"/>
          <w:highlight w:val="none"/>
          <w:u w:val="none" w:color="auto"/>
          <w:lang w:val="en-US" w:eastAsia="zh-CN"/>
        </w:rPr>
        <w:t xml:space="preserve"> </w:t>
      </w:r>
      <w:r>
        <w:rPr>
          <w:rFonts w:hint="eastAsia"/>
          <w:color w:val="auto"/>
          <w:kern w:val="13"/>
          <w:sz w:val="24"/>
          <w:szCs w:val="24"/>
          <w:highlight w:val="none"/>
          <w:u w:val="none" w:color="auto"/>
        </w:rPr>
        <w:t>初步设计专家评审意见</w:t>
      </w:r>
    </w:p>
    <w:p w14:paraId="2F6EFFE8">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附件9</w:t>
      </w:r>
      <w:r>
        <w:rPr>
          <w:rFonts w:hint="eastAsia" w:ascii="Times New Roman" w:hAnsi="Times New Roman" w:cs="Times New Roman"/>
          <w:color w:val="auto"/>
          <w:kern w:val="13"/>
          <w:sz w:val="24"/>
          <w:szCs w:val="24"/>
          <w:highlight w:val="none"/>
          <w:u w:val="none" w:color="auto"/>
          <w:lang w:val="en-US" w:eastAsia="zh-CN"/>
        </w:rPr>
        <w:t xml:space="preserve"> </w:t>
      </w:r>
      <w:r>
        <w:rPr>
          <w:rFonts w:hint="eastAsia"/>
          <w:color w:val="auto"/>
          <w:kern w:val="13"/>
          <w:sz w:val="24"/>
          <w:szCs w:val="24"/>
          <w:highlight w:val="none"/>
          <w:u w:val="none" w:color="auto"/>
        </w:rPr>
        <w:t>配套资金的承诺函</w:t>
      </w:r>
    </w:p>
    <w:p w14:paraId="66D78B55">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附件10</w:t>
      </w:r>
      <w:r>
        <w:rPr>
          <w:rFonts w:hint="eastAsia" w:ascii="Times New Roman" w:hAnsi="Times New Roman" w:cs="Times New Roman"/>
          <w:color w:val="auto"/>
          <w:kern w:val="13"/>
          <w:sz w:val="24"/>
          <w:szCs w:val="24"/>
          <w:highlight w:val="none"/>
          <w:u w:val="none" w:color="auto"/>
          <w:lang w:val="en-US" w:eastAsia="zh-CN"/>
        </w:rPr>
        <w:t xml:space="preserve"> </w:t>
      </w:r>
      <w:r>
        <w:rPr>
          <w:rFonts w:hint="eastAsia"/>
          <w:color w:val="auto"/>
          <w:kern w:val="13"/>
          <w:sz w:val="24"/>
          <w:szCs w:val="24"/>
          <w:highlight w:val="none"/>
          <w:u w:val="none" w:color="auto"/>
        </w:rPr>
        <w:t>用地性质证明</w:t>
      </w:r>
    </w:p>
    <w:p w14:paraId="3517CD64">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附件11</w:t>
      </w:r>
      <w:r>
        <w:rPr>
          <w:rFonts w:hint="eastAsia" w:ascii="Times New Roman" w:hAnsi="Times New Roman" w:cs="Times New Roman"/>
          <w:color w:val="auto"/>
          <w:kern w:val="13"/>
          <w:sz w:val="24"/>
          <w:szCs w:val="24"/>
          <w:highlight w:val="none"/>
          <w:u w:val="none" w:color="auto"/>
          <w:lang w:val="en-US" w:eastAsia="zh-CN"/>
        </w:rPr>
        <w:t xml:space="preserve"> </w:t>
      </w:r>
      <w:r>
        <w:rPr>
          <w:rFonts w:hint="eastAsia"/>
          <w:color w:val="auto"/>
          <w:kern w:val="13"/>
          <w:sz w:val="24"/>
          <w:szCs w:val="24"/>
          <w:highlight w:val="none"/>
          <w:u w:val="none" w:color="auto"/>
        </w:rPr>
        <w:t>林地属性查询说明</w:t>
      </w:r>
    </w:p>
    <w:p w14:paraId="54E7B27F">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附件12</w:t>
      </w:r>
      <w:r>
        <w:rPr>
          <w:rFonts w:hint="default" w:ascii="Times New Roman" w:hAnsi="Times New Roman" w:cs="Times New Roman"/>
          <w:color w:val="auto"/>
          <w:kern w:val="13"/>
          <w:sz w:val="24"/>
          <w:szCs w:val="24"/>
          <w:highlight w:val="none"/>
          <w:u w:val="none" w:color="auto"/>
          <w:lang w:val="en-US" w:eastAsia="zh-CN"/>
        </w:rPr>
        <w:t xml:space="preserve"> </w:t>
      </w:r>
      <w:r>
        <w:rPr>
          <w:rFonts w:hint="default" w:ascii="Times New Roman" w:hAnsi="Times New Roman" w:cs="Times New Roman"/>
          <w:color w:val="auto"/>
          <w:kern w:val="13"/>
          <w:sz w:val="24"/>
          <w:szCs w:val="24"/>
          <w:highlight w:val="none"/>
          <w:u w:val="none" w:color="auto"/>
        </w:rPr>
        <w:t>渗滤液接收协议</w:t>
      </w:r>
    </w:p>
    <w:p w14:paraId="166D0ABB">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cs="Times New Roman"/>
          <w:color w:val="auto"/>
          <w:kern w:val="13"/>
          <w:sz w:val="24"/>
          <w:szCs w:val="24"/>
          <w:highlight w:val="none"/>
          <w:u w:val="none" w:color="auto"/>
        </w:rPr>
      </w:pPr>
      <w:r>
        <w:rPr>
          <w:rFonts w:hint="default" w:ascii="Times New Roman" w:hAnsi="Times New Roman" w:cs="Times New Roman"/>
          <w:color w:val="auto"/>
          <w:kern w:val="13"/>
          <w:sz w:val="24"/>
          <w:szCs w:val="24"/>
          <w:highlight w:val="none"/>
          <w:u w:val="none" w:color="auto"/>
        </w:rPr>
        <w:t>附件1</w:t>
      </w:r>
      <w:r>
        <w:rPr>
          <w:rFonts w:hint="default" w:ascii="Times New Roman" w:hAnsi="Times New Roman" w:cs="Times New Roman"/>
          <w:color w:val="auto"/>
          <w:kern w:val="13"/>
          <w:sz w:val="24"/>
          <w:szCs w:val="24"/>
          <w:highlight w:val="none"/>
          <w:u w:val="none" w:color="auto"/>
          <w:lang w:val="en-US" w:eastAsia="zh-CN"/>
        </w:rPr>
        <w:t xml:space="preserve">3 </w:t>
      </w:r>
      <w:r>
        <w:rPr>
          <w:rFonts w:hint="default" w:ascii="Times New Roman" w:hAnsi="Times New Roman" w:cs="Times New Roman"/>
          <w:color w:val="auto"/>
          <w:kern w:val="13"/>
          <w:sz w:val="24"/>
          <w:szCs w:val="24"/>
          <w:highlight w:val="none"/>
          <w:u w:val="none" w:color="auto"/>
        </w:rPr>
        <w:t>检测报告</w:t>
      </w:r>
    </w:p>
    <w:p w14:paraId="6F2FEC9A">
      <w:pPr>
        <w:keepNext w:val="0"/>
        <w:keepLines w:val="0"/>
        <w:pageBreakBefore w:val="0"/>
        <w:kinsoku/>
        <w:overflowPunct/>
        <w:autoSpaceDE/>
        <w:autoSpaceDN/>
        <w:bidi w:val="0"/>
        <w:adjustRightInd/>
        <w:snapToGrid/>
        <w:ind w:firstLine="482" w:firstLineChars="200"/>
        <w:textAlignment w:val="auto"/>
        <w:rPr>
          <w:rFonts w:hint="default" w:ascii="Times New Roman" w:hAnsi="Times New Roman" w:eastAsia="宋体" w:cs="Times New Roman"/>
          <w:b/>
          <w:bCs/>
          <w:color w:val="auto"/>
          <w:kern w:val="13"/>
          <w:sz w:val="24"/>
          <w:szCs w:val="24"/>
          <w:highlight w:val="none"/>
          <w:u w:val="none" w:color="auto"/>
          <w:lang w:val="en-US" w:eastAsia="zh-CN"/>
        </w:rPr>
      </w:pPr>
      <w:r>
        <w:rPr>
          <w:rFonts w:hint="eastAsia" w:ascii="Times New Roman" w:hAnsi="Times New Roman" w:cs="Times New Roman"/>
          <w:b/>
          <w:bCs/>
          <w:color w:val="auto"/>
          <w:kern w:val="13"/>
          <w:sz w:val="24"/>
          <w:szCs w:val="24"/>
          <w:highlight w:val="none"/>
          <w:u w:val="none" w:color="auto"/>
          <w:lang w:val="en-US" w:eastAsia="zh-CN"/>
        </w:rPr>
        <w:t>附图：</w:t>
      </w:r>
    </w:p>
    <w:p w14:paraId="2AC1C1D9">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附图1</w:t>
      </w:r>
      <w:r>
        <w:rPr>
          <w:rFonts w:hint="eastAsia" w:ascii="Times New Roman" w:hAnsi="Times New Roman" w:eastAsia="宋体" w:cs="Times New Roman"/>
          <w:color w:val="auto"/>
          <w:kern w:val="13"/>
          <w:sz w:val="24"/>
          <w:szCs w:val="24"/>
          <w:highlight w:val="none"/>
          <w:u w:val="none" w:color="auto"/>
          <w:lang w:val="en-US" w:eastAsia="zh-CN"/>
        </w:rPr>
        <w:t xml:space="preserve"> </w:t>
      </w:r>
      <w:r>
        <w:rPr>
          <w:rFonts w:hint="default" w:ascii="Times New Roman" w:hAnsi="Times New Roman" w:eastAsia="宋体" w:cs="Times New Roman"/>
          <w:color w:val="auto"/>
          <w:kern w:val="13"/>
          <w:sz w:val="24"/>
          <w:szCs w:val="24"/>
          <w:highlight w:val="none"/>
          <w:u w:val="none" w:color="auto"/>
        </w:rPr>
        <w:t>项目地理位置图</w:t>
      </w:r>
    </w:p>
    <w:p w14:paraId="7230AC44">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附图2</w:t>
      </w:r>
      <w:r>
        <w:rPr>
          <w:rFonts w:hint="eastAsia" w:ascii="Times New Roman" w:hAnsi="Times New Roman" w:eastAsia="宋体" w:cs="Times New Roman"/>
          <w:color w:val="auto"/>
          <w:kern w:val="13"/>
          <w:sz w:val="24"/>
          <w:szCs w:val="24"/>
          <w:highlight w:val="none"/>
          <w:u w:val="none" w:color="auto"/>
          <w:lang w:val="en-US" w:eastAsia="zh-CN"/>
        </w:rPr>
        <w:t xml:space="preserve"> </w:t>
      </w:r>
      <w:r>
        <w:rPr>
          <w:rFonts w:hint="default" w:ascii="Times New Roman" w:hAnsi="Times New Roman" w:eastAsia="宋体" w:cs="Times New Roman"/>
          <w:color w:val="auto"/>
          <w:kern w:val="13"/>
          <w:sz w:val="24"/>
          <w:szCs w:val="24"/>
          <w:highlight w:val="none"/>
          <w:u w:val="none" w:color="auto"/>
        </w:rPr>
        <w:t>总平面布置图</w:t>
      </w:r>
    </w:p>
    <w:p w14:paraId="7AD3EDD7">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附图3</w:t>
      </w:r>
      <w:r>
        <w:rPr>
          <w:rFonts w:hint="eastAsia" w:ascii="Times New Roman" w:hAnsi="Times New Roman" w:eastAsia="宋体" w:cs="Times New Roman"/>
          <w:color w:val="auto"/>
          <w:kern w:val="13"/>
          <w:sz w:val="24"/>
          <w:szCs w:val="24"/>
          <w:highlight w:val="none"/>
          <w:u w:val="none" w:color="auto"/>
          <w:lang w:val="en-US" w:eastAsia="zh-CN"/>
        </w:rPr>
        <w:t xml:space="preserve"> 填埋场</w:t>
      </w:r>
      <w:r>
        <w:rPr>
          <w:rFonts w:hint="eastAsia" w:cs="Times New Roman"/>
          <w:color w:val="auto"/>
          <w:kern w:val="13"/>
          <w:sz w:val="24"/>
          <w:szCs w:val="24"/>
          <w:highlight w:val="none"/>
          <w:u w:val="none" w:color="auto"/>
          <w:lang w:val="en-US" w:eastAsia="zh-CN"/>
        </w:rPr>
        <w:t>以及渣区</w:t>
      </w:r>
      <w:r>
        <w:rPr>
          <w:rFonts w:hint="eastAsia" w:ascii="Times New Roman" w:hAnsi="Times New Roman" w:eastAsia="宋体" w:cs="Times New Roman"/>
          <w:color w:val="auto"/>
          <w:kern w:val="13"/>
          <w:sz w:val="24"/>
          <w:szCs w:val="24"/>
          <w:highlight w:val="none"/>
          <w:u w:val="none" w:color="auto"/>
          <w:lang w:val="en-US" w:eastAsia="zh-CN"/>
        </w:rPr>
        <w:t>平面布置图</w:t>
      </w:r>
    </w:p>
    <w:p w14:paraId="16CDA086">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附图4</w:t>
      </w:r>
      <w:r>
        <w:rPr>
          <w:rFonts w:hint="eastAsia" w:ascii="Times New Roman" w:hAnsi="Times New Roman" w:eastAsia="宋体" w:cs="Times New Roman"/>
          <w:color w:val="auto"/>
          <w:kern w:val="13"/>
          <w:sz w:val="24"/>
          <w:szCs w:val="24"/>
          <w:highlight w:val="none"/>
          <w:u w:val="none" w:color="auto"/>
          <w:lang w:val="en-US" w:eastAsia="zh-CN"/>
        </w:rPr>
        <w:t xml:space="preserve"> 生态评价范围以及主要环保目标示意图</w:t>
      </w:r>
    </w:p>
    <w:p w14:paraId="7E231151">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附图5</w:t>
      </w:r>
      <w:r>
        <w:rPr>
          <w:rFonts w:hint="eastAsia" w:ascii="Times New Roman" w:hAnsi="Times New Roman" w:eastAsia="宋体" w:cs="Times New Roman"/>
          <w:color w:val="auto"/>
          <w:kern w:val="13"/>
          <w:sz w:val="24"/>
          <w:szCs w:val="24"/>
          <w:highlight w:val="none"/>
          <w:u w:val="none" w:color="auto"/>
          <w:lang w:val="en-US" w:eastAsia="zh-CN"/>
        </w:rPr>
        <w:t xml:space="preserve"> 地下水、土壤、声环境评价范围图</w:t>
      </w:r>
    </w:p>
    <w:p w14:paraId="75F077AB">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附图6</w:t>
      </w:r>
      <w:r>
        <w:rPr>
          <w:rFonts w:hint="eastAsia" w:ascii="Times New Roman" w:hAnsi="Times New Roman" w:eastAsia="宋体" w:cs="Times New Roman"/>
          <w:color w:val="auto"/>
          <w:kern w:val="13"/>
          <w:sz w:val="24"/>
          <w:szCs w:val="24"/>
          <w:highlight w:val="none"/>
          <w:u w:val="none" w:color="auto"/>
          <w:lang w:val="en-US" w:eastAsia="zh-CN"/>
        </w:rPr>
        <w:t xml:space="preserve"> 区域水系图</w:t>
      </w:r>
    </w:p>
    <w:p w14:paraId="69D8A1B2">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w:t>
      </w:r>
      <w:r>
        <w:rPr>
          <w:rFonts w:hint="eastAsia" w:ascii="Times New Roman" w:hAnsi="Times New Roman" w:eastAsia="宋体" w:cs="Times New Roman"/>
          <w:color w:val="auto"/>
          <w:kern w:val="13"/>
          <w:sz w:val="24"/>
          <w:szCs w:val="24"/>
          <w:highlight w:val="none"/>
          <w:u w:val="none" w:color="auto"/>
          <w:lang w:val="en-US" w:eastAsia="zh-CN"/>
        </w:rPr>
        <w:t>7 水文地质图</w:t>
      </w:r>
    </w:p>
    <w:p w14:paraId="37473C5F">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w:t>
      </w:r>
      <w:r>
        <w:rPr>
          <w:rFonts w:hint="eastAsia" w:ascii="Times New Roman" w:hAnsi="Times New Roman" w:eastAsia="宋体" w:cs="Times New Roman"/>
          <w:color w:val="auto"/>
          <w:kern w:val="13"/>
          <w:sz w:val="24"/>
          <w:szCs w:val="24"/>
          <w:highlight w:val="none"/>
          <w:u w:val="none" w:color="auto"/>
          <w:lang w:val="en-US" w:eastAsia="zh-CN"/>
        </w:rPr>
        <w:t>8 项目与“三区三线”及永久基本农田套合图</w:t>
      </w:r>
    </w:p>
    <w:p w14:paraId="69B4AB69">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w:t>
      </w:r>
      <w:r>
        <w:rPr>
          <w:rFonts w:hint="eastAsia" w:ascii="Times New Roman" w:hAnsi="Times New Roman" w:eastAsia="宋体" w:cs="Times New Roman"/>
          <w:color w:val="auto"/>
          <w:kern w:val="13"/>
          <w:sz w:val="24"/>
          <w:szCs w:val="24"/>
          <w:highlight w:val="none"/>
          <w:u w:val="none" w:color="auto"/>
          <w:lang w:val="en-US" w:eastAsia="zh-CN"/>
        </w:rPr>
        <w:t>9 土地利用现状以及植被类型分布图</w:t>
      </w:r>
    </w:p>
    <w:p w14:paraId="613E05F2">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附图1</w:t>
      </w:r>
      <w:r>
        <w:rPr>
          <w:rFonts w:hint="eastAsia" w:ascii="Times New Roman" w:hAnsi="Times New Roman" w:eastAsia="宋体" w:cs="Times New Roman"/>
          <w:color w:val="auto"/>
          <w:kern w:val="13"/>
          <w:sz w:val="24"/>
          <w:szCs w:val="24"/>
          <w:highlight w:val="none"/>
          <w:u w:val="none" w:color="auto"/>
          <w:lang w:val="en-US" w:eastAsia="zh-CN"/>
        </w:rPr>
        <w:t>0 监测点位图</w:t>
      </w:r>
    </w:p>
    <w:p w14:paraId="48EDC9A4">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附图1</w:t>
      </w:r>
      <w:r>
        <w:rPr>
          <w:rFonts w:hint="eastAsia" w:ascii="Times New Roman" w:hAnsi="Times New Roman" w:eastAsia="宋体" w:cs="Times New Roman"/>
          <w:color w:val="auto"/>
          <w:kern w:val="13"/>
          <w:sz w:val="24"/>
          <w:szCs w:val="24"/>
          <w:highlight w:val="none"/>
          <w:u w:val="none" w:color="auto"/>
          <w:lang w:val="en-US" w:eastAsia="zh-CN"/>
        </w:rPr>
        <w:t>1 生态保护措施</w:t>
      </w:r>
      <w:r>
        <w:rPr>
          <w:rFonts w:hint="eastAsia" w:cs="Times New Roman"/>
          <w:color w:val="auto"/>
          <w:kern w:val="13"/>
          <w:sz w:val="24"/>
          <w:szCs w:val="24"/>
          <w:highlight w:val="none"/>
          <w:u w:val="none" w:color="auto"/>
          <w:lang w:val="en-US" w:eastAsia="zh-CN"/>
        </w:rPr>
        <w:t>以及施工保护措施</w:t>
      </w:r>
      <w:r>
        <w:rPr>
          <w:rFonts w:hint="eastAsia" w:ascii="Times New Roman" w:hAnsi="Times New Roman" w:eastAsia="宋体" w:cs="Times New Roman"/>
          <w:color w:val="auto"/>
          <w:kern w:val="13"/>
          <w:sz w:val="24"/>
          <w:szCs w:val="24"/>
          <w:highlight w:val="none"/>
          <w:u w:val="none" w:color="auto"/>
          <w:lang w:val="en-US" w:eastAsia="zh-CN"/>
        </w:rPr>
        <w:t>示意图</w:t>
      </w:r>
    </w:p>
    <w:p w14:paraId="1E309A38">
      <w:pPr>
        <w:keepNext w:val="0"/>
        <w:keepLines w:val="0"/>
        <w:pageBreakBefore w:val="0"/>
        <w:kinsoku/>
        <w:overflowPunct/>
        <w:autoSpaceDE/>
        <w:autoSpaceDN/>
        <w:bidi w:val="0"/>
        <w:adjustRightInd/>
        <w:snapToGrid/>
        <w:ind w:firstLine="480" w:firstLineChars="200"/>
        <w:textAlignment w:val="auto"/>
        <w:rPr>
          <w:rFonts w:hint="default" w:ascii="Times New Roman" w:hAnsi="Times New Roman" w:eastAsia="宋体" w:cs="Times New Roman"/>
          <w:color w:val="auto"/>
          <w:kern w:val="13"/>
          <w:sz w:val="24"/>
          <w:szCs w:val="24"/>
          <w:highlight w:val="none"/>
          <w:u w:val="none" w:color="auto"/>
        </w:rPr>
      </w:pPr>
      <w:r>
        <w:rPr>
          <w:rFonts w:hint="default" w:ascii="Times New Roman" w:hAnsi="Times New Roman" w:eastAsia="宋体" w:cs="Times New Roman"/>
          <w:color w:val="auto"/>
          <w:kern w:val="13"/>
          <w:sz w:val="24"/>
          <w:szCs w:val="24"/>
          <w:highlight w:val="none"/>
          <w:u w:val="none" w:color="auto"/>
        </w:rPr>
        <w:t>附图1</w:t>
      </w:r>
      <w:r>
        <w:rPr>
          <w:rFonts w:hint="eastAsia" w:ascii="Times New Roman" w:hAnsi="Times New Roman" w:eastAsia="宋体" w:cs="Times New Roman"/>
          <w:color w:val="auto"/>
          <w:kern w:val="13"/>
          <w:sz w:val="24"/>
          <w:szCs w:val="24"/>
          <w:highlight w:val="none"/>
          <w:u w:val="none" w:color="auto"/>
          <w:lang w:val="en-US" w:eastAsia="zh-CN"/>
        </w:rPr>
        <w:t xml:space="preserve">2 </w:t>
      </w:r>
      <w:r>
        <w:rPr>
          <w:rFonts w:hint="default" w:ascii="Times New Roman" w:hAnsi="Times New Roman" w:eastAsia="宋体" w:cs="Times New Roman"/>
          <w:color w:val="auto"/>
          <w:kern w:val="13"/>
          <w:sz w:val="24"/>
          <w:szCs w:val="24"/>
          <w:highlight w:val="none"/>
          <w:u w:val="none" w:color="auto"/>
        </w:rPr>
        <w:t>项目用地周边环境现状照片</w:t>
      </w:r>
    </w:p>
    <w:p w14:paraId="08E0F2C5">
      <w:pPr>
        <w:keepNext w:val="0"/>
        <w:keepLines w:val="0"/>
        <w:pageBreakBefore w:val="0"/>
        <w:widowControl w:val="0"/>
        <w:kinsoku/>
        <w:wordWrap w:val="0"/>
        <w:overflowPunct/>
        <w:topLinePunct w:val="0"/>
        <w:autoSpaceDE/>
        <w:autoSpaceDN/>
        <w:bidi w:val="0"/>
        <w:adjustRightInd/>
        <w:snapToGrid w:val="0"/>
        <w:ind w:firstLine="482" w:firstLineChars="200"/>
        <w:jc w:val="left"/>
        <w:textAlignment w:val="auto"/>
        <w:rPr>
          <w:rFonts w:hint="eastAsia" w:ascii="Times New Roman" w:hAnsi="Times New Roman" w:eastAsia="宋体" w:cs="Times New Roman"/>
          <w:b/>
          <w:bCs/>
          <w:color w:val="auto"/>
          <w:sz w:val="24"/>
          <w:szCs w:val="24"/>
          <w:highlight w:val="none"/>
          <w:u w:val="none" w:color="auto"/>
          <w:lang w:eastAsia="zh-CN"/>
        </w:rPr>
      </w:pPr>
      <w:r>
        <w:rPr>
          <w:rFonts w:hint="default" w:ascii="Times New Roman" w:hAnsi="Times New Roman" w:eastAsia="宋体" w:cs="Times New Roman"/>
          <w:b/>
          <w:bCs/>
          <w:color w:val="auto"/>
          <w:sz w:val="24"/>
          <w:szCs w:val="24"/>
          <w:highlight w:val="none"/>
          <w:u w:val="none" w:color="auto"/>
        </w:rPr>
        <w:t>附表</w:t>
      </w:r>
      <w:r>
        <w:rPr>
          <w:rFonts w:hint="eastAsia" w:cs="Times New Roman"/>
          <w:b/>
          <w:bCs/>
          <w:color w:val="auto"/>
          <w:sz w:val="24"/>
          <w:szCs w:val="24"/>
          <w:highlight w:val="none"/>
          <w:u w:val="none" w:color="auto"/>
          <w:lang w:eastAsia="zh-CN"/>
        </w:rPr>
        <w:t>：</w:t>
      </w:r>
    </w:p>
    <w:p w14:paraId="1C19DDA0">
      <w:pPr>
        <w:keepNext w:val="0"/>
        <w:keepLines w:val="0"/>
        <w:pageBreakBefore w:val="0"/>
        <w:widowControl w:val="0"/>
        <w:kinsoku/>
        <w:overflowPunct/>
        <w:autoSpaceDE/>
        <w:autoSpaceDN/>
        <w:bidi w:val="0"/>
        <w:adjustRightInd/>
        <w:snapToGrid w:val="0"/>
        <w:ind w:firstLine="480" w:firstLineChars="200"/>
        <w:textAlignment w:val="auto"/>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sz w:val="24"/>
          <w:szCs w:val="24"/>
          <w:highlight w:val="none"/>
          <w:u w:val="none" w:color="auto"/>
        </w:rPr>
        <w:t>附</w:t>
      </w:r>
      <w:r>
        <w:rPr>
          <w:rFonts w:hint="default" w:ascii="Times New Roman" w:hAnsi="Times New Roman" w:eastAsia="宋体" w:cs="Times New Roman"/>
          <w:color w:val="auto"/>
          <w:kern w:val="2"/>
          <w:sz w:val="24"/>
          <w:szCs w:val="24"/>
          <w:highlight w:val="none"/>
          <w:u w:val="none" w:color="auto"/>
        </w:rPr>
        <w:t>表</w:t>
      </w:r>
      <w:r>
        <w:rPr>
          <w:rFonts w:hint="default" w:ascii="Times New Roman" w:hAnsi="Times New Roman" w:eastAsia="宋体" w:cs="Times New Roman"/>
          <w:color w:val="auto"/>
          <w:kern w:val="2"/>
          <w:sz w:val="24"/>
          <w:szCs w:val="24"/>
          <w:highlight w:val="none"/>
          <w:u w:val="none" w:color="auto"/>
          <w:lang w:val="en-US" w:eastAsia="zh-CN"/>
        </w:rPr>
        <w:t xml:space="preserve">1 </w:t>
      </w:r>
      <w:r>
        <w:rPr>
          <w:rFonts w:hint="default" w:ascii="Times New Roman" w:hAnsi="Times New Roman" w:eastAsia="宋体" w:cs="Times New Roman"/>
          <w:color w:val="auto"/>
          <w:kern w:val="2"/>
          <w:sz w:val="24"/>
          <w:szCs w:val="24"/>
          <w:highlight w:val="none"/>
          <w:u w:val="none" w:color="auto"/>
        </w:rPr>
        <w:t>建设项目大气环境影响评价自查表</w:t>
      </w:r>
    </w:p>
    <w:p w14:paraId="35B020A8">
      <w:pPr>
        <w:keepNext w:val="0"/>
        <w:keepLines w:val="0"/>
        <w:pageBreakBefore w:val="0"/>
        <w:widowControl w:val="0"/>
        <w:kinsoku/>
        <w:overflowPunct/>
        <w:autoSpaceDE/>
        <w:autoSpaceDN/>
        <w:bidi w:val="0"/>
        <w:adjustRightInd/>
        <w:snapToGrid w:val="0"/>
        <w:ind w:firstLine="480" w:firstLineChars="200"/>
        <w:textAlignment w:val="auto"/>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kern w:val="2"/>
          <w:sz w:val="24"/>
          <w:szCs w:val="24"/>
          <w:highlight w:val="none"/>
          <w:u w:val="none" w:color="auto"/>
        </w:rPr>
        <w:t>附表</w:t>
      </w:r>
      <w:r>
        <w:rPr>
          <w:rFonts w:hint="default" w:ascii="Times New Roman" w:hAnsi="Times New Roman" w:eastAsia="宋体" w:cs="Times New Roman"/>
          <w:color w:val="auto"/>
          <w:kern w:val="2"/>
          <w:sz w:val="24"/>
          <w:szCs w:val="24"/>
          <w:highlight w:val="none"/>
          <w:u w:val="none" w:color="auto"/>
          <w:lang w:val="en-US" w:eastAsia="zh-CN"/>
        </w:rPr>
        <w:t xml:space="preserve">2 </w:t>
      </w:r>
      <w:r>
        <w:rPr>
          <w:rFonts w:hint="default" w:ascii="Times New Roman" w:hAnsi="Times New Roman" w:eastAsia="宋体" w:cs="Times New Roman"/>
          <w:color w:val="auto"/>
          <w:kern w:val="2"/>
          <w:sz w:val="24"/>
          <w:szCs w:val="24"/>
          <w:highlight w:val="none"/>
          <w:u w:val="none" w:color="auto"/>
        </w:rPr>
        <w:t>建设项目地表水环境影响评价自查表</w:t>
      </w:r>
    </w:p>
    <w:p w14:paraId="0C08B16C">
      <w:pPr>
        <w:pStyle w:val="40"/>
        <w:keepNext w:val="0"/>
        <w:keepLines w:val="0"/>
        <w:pageBreakBefore w:val="0"/>
        <w:widowControl w:val="0"/>
        <w:kinsoku/>
        <w:overflowPunct/>
        <w:autoSpaceDE/>
        <w:autoSpaceDN/>
        <w:bidi w:val="0"/>
        <w:adjustRightInd/>
        <w:snapToGrid w:val="0"/>
        <w:ind w:left="0" w:leftChars="0"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kern w:val="2"/>
          <w:sz w:val="24"/>
          <w:szCs w:val="24"/>
          <w:highlight w:val="none"/>
          <w:u w:val="none" w:color="auto"/>
        </w:rPr>
        <w:t>附表</w:t>
      </w:r>
      <w:r>
        <w:rPr>
          <w:rFonts w:hint="default" w:ascii="Times New Roman" w:hAnsi="Times New Roman" w:eastAsia="宋体" w:cs="Times New Roman"/>
          <w:color w:val="auto"/>
          <w:kern w:val="2"/>
          <w:sz w:val="24"/>
          <w:szCs w:val="24"/>
          <w:highlight w:val="none"/>
          <w:u w:val="none" w:color="auto"/>
          <w:lang w:val="en-US" w:eastAsia="zh-CN"/>
        </w:rPr>
        <w:t xml:space="preserve">3 </w:t>
      </w:r>
      <w:r>
        <w:rPr>
          <w:rFonts w:hint="default" w:ascii="Times New Roman" w:hAnsi="Times New Roman" w:eastAsia="宋体" w:cs="Times New Roman"/>
          <w:color w:val="auto"/>
          <w:kern w:val="2"/>
          <w:sz w:val="24"/>
          <w:szCs w:val="24"/>
          <w:highlight w:val="none"/>
          <w:u w:val="none" w:color="auto"/>
        </w:rPr>
        <w:t>环境风险评价自查表</w:t>
      </w:r>
    </w:p>
    <w:p w14:paraId="23F34F24">
      <w:pPr>
        <w:widowControl w:val="0"/>
        <w:snapToGrid w:val="0"/>
        <w:ind w:firstLine="480"/>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kern w:val="2"/>
          <w:sz w:val="24"/>
          <w:szCs w:val="24"/>
          <w:highlight w:val="none"/>
          <w:u w:val="none" w:color="auto"/>
        </w:rPr>
        <w:t>附表</w:t>
      </w:r>
      <w:r>
        <w:rPr>
          <w:rFonts w:hint="default" w:cs="Times New Roman"/>
          <w:color w:val="auto"/>
          <w:kern w:val="2"/>
          <w:sz w:val="24"/>
          <w:szCs w:val="24"/>
          <w:highlight w:val="none"/>
          <w:u w:val="none" w:color="auto"/>
          <w:lang w:val="en-US" w:eastAsia="zh-CN"/>
        </w:rPr>
        <w:t>4</w:t>
      </w:r>
      <w:r>
        <w:rPr>
          <w:rFonts w:hint="default" w:ascii="Times New Roman" w:hAnsi="Times New Roman" w:eastAsia="宋体" w:cs="Times New Roman"/>
          <w:color w:val="auto"/>
          <w:kern w:val="2"/>
          <w:sz w:val="24"/>
          <w:szCs w:val="24"/>
          <w:highlight w:val="none"/>
          <w:u w:val="none" w:color="auto"/>
          <w:lang w:val="en-US" w:eastAsia="zh-CN"/>
        </w:rPr>
        <w:t xml:space="preserve"> </w:t>
      </w:r>
      <w:r>
        <w:rPr>
          <w:rFonts w:hint="default" w:ascii="Times New Roman" w:hAnsi="Times New Roman" w:eastAsia="宋体" w:cs="Times New Roman"/>
          <w:color w:val="auto"/>
          <w:kern w:val="2"/>
          <w:sz w:val="24"/>
          <w:szCs w:val="24"/>
          <w:highlight w:val="none"/>
          <w:u w:val="none" w:color="auto"/>
        </w:rPr>
        <w:t>土壤环境影响评价自查表</w:t>
      </w:r>
    </w:p>
    <w:p w14:paraId="32BBBBF8">
      <w:pPr>
        <w:keepNext w:val="0"/>
        <w:keepLines w:val="0"/>
        <w:pageBreakBefore w:val="0"/>
        <w:widowControl w:val="0"/>
        <w:kinsoku/>
        <w:overflowPunct/>
        <w:autoSpaceDE/>
        <w:autoSpaceDN/>
        <w:bidi w:val="0"/>
        <w:adjustRightInd/>
        <w:snapToGrid w:val="0"/>
        <w:ind w:firstLine="480" w:firstLineChars="200"/>
        <w:textAlignment w:val="auto"/>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kern w:val="2"/>
          <w:sz w:val="24"/>
          <w:szCs w:val="24"/>
          <w:highlight w:val="none"/>
          <w:u w:val="none" w:color="auto"/>
        </w:rPr>
        <w:t>附表</w:t>
      </w:r>
      <w:r>
        <w:rPr>
          <w:rFonts w:hint="default" w:ascii="Times New Roman" w:hAnsi="Times New Roman" w:eastAsia="宋体" w:cs="Times New Roman"/>
          <w:color w:val="auto"/>
          <w:kern w:val="2"/>
          <w:sz w:val="24"/>
          <w:szCs w:val="24"/>
          <w:highlight w:val="none"/>
          <w:u w:val="none" w:color="auto"/>
          <w:lang w:val="en-US" w:eastAsia="zh-CN"/>
        </w:rPr>
        <w:t>5 声环境影响</w:t>
      </w:r>
      <w:r>
        <w:rPr>
          <w:rFonts w:hint="default" w:ascii="Times New Roman" w:hAnsi="Times New Roman" w:eastAsia="宋体" w:cs="Times New Roman"/>
          <w:color w:val="auto"/>
          <w:kern w:val="2"/>
          <w:sz w:val="24"/>
          <w:szCs w:val="24"/>
          <w:highlight w:val="none"/>
          <w:u w:val="none" w:color="auto"/>
        </w:rPr>
        <w:t>评价自查表</w:t>
      </w:r>
      <w:r>
        <w:rPr>
          <w:rFonts w:hint="default" w:ascii="Times New Roman" w:hAnsi="Times New Roman" w:eastAsia="宋体" w:cs="Times New Roman"/>
          <w:color w:val="auto"/>
          <w:sz w:val="24"/>
          <w:szCs w:val="24"/>
          <w:highlight w:val="none"/>
          <w:u w:val="none" w:color="auto"/>
        </w:rPr>
        <w:t xml:space="preserve"> </w:t>
      </w:r>
    </w:p>
    <w:p w14:paraId="2704F1AD">
      <w:pPr>
        <w:widowControl w:val="0"/>
        <w:snapToGrid w:val="0"/>
        <w:ind w:firstLine="480"/>
        <w:rPr>
          <w:rFonts w:hint="default" w:eastAsia="宋体"/>
          <w:color w:val="auto"/>
          <w:sz w:val="24"/>
          <w:szCs w:val="24"/>
          <w:highlight w:val="none"/>
          <w:u w:val="none" w:color="auto"/>
          <w:lang w:val="en-US" w:eastAsia="zh-CN"/>
        </w:rPr>
      </w:pPr>
      <w:r>
        <w:rPr>
          <w:rFonts w:hint="default" w:cs="Times New Roman"/>
          <w:color w:val="auto"/>
          <w:kern w:val="2"/>
          <w:sz w:val="24"/>
          <w:szCs w:val="24"/>
          <w:highlight w:val="none"/>
          <w:u w:val="none" w:color="auto"/>
          <w:lang w:val="en-US" w:eastAsia="zh-CN"/>
        </w:rPr>
        <w:t xml:space="preserve">附表6 </w:t>
      </w:r>
      <w:r>
        <w:rPr>
          <w:rFonts w:hint="default"/>
          <w:color w:val="auto"/>
          <w:kern w:val="2"/>
          <w:sz w:val="24"/>
          <w:szCs w:val="24"/>
          <w:highlight w:val="none"/>
          <w:u w:val="none" w:color="auto"/>
        </w:rPr>
        <w:t>生态影响评价自查表</w:t>
      </w:r>
    </w:p>
    <w:p w14:paraId="54DE4DA8">
      <w:pPr>
        <w:keepNext w:val="0"/>
        <w:keepLines w:val="0"/>
        <w:pageBreakBefore w:val="0"/>
        <w:widowControl w:val="0"/>
        <w:kinsoku/>
        <w:overflowPunct/>
        <w:autoSpaceDE/>
        <w:autoSpaceDN/>
        <w:bidi w:val="0"/>
        <w:adjustRightInd/>
        <w:snapToGrid w:val="0"/>
        <w:ind w:firstLine="480" w:firstLineChars="200"/>
        <w:textAlignment w:val="auto"/>
        <w:rPr>
          <w:rFonts w:hint="default" w:ascii="Times New Roman" w:hAnsi="Times New Roman" w:eastAsia="宋体" w:cs="Times New Roman"/>
          <w:color w:val="auto"/>
          <w:kern w:val="2"/>
          <w:sz w:val="24"/>
          <w:szCs w:val="24"/>
          <w:highlight w:val="none"/>
          <w:u w:val="none" w:color="auto"/>
        </w:rPr>
      </w:pPr>
      <w:r>
        <w:rPr>
          <w:rFonts w:hint="default" w:ascii="Times New Roman" w:hAnsi="Times New Roman" w:eastAsia="宋体" w:cs="Times New Roman"/>
          <w:color w:val="auto"/>
          <w:kern w:val="2"/>
          <w:sz w:val="24"/>
          <w:szCs w:val="24"/>
          <w:highlight w:val="none"/>
          <w:u w:val="none" w:color="auto"/>
        </w:rPr>
        <w:t>附表</w:t>
      </w:r>
      <w:r>
        <w:rPr>
          <w:rFonts w:hint="default" w:cs="Times New Roman"/>
          <w:color w:val="auto"/>
          <w:kern w:val="2"/>
          <w:sz w:val="24"/>
          <w:szCs w:val="24"/>
          <w:highlight w:val="none"/>
          <w:u w:val="none" w:color="auto"/>
          <w:lang w:val="en-US" w:eastAsia="zh-CN"/>
        </w:rPr>
        <w:t>7</w:t>
      </w:r>
      <w:r>
        <w:rPr>
          <w:rFonts w:hint="default" w:ascii="Times New Roman" w:hAnsi="Times New Roman" w:eastAsia="宋体" w:cs="Times New Roman"/>
          <w:color w:val="auto"/>
          <w:kern w:val="2"/>
          <w:sz w:val="24"/>
          <w:szCs w:val="24"/>
          <w:highlight w:val="none"/>
          <w:u w:val="none" w:color="auto"/>
          <w:lang w:val="en-US" w:eastAsia="zh-CN"/>
        </w:rPr>
        <w:t xml:space="preserve"> </w:t>
      </w:r>
      <w:r>
        <w:rPr>
          <w:rFonts w:hint="default" w:ascii="Times New Roman" w:hAnsi="Times New Roman" w:eastAsia="宋体" w:cs="Times New Roman"/>
          <w:color w:val="auto"/>
          <w:kern w:val="2"/>
          <w:sz w:val="24"/>
          <w:szCs w:val="24"/>
          <w:highlight w:val="none"/>
          <w:u w:val="none" w:color="auto"/>
        </w:rPr>
        <w:t>建设项目环评审批基础信息表</w:t>
      </w:r>
    </w:p>
    <w:p w14:paraId="4B27100D">
      <w:pPr>
        <w:keepNext w:val="0"/>
        <w:keepLines w:val="0"/>
        <w:pageBreakBefore w:val="0"/>
        <w:widowControl w:val="0"/>
        <w:kinsoku/>
        <w:overflowPunct/>
        <w:autoSpaceDE/>
        <w:autoSpaceDN/>
        <w:bidi w:val="0"/>
        <w:adjustRightInd/>
        <w:snapToGrid w:val="0"/>
        <w:ind w:firstLine="480" w:firstLineChars="200"/>
        <w:textAlignment w:val="auto"/>
        <w:rPr>
          <w:rFonts w:hint="default" w:ascii="Times New Roman" w:hAnsi="Times New Roman" w:eastAsia="宋体" w:cs="Times New Roman"/>
          <w:color w:val="auto"/>
          <w:kern w:val="13"/>
          <w:sz w:val="24"/>
          <w:szCs w:val="24"/>
          <w:highlight w:val="none"/>
          <w:u w:val="none" w:color="auto"/>
        </w:rPr>
        <w:sectPr>
          <w:headerReference r:id="rId5" w:type="default"/>
          <w:footerReference r:id="rId6" w:type="default"/>
          <w:pgSz w:w="11910" w:h="16840"/>
          <w:pgMar w:top="1417" w:right="1417" w:bottom="1417" w:left="1417" w:header="898" w:footer="974" w:gutter="0"/>
          <w:pgBorders>
            <w:top w:val="none" w:sz="0" w:space="0"/>
            <w:left w:val="none" w:sz="0" w:space="0"/>
            <w:bottom w:val="none" w:sz="0" w:space="0"/>
            <w:right w:val="none" w:sz="0" w:space="0"/>
          </w:pgBorders>
          <w:cols w:space="720" w:num="1"/>
          <w:docGrid w:type="lines" w:linePitch="333" w:charSpace="0"/>
        </w:sectPr>
      </w:pPr>
    </w:p>
    <w:bookmarkEnd w:id="44"/>
    <w:bookmarkEnd w:id="45"/>
    <w:p w14:paraId="21682A25">
      <w:pPr>
        <w:pStyle w:val="2"/>
        <w:keepNext w:val="0"/>
        <w:keepLines w:val="0"/>
        <w:numPr>
          <w:ilvl w:val="0"/>
          <w:numId w:val="0"/>
        </w:numPr>
        <w:topLinePunct w:val="0"/>
        <w:rPr>
          <w:rFonts w:hint="default" w:ascii="Times New Roman" w:hAnsi="Times New Roman" w:cs="Times New Roman"/>
          <w:color w:val="auto"/>
          <w:sz w:val="36"/>
          <w:szCs w:val="36"/>
          <w:highlight w:val="none"/>
          <w:u w:val="none" w:color="auto"/>
        </w:rPr>
      </w:pPr>
      <w:bookmarkStart w:id="46" w:name="_Toc15516"/>
      <w:bookmarkStart w:id="47" w:name="_Toc16780"/>
      <w:bookmarkStart w:id="48" w:name="_Toc22379"/>
      <w:bookmarkStart w:id="49" w:name="_Toc30670"/>
      <w:bookmarkStart w:id="50" w:name="_Toc19972"/>
      <w:bookmarkStart w:id="51" w:name="_Toc26425"/>
      <w:bookmarkStart w:id="52" w:name="_Toc22978"/>
      <w:bookmarkStart w:id="53" w:name="_Toc27864"/>
      <w:bookmarkStart w:id="54" w:name="_Toc3891"/>
      <w:bookmarkStart w:id="55" w:name="_Toc484"/>
      <w:bookmarkStart w:id="56" w:name="_Toc13664"/>
      <w:bookmarkStart w:id="57" w:name="_Toc31403"/>
      <w:r>
        <w:rPr>
          <w:rFonts w:hint="default" w:ascii="Times New Roman" w:hAnsi="Times New Roman" w:cs="Times New Roman"/>
          <w:color w:val="auto"/>
          <w:sz w:val="36"/>
          <w:szCs w:val="36"/>
          <w:highlight w:val="none"/>
          <w:u w:val="none" w:color="auto"/>
        </w:rPr>
        <w:t>1 概述</w:t>
      </w:r>
      <w:bookmarkEnd w:id="46"/>
      <w:bookmarkEnd w:id="47"/>
      <w:bookmarkEnd w:id="48"/>
      <w:bookmarkEnd w:id="49"/>
      <w:bookmarkEnd w:id="50"/>
      <w:bookmarkEnd w:id="51"/>
      <w:bookmarkEnd w:id="52"/>
      <w:bookmarkEnd w:id="53"/>
      <w:bookmarkEnd w:id="54"/>
      <w:bookmarkEnd w:id="55"/>
      <w:bookmarkEnd w:id="56"/>
      <w:bookmarkEnd w:id="57"/>
    </w:p>
    <w:p w14:paraId="2F7B2C6B">
      <w:pPr>
        <w:keepNext w:val="0"/>
        <w:keepLines w:val="0"/>
        <w:pageBreakBefore w:val="0"/>
        <w:widowControl w:val="0"/>
        <w:kinsoku/>
        <w:wordWrap/>
        <w:overflowPunct/>
        <w:topLinePunct w:val="0"/>
        <w:autoSpaceDE/>
        <w:autoSpaceDN/>
        <w:bidi w:val="0"/>
        <w:adjustRightInd/>
        <w:snapToGrid/>
        <w:ind w:firstLine="0" w:firstLineChars="0"/>
        <w:textAlignment w:val="auto"/>
        <w:outlineLvl w:val="1"/>
        <w:rPr>
          <w:rFonts w:hint="default" w:ascii="Times New Roman" w:hAnsi="Times New Roman" w:eastAsia="宋体" w:cs="Times New Roman"/>
          <w:b/>
          <w:bCs/>
          <w:color w:val="auto"/>
          <w:sz w:val="30"/>
          <w:szCs w:val="30"/>
          <w:highlight w:val="none"/>
          <w:u w:val="none" w:color="auto"/>
          <w:lang w:val="en-US" w:bidi="zh-CN"/>
        </w:rPr>
      </w:pPr>
      <w:bookmarkStart w:id="58" w:name="_Toc10111"/>
      <w:bookmarkStart w:id="59" w:name="_Toc9800"/>
      <w:bookmarkStart w:id="60" w:name="_Toc5061"/>
      <w:bookmarkStart w:id="61" w:name="_Toc2216"/>
      <w:bookmarkStart w:id="62" w:name="_Toc12981"/>
      <w:bookmarkStart w:id="63" w:name="_Toc5748"/>
      <w:bookmarkStart w:id="64" w:name="_Toc22365"/>
      <w:bookmarkStart w:id="65" w:name="_Toc22139"/>
      <w:bookmarkStart w:id="66" w:name="_Toc6500"/>
      <w:bookmarkStart w:id="67" w:name="_Toc16285"/>
      <w:bookmarkStart w:id="68" w:name="_Toc21310"/>
      <w:bookmarkStart w:id="69" w:name="_Toc29631"/>
      <w:bookmarkStart w:id="70" w:name="_Toc27106"/>
      <w:bookmarkStart w:id="71" w:name="_Toc6947"/>
      <w:r>
        <w:rPr>
          <w:rFonts w:hint="default" w:ascii="Times New Roman" w:hAnsi="Times New Roman" w:eastAsia="宋体" w:cs="Times New Roman"/>
          <w:b/>
          <w:bCs/>
          <w:color w:val="auto"/>
          <w:sz w:val="30"/>
          <w:szCs w:val="30"/>
          <w:highlight w:val="none"/>
          <w:u w:val="none" w:color="auto"/>
          <w:lang w:val="en-US" w:bidi="zh-CN"/>
        </w:rPr>
        <w:t>1.1项目背景及由来</w:t>
      </w:r>
      <w:bookmarkEnd w:id="58"/>
      <w:bookmarkEnd w:id="59"/>
      <w:bookmarkEnd w:id="60"/>
      <w:bookmarkEnd w:id="61"/>
      <w:bookmarkEnd w:id="62"/>
      <w:bookmarkEnd w:id="63"/>
      <w:bookmarkEnd w:id="64"/>
      <w:bookmarkEnd w:id="65"/>
      <w:bookmarkEnd w:id="66"/>
      <w:bookmarkEnd w:id="67"/>
      <w:bookmarkEnd w:id="68"/>
      <w:bookmarkEnd w:id="69"/>
      <w:bookmarkEnd w:id="70"/>
      <w:bookmarkEnd w:id="71"/>
    </w:p>
    <w:p w14:paraId="1E3EDA29">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default" w:ascii="Times New Roman" w:hAnsi="Times New Roman" w:cs="Times New Roman"/>
          <w:color w:val="auto"/>
          <w:sz w:val="28"/>
          <w:szCs w:val="28"/>
          <w:highlight w:val="none"/>
          <w:u w:val="none" w:color="auto"/>
        </w:rPr>
        <w:t>1.</w:t>
      </w:r>
      <w:r>
        <w:rPr>
          <w:rFonts w:hint="eastAsia" w:ascii="Times New Roman" w:hAnsi="Times New Roman" w:cs="Times New Roman"/>
          <w:color w:val="auto"/>
          <w:sz w:val="28"/>
          <w:szCs w:val="28"/>
          <w:highlight w:val="none"/>
          <w:u w:val="none" w:color="auto"/>
          <w:lang w:val="en-US" w:eastAsia="zh-CN"/>
        </w:rPr>
        <w:t>1</w:t>
      </w:r>
      <w:r>
        <w:rPr>
          <w:rFonts w:hint="default" w:ascii="Times New Roman" w:hAnsi="Times New Roman" w:cs="Times New Roman"/>
          <w:color w:val="auto"/>
          <w:sz w:val="28"/>
          <w:szCs w:val="28"/>
          <w:highlight w:val="none"/>
          <w:u w:val="none" w:color="auto"/>
        </w:rPr>
        <w:t>.1</w:t>
      </w:r>
      <w:r>
        <w:rPr>
          <w:rFonts w:hint="eastAsia" w:ascii="Times New Roman" w:hAnsi="Times New Roman" w:cs="Times New Roman"/>
          <w:color w:val="auto"/>
          <w:sz w:val="28"/>
          <w:szCs w:val="28"/>
          <w:highlight w:val="none"/>
          <w:u w:val="none" w:color="auto"/>
          <w:lang w:val="en-US" w:eastAsia="zh-CN"/>
        </w:rPr>
        <w:t>项目背景</w:t>
      </w:r>
    </w:p>
    <w:p w14:paraId="31AB8F98">
      <w:pPr>
        <w:spacing w:line="360" w:lineRule="auto"/>
        <w:ind w:firstLine="480" w:firstLineChars="200"/>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上世纪九十年代，当地百姓便开始私采金矿，后因政府部门禁止擅自采矿，全民私采行为于三年后停止。居民私自开采期间，居民洗矿遵循就近原则，在水库边进行简易洗矿，或者废渣堆周边修建洗矿池，通过地表径流进入周边农田，所产生的废矿渣及尾矿，沿着万古（白荆）水库两岸倾倒，给当地村民的生产生活和身体健康造成影响。废渣周边主要地表水系为万古（白荆）水库，该水库主要功能为万古村及下游农田灌溉用水。</w:t>
      </w:r>
    </w:p>
    <w:p w14:paraId="64C38EAC">
      <w:pPr>
        <w:spacing w:line="360" w:lineRule="auto"/>
        <w:ind w:firstLine="480" w:firstLineChars="200"/>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项目区域内遗留的重金属废渣，沿万古水库周边无序堆积，且无任何拦挡和污染防护设施，废渣经雨水冲刷产生的含重金属废水直接排进附近溪流，汇入万古水库。这些含砷等的重金属物质，一方面污染水体，造成水体水质超标；另一方面也会破坏水库的生态系统，造成水体能见度降低，不利于沉水植物和底栖动物的生长繁殖。</w:t>
      </w:r>
    </w:p>
    <w:p w14:paraId="4D397319">
      <w:pPr>
        <w:spacing w:line="360" w:lineRule="auto"/>
        <w:ind w:firstLine="480" w:firstLineChars="200"/>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因此本项目通过对遗留废渣堆的规范处置，控制重金属污染源，可防止水环境进一步被污染，保证当地居民的生产生活用水，保护万古水库的水质安全。</w:t>
      </w:r>
    </w:p>
    <w:p w14:paraId="5614D6D2">
      <w:pPr>
        <w:pStyle w:val="4"/>
        <w:keepNext w:val="0"/>
        <w:keepLines w:val="0"/>
        <w:numPr>
          <w:ilvl w:val="0"/>
          <w:numId w:val="0"/>
        </w:numPr>
        <w:topLinePunct w:val="0"/>
        <w:spacing w:before="0" w:beforeLines="0" w:after="0" w:afterLines="0" w:line="240" w:lineRule="auto"/>
        <w:rPr>
          <w:rFonts w:hint="eastAsia" w:ascii="Times New Roman" w:hAnsi="Times New Roman" w:cs="Times New Roman"/>
          <w:color w:val="auto"/>
          <w:sz w:val="28"/>
          <w:szCs w:val="28"/>
          <w:highlight w:val="none"/>
          <w:u w:val="none" w:color="auto"/>
          <w:lang w:val="en-US" w:eastAsia="zh-CN"/>
        </w:rPr>
      </w:pPr>
      <w:r>
        <w:rPr>
          <w:rFonts w:hint="default" w:ascii="Times New Roman" w:hAnsi="Times New Roman" w:cs="Times New Roman"/>
          <w:color w:val="auto"/>
          <w:sz w:val="28"/>
          <w:szCs w:val="28"/>
          <w:highlight w:val="none"/>
          <w:u w:val="none" w:color="auto"/>
        </w:rPr>
        <w:t>1.</w:t>
      </w:r>
      <w:r>
        <w:rPr>
          <w:rFonts w:hint="eastAsia" w:ascii="Times New Roman" w:hAnsi="Times New Roman" w:cs="Times New Roman"/>
          <w:color w:val="auto"/>
          <w:sz w:val="28"/>
          <w:szCs w:val="28"/>
          <w:highlight w:val="none"/>
          <w:u w:val="none" w:color="auto"/>
          <w:lang w:val="en-US" w:eastAsia="zh-CN"/>
        </w:rPr>
        <w:t>1</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2项目必要性</w:t>
      </w:r>
    </w:p>
    <w:p w14:paraId="58881C86">
      <w:pPr>
        <w:rPr>
          <w:rFonts w:hint="default"/>
          <w:sz w:val="24"/>
          <w:szCs w:val="24"/>
          <w:lang w:val="en-US" w:eastAsia="zh-CN"/>
        </w:rPr>
      </w:pPr>
      <w:r>
        <w:rPr>
          <w:rFonts w:hint="default"/>
          <w:sz w:val="24"/>
          <w:szCs w:val="24"/>
          <w:lang w:val="en-US" w:eastAsia="zh-CN"/>
        </w:rPr>
        <w:t>1、控制重金属污染源、保护万古水库水质安全的需要</w:t>
      </w:r>
    </w:p>
    <w:p w14:paraId="31F91410">
      <w:pPr>
        <w:rPr>
          <w:rFonts w:hint="default"/>
          <w:sz w:val="24"/>
          <w:szCs w:val="24"/>
          <w:lang w:val="en-US" w:eastAsia="zh-CN"/>
        </w:rPr>
      </w:pPr>
      <w:r>
        <w:rPr>
          <w:rFonts w:hint="default"/>
          <w:sz w:val="24"/>
          <w:szCs w:val="24"/>
          <w:lang w:val="en-US" w:eastAsia="zh-CN"/>
        </w:rPr>
        <w:t>根据《平江县三阳乡万古村万古水库周边历史遗留重金属废渣污染状况调查报告》固废检测结论可知，该区域各废渣点遗留废渣均不属于危险废物，其中万古村1号废渣堆Ⅰ区、万古村2号废渣堆Ⅴ区、万古水库废渣堆3A-Ⅰ区所在范围内废渣为第I类一般工业固体废物，其他范围内废渣均为第</w:t>
      </w:r>
      <w:r>
        <w:rPr>
          <w:rFonts w:hint="eastAsia"/>
          <w:sz w:val="24"/>
          <w:szCs w:val="24"/>
          <w:lang w:val="en-US" w:eastAsia="zh-CN"/>
        </w:rPr>
        <w:t>Ⅱ类</w:t>
      </w:r>
      <w:r>
        <w:rPr>
          <w:rFonts w:hint="default"/>
          <w:sz w:val="24"/>
          <w:szCs w:val="24"/>
          <w:lang w:val="en-US" w:eastAsia="zh-CN"/>
        </w:rPr>
        <w:t>一般工业固体废物。</w:t>
      </w:r>
    </w:p>
    <w:p w14:paraId="75269309">
      <w:pPr>
        <w:rPr>
          <w:rFonts w:hint="default"/>
          <w:sz w:val="24"/>
          <w:szCs w:val="24"/>
          <w:lang w:val="en-US" w:eastAsia="zh-CN"/>
        </w:rPr>
      </w:pPr>
      <w:r>
        <w:rPr>
          <w:rFonts w:hint="default"/>
          <w:sz w:val="24"/>
          <w:szCs w:val="24"/>
          <w:lang w:val="en-US" w:eastAsia="zh-CN"/>
        </w:rPr>
        <w:t>项目区域内遗留的重金属废渣，沿万古水库周边无序堆积，且无任何拦挡和污染防护设施，废渣经雨水冲刷产生的含重金属废水直接排进附近溪流，汇入万古水库。这些含砷等的重金属物质，一方面污染水体，造成水体水质超标；另一方面也会破坏水库的生态系统，造成水体能见度降低，不利于沉水植物和底栖动物的生长繁殖。</w:t>
      </w:r>
    </w:p>
    <w:p w14:paraId="699A8527">
      <w:pPr>
        <w:rPr>
          <w:rFonts w:hint="default"/>
          <w:sz w:val="24"/>
          <w:szCs w:val="24"/>
          <w:lang w:val="en-US" w:eastAsia="zh-CN"/>
        </w:rPr>
      </w:pPr>
      <w:r>
        <w:rPr>
          <w:rFonts w:hint="default"/>
          <w:sz w:val="24"/>
          <w:szCs w:val="24"/>
          <w:lang w:val="en-US" w:eastAsia="zh-CN"/>
        </w:rPr>
        <w:t>因此本项目通过对遗留废渣堆的规范处置，控制重金属污染源，可防止水环境进一步被污染，保证当地居民的生产生活用水，保护万古水库的水质安全。</w:t>
      </w:r>
    </w:p>
    <w:p w14:paraId="33F025A6">
      <w:pPr>
        <w:rPr>
          <w:rFonts w:hint="default"/>
          <w:sz w:val="24"/>
          <w:szCs w:val="24"/>
          <w:lang w:val="en-US" w:eastAsia="zh-CN"/>
        </w:rPr>
      </w:pPr>
      <w:r>
        <w:rPr>
          <w:rFonts w:hint="default"/>
          <w:sz w:val="24"/>
          <w:szCs w:val="24"/>
          <w:lang w:val="en-US" w:eastAsia="zh-CN"/>
        </w:rPr>
        <w:t>2、解决历史遗留重金属污染问题、维护生态环境的需要</w:t>
      </w:r>
    </w:p>
    <w:p w14:paraId="40F1F252">
      <w:pPr>
        <w:rPr>
          <w:rFonts w:hint="default"/>
          <w:sz w:val="24"/>
          <w:szCs w:val="24"/>
          <w:lang w:val="en-US" w:eastAsia="zh-CN"/>
        </w:rPr>
      </w:pPr>
      <w:r>
        <w:rPr>
          <w:rFonts w:hint="default"/>
          <w:sz w:val="24"/>
          <w:szCs w:val="24"/>
          <w:lang w:val="en-US" w:eastAsia="zh-CN"/>
        </w:rPr>
        <w:t>平江县三阳乡万古村万古水库周边历史遗留重金属废渣占压大片林地，由于在开采时未采取任何环保及水土保持措施，导致区域内植被遭到严重破坏。矿区的滥采乱挖加剧了水土流失，每逢暴雨季节，遗留废渣中的重金属污染随雨水进入周边环境。</w:t>
      </w:r>
    </w:p>
    <w:p w14:paraId="6F6A5D28">
      <w:pPr>
        <w:rPr>
          <w:rFonts w:hint="default"/>
          <w:sz w:val="24"/>
          <w:szCs w:val="24"/>
          <w:lang w:val="en-US" w:eastAsia="zh-CN"/>
        </w:rPr>
      </w:pPr>
      <w:r>
        <w:rPr>
          <w:rFonts w:hint="default"/>
          <w:sz w:val="24"/>
          <w:szCs w:val="24"/>
          <w:lang w:val="en-US" w:eastAsia="zh-CN"/>
        </w:rPr>
        <w:t>本项目的实施，可以防止万古村万古水库周边废渣继续随降雨淋溶向下游转移并释放重金属，有效控制污染源的扩散，最大限度减少历史遗留废渣对地表水及下游农田的影响，并因此减少历史遗留废渣对当地居民生活环境的影响，是“资源节约、环境友好”社会建立的基础，也是实现社会可持续发展的需要，具有显著的社会效益和环境效益。</w:t>
      </w:r>
    </w:p>
    <w:p w14:paraId="2F51806D">
      <w:pPr>
        <w:rPr>
          <w:rFonts w:hint="default"/>
          <w:sz w:val="24"/>
          <w:szCs w:val="24"/>
          <w:lang w:val="en-US" w:eastAsia="zh-CN"/>
        </w:rPr>
      </w:pPr>
      <w:r>
        <w:rPr>
          <w:rFonts w:hint="default"/>
          <w:sz w:val="24"/>
          <w:szCs w:val="24"/>
          <w:lang w:val="en-US" w:eastAsia="zh-CN"/>
        </w:rPr>
        <w:t>3、缓和民众矛盾、促进社会和谐发展的需要</w:t>
      </w:r>
    </w:p>
    <w:p w14:paraId="66DCED3D">
      <w:pPr>
        <w:rPr>
          <w:rFonts w:hint="default"/>
          <w:sz w:val="24"/>
          <w:szCs w:val="24"/>
          <w:lang w:val="en-US" w:eastAsia="zh-CN"/>
        </w:rPr>
      </w:pPr>
      <w:r>
        <w:rPr>
          <w:rFonts w:hint="default"/>
          <w:sz w:val="24"/>
          <w:szCs w:val="24"/>
          <w:lang w:val="en-US" w:eastAsia="zh-CN"/>
        </w:rPr>
        <w:t>根据《平江县三阳乡万古村万古水库周边历史遗留重金属废渣污染状况调查报告》</w:t>
      </w:r>
      <w:r>
        <w:rPr>
          <w:rFonts w:hint="eastAsia"/>
          <w:sz w:val="24"/>
          <w:szCs w:val="24"/>
          <w:lang w:val="en-US" w:eastAsia="zh-CN"/>
        </w:rPr>
        <w:t>，</w:t>
      </w:r>
      <w:r>
        <w:rPr>
          <w:rFonts w:hint="default"/>
          <w:sz w:val="24"/>
          <w:szCs w:val="24"/>
          <w:lang w:val="en-US" w:eastAsia="zh-CN"/>
        </w:rPr>
        <w:t>项目区域内砷等重金属污染问题突出，对村民饮用水和生活造成很大影响，同时威胁下游农田种植农产品的安全。</w:t>
      </w:r>
    </w:p>
    <w:p w14:paraId="5F2E1C5D">
      <w:pPr>
        <w:rPr>
          <w:rFonts w:hint="default"/>
          <w:sz w:val="24"/>
          <w:szCs w:val="24"/>
          <w:lang w:val="en-US" w:eastAsia="zh-CN"/>
        </w:rPr>
      </w:pPr>
      <w:r>
        <w:rPr>
          <w:rFonts w:hint="default"/>
          <w:sz w:val="24"/>
          <w:szCs w:val="24"/>
          <w:lang w:val="en-US" w:eastAsia="zh-CN"/>
        </w:rPr>
        <w:t>废渣堆范围内主要的地表水系为万古水库及周边不知名小河，附近居民区多年受废渣污染的影响，当地村民请愿治理的呼声非常强烈。解决遗留废渣污染问题，能消除当地重金属污染隐患，控制和防止污染扩散，避免造成更大范围及更深层次的土壤污染，以及对地表水的污染，安抚周边民众的担忧情绪，缓和民众矛盾，为社会持续稳定和谐发展起到积极推动作用。</w:t>
      </w:r>
    </w:p>
    <w:p w14:paraId="22651DA8">
      <w:pPr>
        <w:rPr>
          <w:rFonts w:hint="default"/>
          <w:sz w:val="24"/>
          <w:szCs w:val="24"/>
          <w:lang w:val="en-US" w:eastAsia="zh-CN"/>
        </w:rPr>
      </w:pPr>
      <w:r>
        <w:rPr>
          <w:rFonts w:hint="default"/>
          <w:sz w:val="24"/>
          <w:szCs w:val="24"/>
          <w:lang w:val="en-US" w:eastAsia="zh-CN"/>
        </w:rPr>
        <w:t>4、保护下游农田土壤环境及农产品安全的需要</w:t>
      </w:r>
    </w:p>
    <w:p w14:paraId="2ED0DE23">
      <w:pPr>
        <w:rPr>
          <w:rFonts w:hint="default"/>
          <w:sz w:val="24"/>
          <w:szCs w:val="24"/>
          <w:lang w:val="en-US" w:eastAsia="zh-CN"/>
        </w:rPr>
      </w:pPr>
      <w:r>
        <w:rPr>
          <w:rFonts w:hint="default"/>
          <w:sz w:val="24"/>
          <w:szCs w:val="24"/>
          <w:lang w:val="en-US" w:eastAsia="zh-CN"/>
        </w:rPr>
        <w:t>根据《平江县三阳乡万古村万古水库周边历史遗留重金属废渣污染状况调查报告》</w:t>
      </w:r>
      <w:r>
        <w:rPr>
          <w:rFonts w:hint="eastAsia"/>
          <w:sz w:val="24"/>
          <w:szCs w:val="24"/>
          <w:lang w:val="en-US" w:eastAsia="zh-CN"/>
        </w:rPr>
        <w:t>，项目周边农田重金属因子超标</w:t>
      </w:r>
      <w:r>
        <w:rPr>
          <w:rFonts w:hint="default"/>
          <w:sz w:val="24"/>
          <w:szCs w:val="24"/>
          <w:lang w:val="en-US" w:eastAsia="zh-CN"/>
        </w:rPr>
        <w:t>，</w:t>
      </w:r>
      <w:r>
        <w:rPr>
          <w:rFonts w:hint="eastAsia"/>
          <w:sz w:val="24"/>
          <w:szCs w:val="24"/>
          <w:lang w:val="en-US" w:eastAsia="zh-CN"/>
        </w:rPr>
        <w:t>会</w:t>
      </w:r>
      <w:r>
        <w:rPr>
          <w:rFonts w:hint="default"/>
          <w:sz w:val="24"/>
          <w:szCs w:val="24"/>
          <w:lang w:val="en-US" w:eastAsia="zh-CN"/>
        </w:rPr>
        <w:t>直接影响农作物的种植与生长。</w:t>
      </w:r>
    </w:p>
    <w:p w14:paraId="04431076">
      <w:pPr>
        <w:rPr>
          <w:rFonts w:hint="default"/>
          <w:sz w:val="24"/>
          <w:szCs w:val="24"/>
          <w:lang w:val="en-US" w:eastAsia="zh-CN"/>
        </w:rPr>
      </w:pPr>
      <w:r>
        <w:rPr>
          <w:rFonts w:hint="default"/>
          <w:sz w:val="24"/>
          <w:szCs w:val="24"/>
          <w:lang w:val="en-US" w:eastAsia="zh-CN"/>
        </w:rPr>
        <w:t>“民以食为天，食以土为本”。土壤是农业生产最基本的生产资料，它不仅为作物提供适宜的生存环境，而且还是作物各种必需营养元素的主要来源。土壤污染对人类的危害性极大，它不仅直接导致粮食减产，而且通过食用生长在农业土地上的植物及其产品会影响人体健康。我省的“十四五”环境保护规划中，特别强调要加大土壤污染治理和修复力度。</w:t>
      </w:r>
    </w:p>
    <w:p w14:paraId="325568CB">
      <w:pPr>
        <w:rPr>
          <w:rFonts w:hint="default"/>
          <w:sz w:val="24"/>
          <w:szCs w:val="24"/>
          <w:lang w:val="en-US" w:eastAsia="zh-CN"/>
        </w:rPr>
      </w:pPr>
      <w:r>
        <w:rPr>
          <w:rFonts w:hint="default"/>
          <w:sz w:val="24"/>
          <w:szCs w:val="24"/>
          <w:lang w:val="en-US" w:eastAsia="zh-CN"/>
        </w:rPr>
        <w:t>5</w:t>
      </w:r>
      <w:r>
        <w:rPr>
          <w:rFonts w:hint="eastAsia"/>
          <w:sz w:val="24"/>
          <w:szCs w:val="24"/>
          <w:lang w:val="en-US" w:eastAsia="zh-CN"/>
        </w:rPr>
        <w:t>、</w:t>
      </w:r>
      <w:r>
        <w:rPr>
          <w:rFonts w:hint="default"/>
          <w:sz w:val="24"/>
          <w:szCs w:val="24"/>
          <w:lang w:val="en-US" w:eastAsia="zh-CN"/>
        </w:rPr>
        <w:t>改善生态环境、落实平江县建设规划的需要</w:t>
      </w:r>
    </w:p>
    <w:p w14:paraId="5D463ED5">
      <w:pPr>
        <w:rPr>
          <w:rFonts w:hint="default"/>
          <w:sz w:val="24"/>
          <w:szCs w:val="24"/>
          <w:lang w:val="en-US" w:eastAsia="zh-CN"/>
        </w:rPr>
      </w:pPr>
      <w:r>
        <w:rPr>
          <w:rFonts w:hint="default"/>
          <w:sz w:val="24"/>
          <w:szCs w:val="24"/>
          <w:lang w:val="en-US" w:eastAsia="zh-CN"/>
        </w:rPr>
        <w:t>根据平江县“十四五”规划着力构建以“重金属治理”为核心的“绿色发展”新格局目标要求，推进平江县土壤污染治理及生态修复工程，加强废弃矿山生态修复治理，持续推进乡镇矿区植被修复治理工程。解决平江县三阳乡万古村万古水库周边的砷等重金属污染，对污染源进行一系列整治措施，防止区域生态环境进一步恶化，能有效解决因遗留废渣污染而造成的生态破坏，恢复土地生态功能。为恢复“绿水青山”打下坚实的基础。</w:t>
      </w:r>
    </w:p>
    <w:p w14:paraId="1EF35E5A">
      <w:pPr>
        <w:rPr>
          <w:rFonts w:hint="default"/>
          <w:sz w:val="24"/>
          <w:szCs w:val="24"/>
          <w:lang w:val="en-US" w:eastAsia="zh-CN"/>
        </w:rPr>
      </w:pPr>
      <w:r>
        <w:rPr>
          <w:rFonts w:hint="default"/>
          <w:sz w:val="24"/>
          <w:szCs w:val="24"/>
          <w:lang w:val="en-US" w:eastAsia="zh-CN"/>
        </w:rPr>
        <w:t>综上所述，本项目的建设十分必要。</w:t>
      </w:r>
    </w:p>
    <w:p w14:paraId="4E85CE07">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lang w:val="en-US" w:eastAsia="zh-CN"/>
        </w:rPr>
      </w:pPr>
      <w:r>
        <w:rPr>
          <w:rFonts w:hint="default" w:ascii="Times New Roman" w:hAnsi="Times New Roman" w:cs="Times New Roman"/>
          <w:color w:val="auto"/>
          <w:sz w:val="28"/>
          <w:szCs w:val="28"/>
          <w:highlight w:val="none"/>
          <w:u w:val="none" w:color="auto"/>
        </w:rPr>
        <w:t>1.</w:t>
      </w:r>
      <w:r>
        <w:rPr>
          <w:rFonts w:hint="eastAsia" w:ascii="Times New Roman" w:hAnsi="Times New Roman" w:cs="Times New Roman"/>
          <w:color w:val="auto"/>
          <w:sz w:val="28"/>
          <w:szCs w:val="28"/>
          <w:highlight w:val="none"/>
          <w:u w:val="none" w:color="auto"/>
          <w:lang w:val="en-US" w:eastAsia="zh-CN"/>
        </w:rPr>
        <w:t>1</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3项目工作过程</w:t>
      </w:r>
    </w:p>
    <w:p w14:paraId="0629F279">
      <w:pPr>
        <w:spacing w:line="360" w:lineRule="auto"/>
        <w:ind w:firstLine="480" w:firstLineChars="200"/>
        <w:rPr>
          <w:rFonts w:hint="default" w:cs="Times New Roman"/>
          <w:color w:val="FF0000"/>
          <w:sz w:val="24"/>
          <w:szCs w:val="24"/>
          <w:u w:val="none" w:color="auto"/>
          <w:lang w:val="en-US" w:eastAsia="zh-CN"/>
        </w:rPr>
      </w:pPr>
      <w:r>
        <w:rPr>
          <w:rFonts w:hint="default" w:cs="Times New Roman"/>
          <w:color w:val="auto"/>
          <w:sz w:val="24"/>
          <w:szCs w:val="24"/>
          <w:u w:val="none" w:color="auto"/>
          <w:lang w:val="en-US" w:eastAsia="zh-CN"/>
        </w:rPr>
        <w:t>平江县三阳乡人民政府于2022年6月委托岳阳百利勘测科技有限公司编制了《平江县三阳乡万古村万古水库周边历史遗留重金属废渣整治项目工程详细勘察报告》；2022年8月委托湖南安博检测有限公司编制了《平江县三阳乡万古村万古水库周边历史遗留重金属废渣污染状况调查报告》并通过专家评审会；2022年8月委托长沙宸甄环保科技有限公司编制了《平江县三阳乡万古村万古水库周边历史遗留重金属废渣整治项目实施方案》并通过了专家评审会，2022年9月14日岳阳市生态环境局出具了关于《平江县三阳乡万古村万古水库周边历史遗留重金属废渣整治项目实施方案》的初步审查意见；202</w:t>
      </w:r>
      <w:r>
        <w:rPr>
          <w:rFonts w:hint="eastAsia" w:cs="Times New Roman"/>
          <w:color w:val="auto"/>
          <w:sz w:val="24"/>
          <w:szCs w:val="24"/>
          <w:u w:val="none" w:color="auto"/>
          <w:lang w:val="en-US" w:eastAsia="zh-CN"/>
        </w:rPr>
        <w:t>5</w:t>
      </w:r>
      <w:r>
        <w:rPr>
          <w:rFonts w:hint="default" w:cs="Times New Roman"/>
          <w:color w:val="auto"/>
          <w:sz w:val="24"/>
          <w:szCs w:val="24"/>
          <w:u w:val="none" w:color="auto"/>
          <w:lang w:val="en-US" w:eastAsia="zh-CN"/>
        </w:rPr>
        <w:t>年</w:t>
      </w:r>
      <w:r>
        <w:rPr>
          <w:rFonts w:hint="eastAsia" w:cs="Times New Roman"/>
          <w:color w:val="auto"/>
          <w:sz w:val="24"/>
          <w:szCs w:val="24"/>
          <w:u w:val="none" w:color="auto"/>
          <w:lang w:val="en-US" w:eastAsia="zh-CN"/>
        </w:rPr>
        <w:t>8</w:t>
      </w:r>
      <w:r>
        <w:rPr>
          <w:rFonts w:hint="default" w:cs="Times New Roman"/>
          <w:color w:val="auto"/>
          <w:sz w:val="24"/>
          <w:szCs w:val="24"/>
          <w:u w:val="none" w:color="auto"/>
          <w:lang w:val="en-US" w:eastAsia="zh-CN"/>
        </w:rPr>
        <w:t>月委托世纪工程项目管理有限公司编制了《平江县三阳乡万古村万古水库周边历史遗留重金属废渣整治项目可行性研究报告》，202</w:t>
      </w:r>
      <w:r>
        <w:rPr>
          <w:rFonts w:hint="eastAsia" w:cs="Times New Roman"/>
          <w:color w:val="auto"/>
          <w:sz w:val="24"/>
          <w:szCs w:val="24"/>
          <w:u w:val="none" w:color="auto"/>
          <w:lang w:val="en-US" w:eastAsia="zh-CN"/>
        </w:rPr>
        <w:t>5</w:t>
      </w:r>
      <w:r>
        <w:rPr>
          <w:rFonts w:hint="default" w:cs="Times New Roman"/>
          <w:color w:val="auto"/>
          <w:sz w:val="24"/>
          <w:szCs w:val="24"/>
          <w:u w:val="none" w:color="auto"/>
          <w:lang w:val="en-US" w:eastAsia="zh-CN"/>
        </w:rPr>
        <w:t>年</w:t>
      </w:r>
      <w:r>
        <w:rPr>
          <w:rFonts w:hint="eastAsia" w:cs="Times New Roman"/>
          <w:color w:val="auto"/>
          <w:sz w:val="24"/>
          <w:szCs w:val="24"/>
          <w:u w:val="none" w:color="auto"/>
          <w:lang w:val="en-US" w:eastAsia="zh-CN"/>
        </w:rPr>
        <w:t>10</w:t>
      </w:r>
      <w:r>
        <w:rPr>
          <w:rFonts w:hint="default" w:cs="Times New Roman"/>
          <w:color w:val="auto"/>
          <w:sz w:val="24"/>
          <w:szCs w:val="24"/>
          <w:u w:val="none" w:color="auto"/>
          <w:lang w:val="en-US" w:eastAsia="zh-CN"/>
        </w:rPr>
        <w:t>月1</w:t>
      </w:r>
      <w:r>
        <w:rPr>
          <w:rFonts w:hint="eastAsia" w:cs="Times New Roman"/>
          <w:color w:val="auto"/>
          <w:sz w:val="24"/>
          <w:szCs w:val="24"/>
          <w:u w:val="none" w:color="auto"/>
          <w:lang w:val="en-US" w:eastAsia="zh-CN"/>
        </w:rPr>
        <w:t>0</w:t>
      </w:r>
      <w:r>
        <w:rPr>
          <w:rFonts w:hint="default" w:cs="Times New Roman"/>
          <w:color w:val="auto"/>
          <w:sz w:val="24"/>
          <w:szCs w:val="24"/>
          <w:u w:val="none" w:color="auto"/>
          <w:lang w:val="en-US" w:eastAsia="zh-CN"/>
        </w:rPr>
        <w:t>日取得了平江县发展和改革局《关于平江县三阳乡万古村万古水库周边历史遗留重金属废渣整治项目可行性研究报告》的批复；202</w:t>
      </w:r>
      <w:r>
        <w:rPr>
          <w:rFonts w:hint="eastAsia" w:cs="Times New Roman"/>
          <w:color w:val="auto"/>
          <w:sz w:val="24"/>
          <w:szCs w:val="24"/>
          <w:u w:val="none" w:color="auto"/>
          <w:lang w:val="en-US" w:eastAsia="zh-CN"/>
        </w:rPr>
        <w:t>5</w:t>
      </w:r>
      <w:r>
        <w:rPr>
          <w:rFonts w:hint="default" w:cs="Times New Roman"/>
          <w:color w:val="auto"/>
          <w:sz w:val="24"/>
          <w:szCs w:val="24"/>
          <w:u w:val="none" w:color="auto"/>
          <w:lang w:val="en-US" w:eastAsia="zh-CN"/>
        </w:rPr>
        <w:t>年</w:t>
      </w:r>
      <w:r>
        <w:rPr>
          <w:rFonts w:hint="eastAsia" w:cs="Times New Roman"/>
          <w:color w:val="auto"/>
          <w:sz w:val="24"/>
          <w:szCs w:val="24"/>
          <w:u w:val="none" w:color="auto"/>
          <w:lang w:val="en-US" w:eastAsia="zh-CN"/>
        </w:rPr>
        <w:t>11</w:t>
      </w:r>
      <w:r>
        <w:rPr>
          <w:rFonts w:hint="default" w:cs="Times New Roman"/>
          <w:color w:val="auto"/>
          <w:sz w:val="24"/>
          <w:szCs w:val="24"/>
          <w:u w:val="none" w:color="auto"/>
          <w:lang w:val="en-US" w:eastAsia="zh-CN"/>
        </w:rPr>
        <w:t>月委托国昇设计有限责任公司编制了《平江县三阳乡万古村万古水库周边历史遗留重金属废渣整治项目初步设计》并通过了专家评审会。</w:t>
      </w:r>
    </w:p>
    <w:p w14:paraId="25C2E237">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lang w:val="en-US" w:eastAsia="zh-CN"/>
        </w:rPr>
      </w:pPr>
      <w:r>
        <w:rPr>
          <w:rFonts w:hint="default" w:ascii="Times New Roman" w:hAnsi="Times New Roman" w:cs="Times New Roman"/>
          <w:color w:val="auto"/>
          <w:sz w:val="28"/>
          <w:szCs w:val="28"/>
          <w:highlight w:val="none"/>
          <w:u w:val="none" w:color="auto"/>
        </w:rPr>
        <w:t>1.</w:t>
      </w:r>
      <w:r>
        <w:rPr>
          <w:rFonts w:hint="eastAsia" w:ascii="Times New Roman" w:hAnsi="Times New Roman" w:cs="Times New Roman"/>
          <w:color w:val="auto"/>
          <w:sz w:val="28"/>
          <w:szCs w:val="28"/>
          <w:highlight w:val="none"/>
          <w:u w:val="none" w:color="auto"/>
          <w:lang w:val="en-US" w:eastAsia="zh-CN"/>
        </w:rPr>
        <w:t>1</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4项目分类判定</w:t>
      </w:r>
    </w:p>
    <w:p w14:paraId="13C30558">
      <w:pPr>
        <w:keepNext w:val="0"/>
        <w:keepLines w:val="0"/>
        <w:pageBreakBefore w:val="0"/>
        <w:widowControl w:val="0"/>
        <w:kinsoku/>
        <w:wordWrap w:val="0"/>
        <w:overflowPunct/>
        <w:topLinePunct w:val="0"/>
        <w:autoSpaceDE/>
        <w:autoSpaceDN/>
        <w:bidi w:val="0"/>
        <w:adjustRightInd/>
        <w:snapToGrid/>
        <w:ind w:firstLine="480" w:firstLineChars="200"/>
        <w:textAlignment w:val="auto"/>
        <w:rPr>
          <w:rFonts w:hint="eastAsia" w:cs="Times New Roman"/>
          <w:color w:val="auto"/>
          <w:sz w:val="24"/>
          <w:szCs w:val="24"/>
          <w:highlight w:val="none"/>
          <w:u w:val="none" w:color="auto"/>
          <w:lang w:eastAsia="zh-CN"/>
        </w:rPr>
      </w:pPr>
      <w:r>
        <w:rPr>
          <w:rFonts w:hint="default" w:ascii="Times New Roman" w:hAnsi="Times New Roman" w:cs="Times New Roman"/>
          <w:i w:val="0"/>
          <w:iCs w:val="0"/>
          <w:color w:val="auto"/>
          <w:sz w:val="24"/>
          <w:szCs w:val="24"/>
          <w:highlight w:val="none"/>
          <w:u w:val="none" w:color="auto"/>
        </w:rPr>
        <w:t>根据</w:t>
      </w:r>
      <w:r>
        <w:rPr>
          <w:rFonts w:hint="eastAsia"/>
          <w:color w:val="auto"/>
          <w:sz w:val="24"/>
          <w:szCs w:val="24"/>
          <w:highlight w:val="none"/>
          <w:u w:val="none" w:color="auto"/>
        </w:rPr>
        <w:t>《国民经济行业分类》（GB/T4754-2017）</w:t>
      </w: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本</w:t>
      </w:r>
      <w:r>
        <w:rPr>
          <w:rFonts w:hint="eastAsia"/>
          <w:color w:val="auto"/>
          <w:sz w:val="24"/>
          <w:szCs w:val="24"/>
          <w:highlight w:val="none"/>
          <w:u w:val="none" w:color="auto"/>
          <w:lang w:eastAsia="zh-CN"/>
        </w:rPr>
        <w:t>项目</w:t>
      </w:r>
      <w:r>
        <w:rPr>
          <w:rFonts w:hint="eastAsia"/>
          <w:color w:val="auto"/>
          <w:sz w:val="24"/>
          <w:szCs w:val="24"/>
          <w:highlight w:val="none"/>
          <w:u w:val="none" w:color="auto"/>
          <w:lang w:val="en-US" w:eastAsia="zh-CN"/>
        </w:rPr>
        <w:t xml:space="preserve">属于N7723 </w:t>
      </w:r>
      <w:r>
        <w:rPr>
          <w:rFonts w:hint="eastAsia"/>
          <w:color w:val="auto"/>
          <w:sz w:val="24"/>
          <w:szCs w:val="24"/>
          <w:highlight w:val="none"/>
          <w:u w:val="none" w:color="auto"/>
          <w:lang w:eastAsia="zh-CN"/>
        </w:rPr>
        <w:t>固体废物治理，</w:t>
      </w:r>
      <w:r>
        <w:rPr>
          <w:rFonts w:hint="eastAsia"/>
          <w:color w:val="auto"/>
          <w:sz w:val="24"/>
          <w:szCs w:val="24"/>
          <w:highlight w:val="none"/>
          <w:u w:val="none" w:color="auto"/>
          <w:lang w:val="en-US" w:eastAsia="zh-CN"/>
        </w:rPr>
        <w:t>根据《</w:t>
      </w:r>
      <w:r>
        <w:rPr>
          <w:rFonts w:hint="default" w:ascii="Times New Roman" w:hAnsi="Times New Roman" w:cs="Times New Roman"/>
          <w:i w:val="0"/>
          <w:iCs w:val="0"/>
          <w:color w:val="auto"/>
          <w:sz w:val="24"/>
          <w:szCs w:val="24"/>
          <w:highlight w:val="none"/>
          <w:u w:val="none" w:color="auto"/>
        </w:rPr>
        <w:t>中华人民共和国环境保护法</w:t>
      </w:r>
      <w:r>
        <w:rPr>
          <w:rFonts w:hint="eastAsia"/>
          <w:color w:val="auto"/>
          <w:sz w:val="24"/>
          <w:szCs w:val="24"/>
          <w:highlight w:val="none"/>
          <w:u w:val="none" w:color="auto"/>
          <w:lang w:val="en-US" w:eastAsia="zh-CN"/>
        </w:rPr>
        <w:t>》</w:t>
      </w:r>
      <w:r>
        <w:rPr>
          <w:rFonts w:hint="default" w:ascii="Times New Roman" w:hAnsi="Times New Roman" w:cs="Times New Roman"/>
          <w:i w:val="0"/>
          <w:iCs w:val="0"/>
          <w:color w:val="auto"/>
          <w:sz w:val="24"/>
          <w:szCs w:val="24"/>
          <w:highlight w:val="none"/>
          <w:u w:val="none" w:color="auto"/>
        </w:rPr>
        <w:t>和《建设项目环境保护管理条例》的要求，项目应进行环境影响评价。根据《建设项目环境影响评价分类管理名录》（2021年版），</w:t>
      </w:r>
      <w:r>
        <w:rPr>
          <w:rFonts w:hint="eastAsia" w:cs="Times New Roman"/>
          <w:i w:val="0"/>
          <w:iCs w:val="0"/>
          <w:color w:val="auto"/>
          <w:sz w:val="24"/>
          <w:szCs w:val="24"/>
          <w:highlight w:val="none"/>
          <w:u w:val="none" w:color="auto"/>
          <w:lang w:eastAsia="zh-CN"/>
        </w:rPr>
        <w:t>本</w:t>
      </w:r>
      <w:r>
        <w:rPr>
          <w:rFonts w:hint="eastAsia" w:cs="Times New Roman"/>
          <w:i w:val="0"/>
          <w:iCs w:val="0"/>
          <w:color w:val="auto"/>
          <w:sz w:val="24"/>
          <w:szCs w:val="24"/>
          <w:highlight w:val="none"/>
          <w:u w:val="none" w:color="auto"/>
          <w:lang w:val="en-US" w:eastAsia="zh-CN"/>
        </w:rPr>
        <w:t>项目类别为</w:t>
      </w:r>
      <w:r>
        <w:rPr>
          <w:rFonts w:hint="eastAsia" w:cs="Times New Roman"/>
          <w:i w:val="0"/>
          <w:iCs w:val="0"/>
          <w:color w:val="auto"/>
          <w:sz w:val="24"/>
          <w:szCs w:val="24"/>
          <w:highlight w:val="none"/>
          <w:u w:val="none" w:color="auto"/>
          <w:lang w:eastAsia="zh-CN"/>
        </w:rPr>
        <w:t>“四十七、生态保护和环境治理业”中的“103一般工业固体废物（含污水处理污泥）、建筑施工废弃物处置及综合利用”中的“一般工业固体废弃物（含污水处理污泥）采取填埋、焚烧（水泥窑协同处置的改造项目除外）方式的”，本项目需编写环境影响报告书，</w:t>
      </w:r>
      <w:r>
        <w:rPr>
          <w:rFonts w:hint="eastAsia" w:cs="Times New Roman"/>
          <w:i w:val="0"/>
          <w:iCs w:val="0"/>
          <w:color w:val="auto"/>
          <w:sz w:val="24"/>
          <w:szCs w:val="24"/>
          <w:highlight w:val="none"/>
          <w:u w:val="none" w:color="auto"/>
          <w:lang w:val="en-US" w:eastAsia="zh-CN"/>
        </w:rPr>
        <w:t>受</w:t>
      </w:r>
      <w:r>
        <w:rPr>
          <w:rFonts w:hint="eastAsia" w:ascii="Times New Roman" w:hAnsi="Times New Roman" w:cs="Times New Roman"/>
          <w:i w:val="0"/>
          <w:iCs w:val="0"/>
          <w:color w:val="auto"/>
          <w:sz w:val="24"/>
          <w:szCs w:val="24"/>
          <w:highlight w:val="none"/>
          <w:u w:val="none" w:color="auto"/>
          <w:lang w:val="en-US" w:eastAsia="zh-CN"/>
        </w:rPr>
        <w:t>平江县三阳乡人民政府</w:t>
      </w:r>
      <w:r>
        <w:rPr>
          <w:rFonts w:hint="default" w:ascii="Times New Roman" w:hAnsi="Times New Roman" w:cs="Times New Roman"/>
          <w:color w:val="auto"/>
          <w:sz w:val="24"/>
          <w:szCs w:val="24"/>
          <w:highlight w:val="none"/>
          <w:u w:val="none" w:color="auto"/>
        </w:rPr>
        <w:t>委托</w:t>
      </w:r>
      <w:r>
        <w:rPr>
          <w:rFonts w:hint="eastAsia"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湖南昆灵环保科技有限公司承</w:t>
      </w:r>
      <w:r>
        <w:rPr>
          <w:rFonts w:hint="eastAsia" w:ascii="宋体" w:hAnsi="宋体" w:cs="宋体"/>
          <w:color w:val="auto"/>
          <w:sz w:val="24"/>
          <w:szCs w:val="24"/>
          <w:highlight w:val="none"/>
          <w:u w:val="none" w:color="auto"/>
        </w:rPr>
        <w:t>担</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eastAsia" w:cs="Times New Roman"/>
          <w:color w:val="auto"/>
          <w:sz w:val="24"/>
          <w:szCs w:val="24"/>
          <w:highlight w:val="none"/>
          <w:u w:val="none" w:color="auto"/>
          <w:lang w:val="en-US" w:eastAsia="zh-CN"/>
        </w:rPr>
        <w:t>”</w:t>
      </w:r>
      <w:r>
        <w:rPr>
          <w:rFonts w:hint="eastAsia" w:ascii="宋体" w:hAnsi="宋体" w:cs="宋体"/>
          <w:color w:val="auto"/>
          <w:sz w:val="24"/>
          <w:szCs w:val="24"/>
          <w:highlight w:val="none"/>
          <w:u w:val="none" w:color="auto"/>
        </w:rPr>
        <w:t>环境</w:t>
      </w:r>
      <w:r>
        <w:rPr>
          <w:rFonts w:hint="default" w:ascii="Times New Roman" w:hAnsi="Times New Roman" w:cs="Times New Roman"/>
          <w:color w:val="auto"/>
          <w:sz w:val="24"/>
          <w:szCs w:val="24"/>
          <w:highlight w:val="none"/>
          <w:u w:val="none" w:color="auto"/>
        </w:rPr>
        <w:t>影响评价工</w:t>
      </w:r>
      <w:r>
        <w:rPr>
          <w:rFonts w:hint="eastAsia" w:ascii="宋体" w:hAnsi="宋体" w:eastAsia="宋体" w:cs="宋体"/>
          <w:color w:val="auto"/>
          <w:sz w:val="24"/>
          <w:szCs w:val="24"/>
          <w:highlight w:val="none"/>
          <w:u w:val="none" w:color="auto"/>
        </w:rPr>
        <w:t>作</w:t>
      </w:r>
      <w:r>
        <w:rPr>
          <w:rFonts w:hint="eastAsia" w:ascii="宋体" w:hAnsi="宋体" w:cs="宋体"/>
          <w:color w:val="auto"/>
          <w:sz w:val="24"/>
          <w:szCs w:val="24"/>
          <w:highlight w:val="none"/>
          <w:u w:val="none" w:color="auto"/>
          <w:lang w:eastAsia="zh-CN"/>
        </w:rPr>
        <w:t>（</w:t>
      </w:r>
      <w:r>
        <w:rPr>
          <w:rFonts w:hint="eastAsia" w:ascii="宋体" w:hAnsi="宋体" w:eastAsia="宋体" w:cs="宋体"/>
          <w:color w:val="auto"/>
          <w:sz w:val="24"/>
          <w:szCs w:val="24"/>
          <w:highlight w:val="none"/>
          <w:u w:val="none" w:color="auto"/>
        </w:rPr>
        <w:t>委托书见附件</w:t>
      </w:r>
      <w:r>
        <w:rPr>
          <w:rFonts w:hint="default" w:ascii="Times New Roman" w:hAnsi="Times New Roman" w:eastAsia="宋体" w:cs="Times New Roman"/>
          <w:color w:val="auto"/>
          <w:sz w:val="24"/>
          <w:szCs w:val="24"/>
          <w:highlight w:val="none"/>
          <w:u w:val="none" w:color="auto"/>
        </w:rPr>
        <w:t>1</w:t>
      </w:r>
      <w:r>
        <w:rPr>
          <w:rFonts w:hint="eastAsia" w:cs="Times New Roman"/>
          <w:color w:val="auto"/>
          <w:sz w:val="24"/>
          <w:szCs w:val="24"/>
          <w:highlight w:val="none"/>
          <w:u w:val="none" w:color="auto"/>
          <w:lang w:eastAsia="zh-CN"/>
        </w:rPr>
        <w:t>）</w:t>
      </w:r>
      <w:r>
        <w:rPr>
          <w:rFonts w:hint="eastAsia" w:ascii="宋体" w:hAnsi="宋体" w:eastAsia="宋体" w:cs="宋体"/>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我公司在接到委托后进行现场调研，并搜集了有关资料，按照国家、湖南省有关法律法规以及相关环境影响评价技术导则的要求，编制</w:t>
      </w:r>
      <w:r>
        <w:rPr>
          <w:rFonts w:hint="eastAsia" w:cs="Times New Roman"/>
          <w:color w:val="auto"/>
          <w:sz w:val="24"/>
          <w:szCs w:val="24"/>
          <w:highlight w:val="none"/>
          <w:u w:val="none" w:color="auto"/>
          <w:lang w:val="en-US" w:eastAsia="zh-CN"/>
        </w:rPr>
        <w:t>完成</w:t>
      </w:r>
      <w:r>
        <w:rPr>
          <w:rFonts w:hint="default" w:ascii="Times New Roman" w:hAnsi="Times New Roman" w:cs="Times New Roman"/>
          <w:color w:val="auto"/>
          <w:sz w:val="24"/>
          <w:szCs w:val="24"/>
          <w:highlight w:val="none"/>
          <w:u w:val="none" w:color="auto"/>
        </w:rPr>
        <w:t>了本</w:t>
      </w:r>
      <w:r>
        <w:rPr>
          <w:rFonts w:hint="eastAsia" w:cs="Times New Roman"/>
          <w:color w:val="auto"/>
          <w:sz w:val="24"/>
          <w:szCs w:val="24"/>
          <w:highlight w:val="none"/>
          <w:u w:val="none" w:color="auto"/>
          <w:lang w:val="en-US" w:eastAsia="zh-CN"/>
        </w:rPr>
        <w:t>项目</w:t>
      </w:r>
      <w:r>
        <w:rPr>
          <w:rFonts w:hint="default" w:ascii="Times New Roman" w:hAnsi="Times New Roman" w:cs="Times New Roman"/>
          <w:color w:val="auto"/>
          <w:sz w:val="24"/>
          <w:szCs w:val="24"/>
          <w:highlight w:val="none"/>
          <w:u w:val="none" w:color="auto"/>
        </w:rPr>
        <w:t>环境影响报告书</w:t>
      </w:r>
      <w:r>
        <w:rPr>
          <w:rFonts w:hint="eastAsia" w:cs="Times New Roman"/>
          <w:color w:val="auto"/>
          <w:sz w:val="24"/>
          <w:szCs w:val="24"/>
          <w:highlight w:val="none"/>
          <w:u w:val="none" w:color="auto"/>
          <w:lang w:eastAsia="zh-CN"/>
        </w:rPr>
        <w:t>。</w:t>
      </w:r>
    </w:p>
    <w:p w14:paraId="017701A3">
      <w:pPr>
        <w:keepNext w:val="0"/>
        <w:keepLines w:val="0"/>
        <w:pageBreakBefore w:val="0"/>
        <w:widowControl w:val="0"/>
        <w:kinsoku/>
        <w:wordWrap/>
        <w:overflowPunct/>
        <w:topLinePunct w:val="0"/>
        <w:autoSpaceDE/>
        <w:autoSpaceDN/>
        <w:bidi w:val="0"/>
        <w:adjustRightInd/>
        <w:snapToGrid/>
        <w:ind w:firstLine="0" w:firstLineChars="0"/>
        <w:textAlignment w:val="auto"/>
        <w:outlineLvl w:val="1"/>
        <w:rPr>
          <w:rFonts w:hint="default" w:cs="Times New Roman"/>
          <w:b/>
          <w:bCs/>
          <w:color w:val="auto"/>
          <w:sz w:val="30"/>
          <w:szCs w:val="30"/>
          <w:highlight w:val="none"/>
          <w:u w:val="none" w:color="auto"/>
          <w:lang w:val="en-US" w:eastAsia="zh-CN" w:bidi="zh-CN"/>
        </w:rPr>
      </w:pPr>
      <w:bookmarkStart w:id="72" w:name="_Toc14284"/>
      <w:bookmarkStart w:id="73" w:name="_Toc10110"/>
      <w:r>
        <w:rPr>
          <w:rFonts w:hint="default" w:cs="Times New Roman"/>
          <w:b/>
          <w:bCs/>
          <w:color w:val="auto"/>
          <w:sz w:val="30"/>
          <w:szCs w:val="30"/>
          <w:highlight w:val="none"/>
          <w:u w:val="none" w:color="auto"/>
          <w:lang w:val="en-US" w:eastAsia="zh-CN" w:bidi="zh-CN"/>
        </w:rPr>
        <w:t>1.2 项目特点</w:t>
      </w:r>
      <w:bookmarkEnd w:id="72"/>
      <w:bookmarkEnd w:id="73"/>
    </w:p>
    <w:p w14:paraId="47518B7A">
      <w:pPr>
        <w:pStyle w:val="60"/>
        <w:spacing w:line="360" w:lineRule="auto"/>
        <w:ind w:firstLine="480" w:firstLineChars="200"/>
        <w:rPr>
          <w:rFonts w:hint="default" w:hAnsi="Times New Roman" w:cs="Times New Roman"/>
          <w:color w:val="auto"/>
          <w:kern w:val="2"/>
          <w:sz w:val="24"/>
          <w:highlight w:val="none"/>
          <w:u w:val="none" w:color="auto"/>
          <w:lang w:val="en-US" w:eastAsia="zh-CN"/>
        </w:rPr>
      </w:pPr>
      <w:r>
        <w:rPr>
          <w:rFonts w:hint="default" w:hAnsi="Times New Roman" w:cs="Times New Roman"/>
          <w:color w:val="auto"/>
          <w:kern w:val="2"/>
          <w:sz w:val="24"/>
          <w:highlight w:val="none"/>
          <w:u w:val="none" w:color="auto"/>
          <w:lang w:val="en-US" w:eastAsia="zh-CN"/>
        </w:rPr>
        <w:t>本项目为工业固废处置项目，属于环境治理项目，项目治理完成后对生态环境改善有促进作用，建设过程中要尽可能避免产生二次污染，封场后要确保填埋场的稳定性</w:t>
      </w:r>
      <w:r>
        <w:rPr>
          <w:rFonts w:hint="eastAsia" w:hAnsi="Times New Roman" w:cs="Times New Roman"/>
          <w:color w:val="auto"/>
          <w:kern w:val="2"/>
          <w:sz w:val="24"/>
          <w:highlight w:val="none"/>
          <w:u w:val="none" w:color="auto"/>
          <w:lang w:val="en-US" w:eastAsia="zh-CN"/>
        </w:rPr>
        <w:t>且</w:t>
      </w:r>
      <w:r>
        <w:rPr>
          <w:rFonts w:hint="default" w:hAnsi="Times New Roman" w:cs="Times New Roman"/>
          <w:color w:val="auto"/>
          <w:kern w:val="2"/>
          <w:sz w:val="24"/>
          <w:highlight w:val="none"/>
          <w:u w:val="none" w:color="auto"/>
          <w:lang w:val="en-US" w:eastAsia="zh-CN"/>
        </w:rPr>
        <w:t>废渣不会产生新的污染物。</w:t>
      </w:r>
    </w:p>
    <w:p w14:paraId="71B218D8">
      <w:pPr>
        <w:topLinePunct w:val="0"/>
        <w:ind w:firstLine="0" w:firstLineChars="0"/>
        <w:outlineLvl w:val="1"/>
        <w:rPr>
          <w:rFonts w:hint="default" w:ascii="Times New Roman" w:hAnsi="Times New Roman" w:eastAsia="宋体" w:cs="Times New Roman"/>
          <w:b/>
          <w:bCs/>
          <w:color w:val="auto"/>
          <w:sz w:val="30"/>
          <w:szCs w:val="30"/>
          <w:highlight w:val="none"/>
          <w:u w:val="none" w:color="auto"/>
          <w:lang w:val="en-US" w:bidi="zh-CN"/>
        </w:rPr>
      </w:pPr>
      <w:bookmarkStart w:id="74" w:name="_TOC_250281"/>
      <w:bookmarkEnd w:id="74"/>
      <w:bookmarkStart w:id="75" w:name="1.3评价工作过程"/>
      <w:bookmarkEnd w:id="75"/>
      <w:bookmarkStart w:id="76" w:name="_Toc31405"/>
      <w:bookmarkStart w:id="77" w:name="_Toc4601"/>
      <w:bookmarkStart w:id="78" w:name="_Toc29207"/>
      <w:bookmarkStart w:id="79" w:name="_Toc4905"/>
      <w:bookmarkStart w:id="80" w:name="_Toc1497"/>
      <w:bookmarkStart w:id="81" w:name="_Toc31215"/>
      <w:bookmarkStart w:id="82" w:name="_Toc9547"/>
      <w:bookmarkStart w:id="83" w:name="_Toc6324"/>
      <w:bookmarkStart w:id="84" w:name="_Toc22393"/>
      <w:bookmarkStart w:id="85" w:name="_Toc2612"/>
      <w:bookmarkStart w:id="86" w:name="_Toc5865"/>
      <w:bookmarkStart w:id="87" w:name="_Toc27721"/>
      <w:bookmarkStart w:id="88" w:name="_Toc3763"/>
      <w:bookmarkStart w:id="89" w:name="_Toc22270"/>
      <w:r>
        <w:rPr>
          <w:rFonts w:hint="default" w:ascii="Times New Roman" w:hAnsi="Times New Roman" w:eastAsia="宋体" w:cs="Times New Roman"/>
          <w:b/>
          <w:bCs/>
          <w:color w:val="auto"/>
          <w:sz w:val="30"/>
          <w:szCs w:val="30"/>
          <w:highlight w:val="none"/>
          <w:u w:val="none" w:color="auto"/>
          <w:lang w:val="en-US" w:bidi="zh-CN"/>
        </w:rPr>
        <w:t>1.3评价工作过程</w:t>
      </w:r>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420D107F">
      <w:pPr>
        <w:keepNext w:val="0"/>
        <w:keepLines w:val="0"/>
        <w:pageBreakBefore w:val="0"/>
        <w:widowControl w:val="0"/>
        <w:kinsoku/>
        <w:wordWrap w:val="0"/>
        <w:overflowPunct/>
        <w:autoSpaceDE/>
        <w:autoSpaceDN/>
        <w:bidi w:val="0"/>
        <w:adjustRightInd/>
        <w:snapToGrid/>
        <w:ind w:firstLine="480" w:firstLineChars="200"/>
        <w:jc w:val="left"/>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根据《环境影响评价技术导则</w:t>
      </w:r>
      <w:r>
        <w:rPr>
          <w:rFonts w:hint="eastAsia" w:ascii="Times New Roman" w:hAnsi="Times New Roman" w:eastAsia="宋体" w:cs="Times New Roman"/>
          <w:i w:val="0"/>
          <w:iCs w:val="0"/>
          <w:color w:val="auto"/>
          <w:sz w:val="24"/>
          <w:szCs w:val="24"/>
          <w:highlight w:val="none"/>
          <w:u w:val="none" w:color="auto"/>
          <w:lang w:val="en-US" w:eastAsia="zh-CN"/>
        </w:rPr>
        <w:t xml:space="preserve"> </w:t>
      </w:r>
      <w:r>
        <w:rPr>
          <w:rFonts w:hint="default" w:ascii="Times New Roman" w:hAnsi="Times New Roman" w:eastAsia="宋体" w:cs="Times New Roman"/>
          <w:i w:val="0"/>
          <w:iCs w:val="0"/>
          <w:color w:val="auto"/>
          <w:sz w:val="24"/>
          <w:szCs w:val="24"/>
          <w:highlight w:val="none"/>
          <w:u w:val="none" w:color="auto"/>
          <w:lang w:val="en-US" w:eastAsia="zh-CN"/>
        </w:rPr>
        <w:t>总纲》（HJ2.1-2016）等相关技术规范的要求，环境影响评价工作分为三个阶段，即调查分析和工作方案制定阶段、分析论证和预测评价阶段、环境影响报告书编制阶段。主要工作过程如下：</w:t>
      </w:r>
    </w:p>
    <w:p w14:paraId="1D8FC695">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第一阶段：</w:t>
      </w:r>
    </w:p>
    <w:p w14:paraId="004D02F6">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①按照《建设项目环境影响评价技术导则 总纲》（HJ</w:t>
      </w:r>
      <w:r>
        <w:rPr>
          <w:rFonts w:hint="eastAsia" w:cs="Times New Roman"/>
          <w:i w:val="0"/>
          <w:iCs w:val="0"/>
          <w:color w:val="auto"/>
          <w:sz w:val="24"/>
          <w:szCs w:val="24"/>
          <w:highlight w:val="none"/>
          <w:u w:val="none" w:color="auto"/>
          <w:lang w:val="en-US" w:eastAsia="zh-CN"/>
        </w:rPr>
        <w:t xml:space="preserve"> </w:t>
      </w:r>
      <w:r>
        <w:rPr>
          <w:rFonts w:hint="default" w:ascii="Times New Roman" w:hAnsi="Times New Roman" w:eastAsia="宋体" w:cs="Times New Roman"/>
          <w:i w:val="0"/>
          <w:iCs w:val="0"/>
          <w:color w:val="auto"/>
          <w:sz w:val="24"/>
          <w:szCs w:val="24"/>
          <w:highlight w:val="none"/>
          <w:u w:val="none" w:color="auto"/>
          <w:lang w:val="en-US" w:eastAsia="zh-CN"/>
        </w:rPr>
        <w:t>2.1-2016）要求，在接受企业委托后，研究国家和地方有关环境保护的法律法规、政策、标准及相关规划等，确定项目环境影响评价文件类型为报告书。</w:t>
      </w:r>
    </w:p>
    <w:p w14:paraId="37885491">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②根据项目特点，研究相关技术文件和其他有关文件，明确</w:t>
      </w:r>
      <w:r>
        <w:rPr>
          <w:rFonts w:hint="eastAsia" w:cs="Times New Roman"/>
          <w:i w:val="0"/>
          <w:iCs w:val="0"/>
          <w:color w:val="auto"/>
          <w:sz w:val="24"/>
          <w:szCs w:val="24"/>
          <w:highlight w:val="none"/>
          <w:u w:val="none" w:color="auto"/>
          <w:lang w:val="en-US" w:eastAsia="zh-CN"/>
        </w:rPr>
        <w:t>本项目</w:t>
      </w:r>
      <w:r>
        <w:rPr>
          <w:rFonts w:hint="default" w:ascii="Times New Roman" w:hAnsi="Times New Roman" w:eastAsia="宋体" w:cs="Times New Roman"/>
          <w:i w:val="0"/>
          <w:iCs w:val="0"/>
          <w:color w:val="auto"/>
          <w:sz w:val="24"/>
          <w:szCs w:val="24"/>
          <w:highlight w:val="none"/>
          <w:u w:val="none" w:color="auto"/>
          <w:lang w:val="en-US" w:eastAsia="zh-CN"/>
        </w:rPr>
        <w:t>的评价重点，识别环境影响因素、筛选评价因子，对项目进行初步工程分析。对项目选址地进行实地踏勘，对厂区及周围地区社会、气象、水文、项目所在地周围污染源分布情况进行了调查分析，确定项目环境保护目标、环评工作等级、评价范围和标准。</w:t>
      </w:r>
    </w:p>
    <w:p w14:paraId="57CC7292">
      <w:pPr>
        <w:keepNext w:val="0"/>
        <w:keepLines w:val="0"/>
        <w:pageBreakBefore w:val="0"/>
        <w:widowControl w:val="0"/>
        <w:kinsoku/>
        <w:wordWrap w:val="0"/>
        <w:overflowPunct/>
        <w:autoSpaceDE/>
        <w:autoSpaceDN/>
        <w:bidi w:val="0"/>
        <w:adjustRightInd/>
        <w:snapToGrid/>
        <w:ind w:firstLine="480" w:firstLineChars="200"/>
        <w:textAlignment w:val="auto"/>
        <w:rPr>
          <w:rFonts w:hint="eastAsia"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③制定工作方案</w:t>
      </w:r>
      <w:r>
        <w:rPr>
          <w:rFonts w:hint="eastAsia" w:ascii="Times New Roman" w:hAnsi="Times New Roman" w:eastAsia="宋体" w:cs="Times New Roman"/>
          <w:i w:val="0"/>
          <w:iCs w:val="0"/>
          <w:color w:val="auto"/>
          <w:sz w:val="24"/>
          <w:szCs w:val="24"/>
          <w:highlight w:val="none"/>
          <w:u w:val="none" w:color="auto"/>
          <w:lang w:val="en-US" w:eastAsia="zh-CN"/>
        </w:rPr>
        <w:t>。</w:t>
      </w:r>
    </w:p>
    <w:p w14:paraId="14E9AF72">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第二阶段：</w:t>
      </w:r>
    </w:p>
    <w:p w14:paraId="5CF5BF2D">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①收集项目所在区域环境现状监测数据，并进行分析。</w:t>
      </w:r>
    </w:p>
    <w:p w14:paraId="2FC95B6A">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②根据建设单位提供的相关资料，完成建设项目分析章节，确定项目总量控制指标。</w:t>
      </w:r>
    </w:p>
    <w:p w14:paraId="7AB6184E">
      <w:pPr>
        <w:keepNext w:val="0"/>
        <w:keepLines w:val="0"/>
        <w:pageBreakBefore w:val="0"/>
        <w:widowControl w:val="0"/>
        <w:kinsoku/>
        <w:wordWrap w:val="0"/>
        <w:overflow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③收集所在地环境特征资料包括自然环境、</w:t>
      </w:r>
      <w:r>
        <w:rPr>
          <w:rFonts w:hint="eastAsia" w:ascii="Times New Roman" w:hAnsi="Times New Roman" w:eastAsia="宋体" w:cs="Times New Roman"/>
          <w:i w:val="0"/>
          <w:iCs w:val="0"/>
          <w:color w:val="auto"/>
          <w:sz w:val="24"/>
          <w:szCs w:val="24"/>
          <w:highlight w:val="none"/>
          <w:u w:val="none" w:color="auto"/>
          <w:lang w:val="en-US" w:eastAsia="zh-CN"/>
        </w:rPr>
        <w:t>园区</w:t>
      </w:r>
      <w:r>
        <w:rPr>
          <w:rFonts w:hint="default" w:ascii="Times New Roman" w:hAnsi="Times New Roman" w:eastAsia="宋体" w:cs="Times New Roman"/>
          <w:i w:val="0"/>
          <w:iCs w:val="0"/>
          <w:color w:val="auto"/>
          <w:sz w:val="24"/>
          <w:szCs w:val="24"/>
          <w:highlight w:val="none"/>
          <w:u w:val="none" w:color="auto"/>
          <w:lang w:val="en-US" w:eastAsia="zh-CN"/>
        </w:rPr>
        <w:t>污染源情况。完成环境现状调查与评价章节。</w:t>
      </w:r>
    </w:p>
    <w:p w14:paraId="5D92E8C0">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④根据工程分析，完成环境影响预测与评价。</w:t>
      </w:r>
    </w:p>
    <w:p w14:paraId="2751FA8F">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第三阶段：</w:t>
      </w:r>
    </w:p>
    <w:p w14:paraId="37ABB129">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①根据工程分析，完成环境保护措施及可行性论证章节。</w:t>
      </w:r>
    </w:p>
    <w:p w14:paraId="0F456487">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②根据建设项目环境影响情况，完成环境影响经济损益分析、环境管理与监测计划章节的撰写。</w:t>
      </w:r>
    </w:p>
    <w:p w14:paraId="1A516D46">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③在报告编制过程中协助建设单位完成公众参与相关内容。</w:t>
      </w:r>
    </w:p>
    <w:p w14:paraId="5DB61330">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④完成环境影响报告书的编制工作，送生态环境主管部门审查。</w:t>
      </w:r>
    </w:p>
    <w:p w14:paraId="424CF3CA">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⑤按照环评评审会专家组意见及审批部门意见修改完善环境影响报告书。</w:t>
      </w:r>
    </w:p>
    <w:p w14:paraId="4C970F6B">
      <w:pPr>
        <w:keepNext w:val="0"/>
        <w:keepLines w:val="0"/>
        <w:pageBreakBefore w:val="0"/>
        <w:widowControl w:val="0"/>
        <w:kinsoku/>
        <w:wordWrap/>
        <w:overflowPunct/>
        <w:topLinePunct/>
        <w:autoSpaceDE/>
        <w:autoSpaceDN/>
        <w:bidi w:val="0"/>
        <w:adjustRightInd/>
        <w:snapToGrid/>
        <w:ind w:firstLine="480" w:firstLineChars="200"/>
        <w:textAlignment w:val="auto"/>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sz w:val="24"/>
          <w:szCs w:val="24"/>
          <w:highlight w:val="none"/>
          <w:u w:val="none" w:color="auto"/>
          <w:lang w:val="en-US" w:eastAsia="zh-CN"/>
        </w:rPr>
        <w:t>在此基础上，形成了《</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default" w:ascii="Times New Roman" w:hAnsi="Times New Roman" w:eastAsia="宋体" w:cs="Times New Roman"/>
          <w:i w:val="0"/>
          <w:iCs w:val="0"/>
          <w:color w:val="auto"/>
          <w:sz w:val="24"/>
          <w:szCs w:val="24"/>
          <w:highlight w:val="none"/>
          <w:u w:val="none" w:color="auto"/>
          <w:lang w:val="en-US" w:eastAsia="zh-CN"/>
        </w:rPr>
        <w:t>环境影响报告书》。</w:t>
      </w:r>
    </w:p>
    <w:p w14:paraId="7AC489EF">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ascii="Times New Roman" w:hAnsi="Times New Roman" w:eastAsia="宋体" w:cs="Times New Roman"/>
          <w:i w:val="0"/>
          <w:iCs w:val="0"/>
          <w:color w:val="FF0000"/>
          <w:sz w:val="24"/>
          <w:szCs w:val="24"/>
          <w:highlight w:val="none"/>
          <w:u w:val="none" w:color="auto"/>
          <w:lang w:val="en-US" w:eastAsia="zh-CN"/>
        </w:rPr>
      </w:pPr>
      <w:r>
        <w:rPr>
          <w:rFonts w:hint="eastAsia" w:cs="Times New Roman"/>
          <w:i w:val="0"/>
          <w:iCs w:val="0"/>
          <w:color w:val="auto"/>
          <w:sz w:val="24"/>
          <w:szCs w:val="24"/>
          <w:highlight w:val="none"/>
          <w:u w:val="none" w:color="auto"/>
          <w:lang w:val="en-US" w:eastAsia="zh-CN"/>
        </w:rPr>
        <w:t>本项目</w:t>
      </w:r>
      <w:r>
        <w:rPr>
          <w:rFonts w:hint="eastAsia" w:ascii="Times New Roman" w:hAnsi="Times New Roman" w:eastAsia="宋体" w:cs="Times New Roman"/>
          <w:i w:val="0"/>
          <w:iCs w:val="0"/>
          <w:color w:val="auto"/>
          <w:sz w:val="24"/>
          <w:szCs w:val="24"/>
          <w:highlight w:val="none"/>
          <w:u w:val="none" w:color="auto"/>
          <w:lang w:val="en-US" w:eastAsia="zh-CN"/>
        </w:rPr>
        <w:t>环评期间，建设单位按要求开展公众意见调查工作如下：①202</w:t>
      </w:r>
      <w:r>
        <w:rPr>
          <w:rFonts w:hint="eastAsia" w:cs="Times New Roman"/>
          <w:i w:val="0"/>
          <w:iCs w:val="0"/>
          <w:color w:val="auto"/>
          <w:sz w:val="24"/>
          <w:szCs w:val="24"/>
          <w:highlight w:val="none"/>
          <w:u w:val="none" w:color="auto"/>
          <w:lang w:val="en-US" w:eastAsia="zh-CN"/>
        </w:rPr>
        <w:t>6</w:t>
      </w:r>
      <w:r>
        <w:rPr>
          <w:rFonts w:hint="eastAsia" w:ascii="Times New Roman" w:hAnsi="Times New Roman" w:eastAsia="宋体" w:cs="Times New Roman"/>
          <w:i w:val="0"/>
          <w:iCs w:val="0"/>
          <w:color w:val="auto"/>
          <w:sz w:val="24"/>
          <w:szCs w:val="24"/>
          <w:highlight w:val="none"/>
          <w:u w:val="none" w:color="auto"/>
          <w:lang w:val="en-US" w:eastAsia="zh-CN"/>
        </w:rPr>
        <w:t>年</w:t>
      </w:r>
      <w:r>
        <w:rPr>
          <w:rFonts w:hint="eastAsia" w:cs="Times New Roman"/>
          <w:i w:val="0"/>
          <w:iCs w:val="0"/>
          <w:color w:val="auto"/>
          <w:sz w:val="24"/>
          <w:szCs w:val="24"/>
          <w:highlight w:val="none"/>
          <w:u w:val="none" w:color="auto"/>
          <w:lang w:val="en-US" w:eastAsia="zh-CN"/>
        </w:rPr>
        <w:t>1</w:t>
      </w:r>
      <w:r>
        <w:rPr>
          <w:rFonts w:hint="eastAsia" w:ascii="Times New Roman" w:hAnsi="Times New Roman" w:eastAsia="宋体" w:cs="Times New Roman"/>
          <w:i w:val="0"/>
          <w:iCs w:val="0"/>
          <w:color w:val="auto"/>
          <w:sz w:val="24"/>
          <w:szCs w:val="24"/>
          <w:highlight w:val="none"/>
          <w:u w:val="none" w:color="auto"/>
          <w:lang w:val="en-US" w:eastAsia="zh-CN"/>
        </w:rPr>
        <w:t>月</w:t>
      </w:r>
      <w:r>
        <w:rPr>
          <w:rFonts w:hint="eastAsia" w:cs="Times New Roman"/>
          <w:i w:val="0"/>
          <w:iCs w:val="0"/>
          <w:color w:val="auto"/>
          <w:sz w:val="24"/>
          <w:szCs w:val="24"/>
          <w:highlight w:val="none"/>
          <w:u w:val="none" w:color="auto"/>
          <w:lang w:val="en-US" w:eastAsia="zh-CN"/>
        </w:rPr>
        <w:t>27</w:t>
      </w:r>
      <w:r>
        <w:rPr>
          <w:rFonts w:hint="eastAsia" w:ascii="Times New Roman" w:hAnsi="Times New Roman" w:eastAsia="宋体" w:cs="Times New Roman"/>
          <w:i w:val="0"/>
          <w:iCs w:val="0"/>
          <w:color w:val="auto"/>
          <w:sz w:val="24"/>
          <w:szCs w:val="24"/>
          <w:highlight w:val="none"/>
          <w:u w:val="none" w:color="auto"/>
          <w:lang w:val="en-US" w:eastAsia="zh-CN"/>
        </w:rPr>
        <w:t>日，</w:t>
      </w:r>
      <w:r>
        <w:rPr>
          <w:rFonts w:hint="eastAsia" w:cs="Times New Roman"/>
          <w:i w:val="0"/>
          <w:iCs w:val="0"/>
          <w:color w:val="auto"/>
          <w:sz w:val="24"/>
          <w:szCs w:val="24"/>
          <w:highlight w:val="none"/>
          <w:u w:val="none" w:color="auto"/>
          <w:lang w:val="en-US" w:eastAsia="zh-CN"/>
        </w:rPr>
        <w:t>在全国建设项目环境信息公示平台进行了项目</w:t>
      </w:r>
      <w:r>
        <w:rPr>
          <w:rFonts w:hint="eastAsia" w:ascii="Times New Roman" w:hAnsi="Times New Roman" w:eastAsia="宋体" w:cs="Times New Roman"/>
          <w:i w:val="0"/>
          <w:iCs w:val="0"/>
          <w:color w:val="auto"/>
          <w:sz w:val="24"/>
          <w:szCs w:val="24"/>
          <w:highlight w:val="none"/>
          <w:u w:val="none" w:color="auto"/>
          <w:lang w:val="en-US" w:eastAsia="zh-CN"/>
        </w:rPr>
        <w:t>第</w:t>
      </w:r>
      <w:r>
        <w:rPr>
          <w:rFonts w:hint="eastAsia" w:ascii="Times New Roman" w:hAnsi="Times New Roman" w:cs="Times New Roman"/>
          <w:i w:val="0"/>
          <w:iCs w:val="0"/>
          <w:color w:val="auto"/>
          <w:sz w:val="24"/>
          <w:szCs w:val="24"/>
          <w:highlight w:val="none"/>
          <w:u w:val="none" w:color="auto"/>
          <w:lang w:val="en-US" w:eastAsia="zh-CN"/>
        </w:rPr>
        <w:t>一</w:t>
      </w:r>
      <w:r>
        <w:rPr>
          <w:rFonts w:hint="eastAsia" w:ascii="Times New Roman" w:hAnsi="Times New Roman" w:eastAsia="宋体" w:cs="Times New Roman"/>
          <w:i w:val="0"/>
          <w:iCs w:val="0"/>
          <w:color w:val="auto"/>
          <w:sz w:val="24"/>
          <w:szCs w:val="24"/>
          <w:highlight w:val="none"/>
          <w:u w:val="none" w:color="auto"/>
          <w:lang w:val="en-US" w:eastAsia="zh-CN"/>
        </w:rPr>
        <w:t>次环评信息公示</w:t>
      </w:r>
      <w:r>
        <w:rPr>
          <w:rFonts w:hint="eastAsia" w:ascii="Times New Roman" w:hAnsi="Times New Roman" w:cs="Times New Roman"/>
          <w:i w:val="0"/>
          <w:iCs w:val="0"/>
          <w:color w:val="auto"/>
          <w:sz w:val="24"/>
          <w:szCs w:val="24"/>
          <w:highlight w:val="none"/>
          <w:u w:val="none" w:color="auto"/>
          <w:lang w:val="en-US" w:eastAsia="zh-CN"/>
        </w:rPr>
        <w:t>；</w:t>
      </w:r>
      <w:r>
        <w:rPr>
          <w:rFonts w:hint="eastAsia" w:ascii="Times New Roman" w:hAnsi="Times New Roman" w:eastAsia="宋体" w:cs="Times New Roman"/>
          <w:color w:val="auto"/>
          <w:sz w:val="24"/>
          <w:highlight w:val="none"/>
          <w:u w:val="none" w:color="auto"/>
          <w:lang w:val="en-US" w:eastAsia="zh-CN" w:bidi="ar"/>
        </w:rPr>
        <w:t>②</w:t>
      </w:r>
      <w:r>
        <w:rPr>
          <w:rFonts w:hint="eastAsia" w:ascii="Times New Roman" w:hAnsi="Times New Roman" w:eastAsia="宋体" w:cs="Times New Roman"/>
          <w:i w:val="0"/>
          <w:iCs w:val="0"/>
          <w:color w:val="auto"/>
          <w:sz w:val="24"/>
          <w:szCs w:val="24"/>
          <w:highlight w:val="none"/>
          <w:u w:val="none" w:color="auto"/>
          <w:lang w:val="en-US" w:eastAsia="zh-CN"/>
        </w:rPr>
        <w:t>202</w:t>
      </w:r>
      <w:r>
        <w:rPr>
          <w:rFonts w:hint="eastAsia" w:cs="Times New Roman"/>
          <w:i w:val="0"/>
          <w:iCs w:val="0"/>
          <w:color w:val="auto"/>
          <w:sz w:val="24"/>
          <w:szCs w:val="24"/>
          <w:highlight w:val="none"/>
          <w:u w:val="none" w:color="auto"/>
          <w:lang w:val="en-US" w:eastAsia="zh-CN"/>
        </w:rPr>
        <w:t>6</w:t>
      </w:r>
      <w:r>
        <w:rPr>
          <w:rFonts w:hint="eastAsia" w:ascii="Times New Roman" w:hAnsi="Times New Roman" w:eastAsia="宋体" w:cs="Times New Roman"/>
          <w:i w:val="0"/>
          <w:iCs w:val="0"/>
          <w:color w:val="auto"/>
          <w:sz w:val="24"/>
          <w:szCs w:val="24"/>
          <w:highlight w:val="none"/>
          <w:u w:val="none" w:color="auto"/>
          <w:lang w:val="en-US" w:eastAsia="zh-CN"/>
        </w:rPr>
        <w:t>年</w:t>
      </w:r>
      <w:r>
        <w:rPr>
          <w:rFonts w:hint="eastAsia" w:cs="Times New Roman"/>
          <w:i w:val="0"/>
          <w:iCs w:val="0"/>
          <w:color w:val="auto"/>
          <w:sz w:val="24"/>
          <w:szCs w:val="24"/>
          <w:highlight w:val="none"/>
          <w:u w:val="none" w:color="auto"/>
          <w:lang w:val="en-US" w:eastAsia="zh-CN"/>
        </w:rPr>
        <w:t>3</w:t>
      </w:r>
      <w:r>
        <w:rPr>
          <w:rFonts w:hint="eastAsia" w:ascii="Times New Roman" w:hAnsi="Times New Roman" w:eastAsia="宋体" w:cs="Times New Roman"/>
          <w:i w:val="0"/>
          <w:iCs w:val="0"/>
          <w:color w:val="auto"/>
          <w:sz w:val="24"/>
          <w:szCs w:val="24"/>
          <w:highlight w:val="none"/>
          <w:u w:val="none" w:color="auto"/>
          <w:lang w:val="en-US" w:eastAsia="zh-CN"/>
        </w:rPr>
        <w:t>月</w:t>
      </w:r>
      <w:r>
        <w:rPr>
          <w:rFonts w:hint="eastAsia" w:cs="Times New Roman"/>
          <w:i w:val="0"/>
          <w:iCs w:val="0"/>
          <w:color w:val="auto"/>
          <w:sz w:val="24"/>
          <w:szCs w:val="24"/>
          <w:highlight w:val="none"/>
          <w:u w:val="none" w:color="auto"/>
          <w:lang w:val="en-US" w:eastAsia="zh-CN"/>
        </w:rPr>
        <w:t>8</w:t>
      </w:r>
      <w:r>
        <w:rPr>
          <w:rFonts w:hint="eastAsia" w:ascii="Times New Roman" w:hAnsi="Times New Roman" w:eastAsia="宋体" w:cs="Times New Roman"/>
          <w:i w:val="0"/>
          <w:iCs w:val="0"/>
          <w:color w:val="auto"/>
          <w:sz w:val="24"/>
          <w:szCs w:val="24"/>
          <w:highlight w:val="none"/>
          <w:u w:val="none" w:color="auto"/>
          <w:lang w:val="en-US" w:eastAsia="zh-CN"/>
        </w:rPr>
        <w:t>日，在</w:t>
      </w:r>
      <w:r>
        <w:rPr>
          <w:rFonts w:hint="eastAsia" w:cs="Times New Roman"/>
          <w:i w:val="0"/>
          <w:iCs w:val="0"/>
          <w:color w:val="auto"/>
          <w:sz w:val="24"/>
          <w:szCs w:val="24"/>
          <w:highlight w:val="none"/>
          <w:u w:val="none" w:color="auto"/>
          <w:lang w:val="en-US" w:eastAsia="zh-CN"/>
        </w:rPr>
        <w:t>全国建设项目环境信息公示平台</w:t>
      </w:r>
      <w:r>
        <w:rPr>
          <w:rFonts w:hint="eastAsia" w:ascii="Times New Roman" w:hAnsi="Times New Roman" w:eastAsia="宋体" w:cs="Times New Roman"/>
          <w:i w:val="0"/>
          <w:iCs w:val="0"/>
          <w:color w:val="auto"/>
          <w:sz w:val="24"/>
          <w:szCs w:val="24"/>
          <w:highlight w:val="none"/>
          <w:u w:val="none" w:color="auto"/>
          <w:lang w:val="en-US" w:eastAsia="zh-CN"/>
        </w:rPr>
        <w:t>上进行了项目第二次环评信息公示，同时于202</w:t>
      </w:r>
      <w:r>
        <w:rPr>
          <w:rFonts w:hint="eastAsia" w:cs="Times New Roman"/>
          <w:i w:val="0"/>
          <w:iCs w:val="0"/>
          <w:color w:val="auto"/>
          <w:sz w:val="24"/>
          <w:szCs w:val="24"/>
          <w:highlight w:val="none"/>
          <w:u w:val="none" w:color="auto"/>
          <w:lang w:val="en-US" w:eastAsia="zh-CN"/>
        </w:rPr>
        <w:t>6</w:t>
      </w:r>
      <w:r>
        <w:rPr>
          <w:rFonts w:hint="eastAsia" w:ascii="Times New Roman" w:hAnsi="Times New Roman" w:eastAsia="宋体" w:cs="Times New Roman"/>
          <w:i w:val="0"/>
          <w:iCs w:val="0"/>
          <w:color w:val="auto"/>
          <w:sz w:val="24"/>
          <w:szCs w:val="24"/>
          <w:highlight w:val="none"/>
          <w:u w:val="none" w:color="auto"/>
          <w:lang w:val="en-US" w:eastAsia="zh-CN"/>
        </w:rPr>
        <w:t>年</w:t>
      </w:r>
      <w:r>
        <w:rPr>
          <w:rFonts w:hint="eastAsia" w:cs="Times New Roman"/>
          <w:i w:val="0"/>
          <w:iCs w:val="0"/>
          <w:color w:val="auto"/>
          <w:sz w:val="24"/>
          <w:szCs w:val="24"/>
          <w:highlight w:val="none"/>
          <w:u w:val="none" w:color="auto"/>
          <w:lang w:val="en-US" w:eastAsia="zh-CN"/>
        </w:rPr>
        <w:t>3</w:t>
      </w:r>
      <w:r>
        <w:rPr>
          <w:rFonts w:hint="eastAsia" w:ascii="Times New Roman" w:hAnsi="Times New Roman" w:eastAsia="宋体" w:cs="Times New Roman"/>
          <w:i w:val="0"/>
          <w:iCs w:val="0"/>
          <w:color w:val="auto"/>
          <w:sz w:val="24"/>
          <w:szCs w:val="24"/>
          <w:highlight w:val="none"/>
          <w:u w:val="none" w:color="auto"/>
          <w:lang w:val="en-US" w:eastAsia="zh-CN"/>
        </w:rPr>
        <w:t>月</w:t>
      </w:r>
      <w:r>
        <w:rPr>
          <w:rFonts w:hint="eastAsia" w:cs="Times New Roman"/>
          <w:i w:val="0"/>
          <w:iCs w:val="0"/>
          <w:color w:val="auto"/>
          <w:sz w:val="24"/>
          <w:szCs w:val="24"/>
          <w:highlight w:val="none"/>
          <w:u w:val="none" w:color="auto"/>
          <w:lang w:val="en-US" w:eastAsia="zh-CN"/>
        </w:rPr>
        <w:t>12</w:t>
      </w:r>
      <w:r>
        <w:rPr>
          <w:rFonts w:hint="eastAsia" w:ascii="Times New Roman" w:hAnsi="Times New Roman" w:eastAsia="宋体" w:cs="Times New Roman"/>
          <w:i w:val="0"/>
          <w:iCs w:val="0"/>
          <w:color w:val="auto"/>
          <w:sz w:val="24"/>
          <w:szCs w:val="24"/>
          <w:highlight w:val="none"/>
          <w:u w:val="none" w:color="auto"/>
          <w:lang w:val="en-US" w:eastAsia="zh-CN"/>
        </w:rPr>
        <w:t>日和</w:t>
      </w:r>
      <w:r>
        <w:rPr>
          <w:rFonts w:hint="eastAsia" w:cs="Times New Roman"/>
          <w:i w:val="0"/>
          <w:iCs w:val="0"/>
          <w:color w:val="auto"/>
          <w:sz w:val="24"/>
          <w:szCs w:val="24"/>
          <w:highlight w:val="none"/>
          <w:u w:val="none" w:color="auto"/>
          <w:lang w:val="en-US" w:eastAsia="zh-CN"/>
        </w:rPr>
        <w:t>13</w:t>
      </w:r>
      <w:r>
        <w:rPr>
          <w:rFonts w:hint="eastAsia" w:ascii="Times New Roman" w:hAnsi="Times New Roman" w:eastAsia="宋体" w:cs="Times New Roman"/>
          <w:i w:val="0"/>
          <w:iCs w:val="0"/>
          <w:color w:val="auto"/>
          <w:sz w:val="24"/>
          <w:szCs w:val="24"/>
          <w:highlight w:val="none"/>
          <w:u w:val="none" w:color="auto"/>
          <w:lang w:val="en-US" w:eastAsia="zh-CN"/>
        </w:rPr>
        <w:t>日在《岳阳晚报》进行了两次报纸公</w:t>
      </w:r>
      <w:bookmarkStart w:id="825" w:name="_GoBack"/>
      <w:bookmarkEnd w:id="825"/>
      <w:r>
        <w:rPr>
          <w:rFonts w:hint="eastAsia" w:ascii="Times New Roman" w:hAnsi="Times New Roman" w:eastAsia="宋体" w:cs="Times New Roman"/>
          <w:i w:val="0"/>
          <w:iCs w:val="0"/>
          <w:color w:val="auto"/>
          <w:sz w:val="24"/>
          <w:szCs w:val="24"/>
          <w:highlight w:val="none"/>
          <w:u w:val="none" w:color="auto"/>
          <w:lang w:val="en-US" w:eastAsia="zh-CN"/>
        </w:rPr>
        <w:t>示</w:t>
      </w:r>
      <w:r>
        <w:rPr>
          <w:rFonts w:hint="eastAsia" w:ascii="Times New Roman" w:hAnsi="Times New Roman" w:eastAsia="宋体" w:cs="Times New Roman"/>
          <w:color w:val="auto"/>
          <w:sz w:val="24"/>
          <w:highlight w:val="none"/>
          <w:u w:val="none" w:color="auto"/>
          <w:lang w:val="en-US" w:eastAsia="zh-CN" w:bidi="ar"/>
        </w:rPr>
        <w:t>。</w:t>
      </w:r>
      <w:r>
        <w:rPr>
          <w:rFonts w:hint="eastAsia" w:cs="Times New Roman"/>
          <w:color w:val="auto"/>
          <w:sz w:val="24"/>
          <w:highlight w:val="none"/>
          <w:u w:val="none" w:color="auto"/>
          <w:lang w:val="en-US" w:eastAsia="zh-CN" w:bidi="ar"/>
        </w:rPr>
        <w:t>③2026年3月8日，在在平江县三阳乡人民政府公布栏、万古村居委会及周边居民点处进行了现场公示</w:t>
      </w:r>
      <w:r>
        <w:rPr>
          <w:rFonts w:hint="eastAsia" w:ascii="Times New Roman" w:hAnsi="Times New Roman" w:eastAsia="宋体" w:cs="Times New Roman"/>
          <w:color w:val="auto"/>
          <w:sz w:val="24"/>
          <w:highlight w:val="none"/>
          <w:u w:val="none" w:color="auto"/>
          <w:lang w:val="en-US" w:eastAsia="zh-CN" w:bidi="ar"/>
        </w:rPr>
        <w:t>。</w:t>
      </w:r>
      <w:r>
        <w:rPr>
          <w:rFonts w:hint="eastAsia" w:cs="Times New Roman"/>
          <w:color w:val="auto"/>
          <w:sz w:val="24"/>
          <w:highlight w:val="none"/>
          <w:u w:val="none" w:color="auto"/>
          <w:lang w:val="en-US" w:eastAsia="zh-CN" w:bidi="ar"/>
        </w:rPr>
        <w:t>④</w:t>
      </w:r>
      <w:r>
        <w:rPr>
          <w:rFonts w:hint="eastAsia" w:cs="Times New Roman"/>
          <w:color w:val="auto"/>
          <w:sz w:val="24"/>
          <w:highlight w:val="none"/>
          <w:lang w:val="en-US" w:eastAsia="zh-CN" w:bidi="ar"/>
        </w:rPr>
        <w:t>2026年4月23日</w:t>
      </w:r>
      <w:r>
        <w:rPr>
          <w:rFonts w:hint="eastAsia" w:ascii="Times New Roman" w:hAnsi="Times New Roman" w:eastAsia="宋体" w:cs="Times New Roman"/>
          <w:color w:val="auto"/>
          <w:sz w:val="24"/>
          <w:highlight w:val="none"/>
          <w:lang w:val="en-US" w:eastAsia="zh-CN" w:bidi="ar"/>
        </w:rPr>
        <w:t>，</w:t>
      </w:r>
      <w:r>
        <w:rPr>
          <w:rFonts w:hint="eastAsia" w:cs="Times New Roman"/>
          <w:color w:val="auto"/>
          <w:sz w:val="24"/>
          <w:highlight w:val="none"/>
          <w:lang w:val="en-US" w:eastAsia="zh-CN" w:bidi="ar"/>
        </w:rPr>
        <w:t>在全国建设项目环境信息公示平台</w:t>
      </w:r>
      <w:r>
        <w:rPr>
          <w:rFonts w:hint="eastAsia" w:ascii="Times New Roman" w:hAnsi="Times New Roman" w:eastAsia="宋体" w:cs="Times New Roman"/>
          <w:color w:val="auto"/>
          <w:sz w:val="24"/>
          <w:highlight w:val="none"/>
          <w:lang w:val="en-US" w:eastAsia="zh-CN" w:bidi="ar"/>
        </w:rPr>
        <w:t>进行环境影响报告书报批前公示</w:t>
      </w:r>
      <w:r>
        <w:rPr>
          <w:rFonts w:hint="eastAsia" w:ascii="Times New Roman" w:hAnsi="Times New Roman" w:eastAsia="宋体" w:cs="Times New Roman"/>
          <w:color w:val="auto"/>
          <w:sz w:val="24"/>
          <w:highlight w:val="none"/>
          <w:u w:val="none" w:color="auto"/>
          <w:lang w:val="en-US" w:eastAsia="zh-CN" w:bidi="ar"/>
        </w:rPr>
        <w:t>。</w:t>
      </w:r>
      <w:r>
        <w:rPr>
          <w:rFonts w:hint="eastAsia" w:ascii="Times New Roman" w:hAnsi="Times New Roman" w:eastAsia="宋体" w:cs="Times New Roman"/>
          <w:i w:val="0"/>
          <w:iCs w:val="0"/>
          <w:color w:val="auto"/>
          <w:sz w:val="24"/>
          <w:szCs w:val="24"/>
          <w:highlight w:val="none"/>
          <w:u w:val="none" w:color="auto"/>
          <w:lang w:val="en-US" w:eastAsia="zh-CN"/>
        </w:rPr>
        <w:t>具体流程见下图所示。</w:t>
      </w:r>
    </w:p>
    <w:p w14:paraId="5C14EE05">
      <w:pPr>
        <w:topLinePunct w:val="0"/>
        <w:ind w:left="0" w:leftChars="0" w:firstLine="0" w:firstLineChars="0"/>
        <w:jc w:val="center"/>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drawing>
          <wp:inline distT="0" distB="0" distL="114300" distR="114300">
            <wp:extent cx="4603115" cy="3504565"/>
            <wp:effectExtent l="0" t="0" r="6985" b="635"/>
            <wp:docPr id="4" name="图片 17" descr="1650937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7" descr="1650937444(1)"/>
                    <pic:cNvPicPr>
                      <a:picLocks noChangeAspect="1"/>
                    </pic:cNvPicPr>
                  </pic:nvPicPr>
                  <pic:blipFill>
                    <a:blip r:embed="rId30"/>
                    <a:stretch>
                      <a:fillRect/>
                    </a:stretch>
                  </pic:blipFill>
                  <pic:spPr>
                    <a:xfrm>
                      <a:off x="0" y="0"/>
                      <a:ext cx="4603115" cy="3504565"/>
                    </a:xfrm>
                    <a:prstGeom prst="rect">
                      <a:avLst/>
                    </a:prstGeom>
                    <a:noFill/>
                    <a:ln>
                      <a:noFill/>
                    </a:ln>
                  </pic:spPr>
                </pic:pic>
              </a:graphicData>
            </a:graphic>
          </wp:inline>
        </w:drawing>
      </w:r>
    </w:p>
    <w:p w14:paraId="06BD3929">
      <w:pPr>
        <w:topLinePunct w:val="0"/>
        <w:spacing w:line="240" w:lineRule="auto"/>
        <w:ind w:firstLine="422"/>
        <w:jc w:val="center"/>
        <w:rPr>
          <w:rFonts w:hint="default" w:ascii="Times New Roman" w:hAnsi="Times New Roman" w:cs="Times New Roman"/>
          <w:b/>
          <w:color w:val="auto"/>
          <w:sz w:val="21"/>
          <w:szCs w:val="21"/>
          <w:highlight w:val="none"/>
          <w:u w:val="none" w:color="auto"/>
        </w:rPr>
      </w:pPr>
      <w:r>
        <w:rPr>
          <w:rFonts w:hint="default" w:ascii="Times New Roman" w:hAnsi="Times New Roman" w:cs="Times New Roman"/>
          <w:b/>
          <w:color w:val="auto"/>
          <w:sz w:val="21"/>
          <w:szCs w:val="21"/>
          <w:highlight w:val="none"/>
          <w:u w:val="none" w:color="auto"/>
        </w:rPr>
        <w:t>图1.3-1  环境影响评价工作流程图</w:t>
      </w:r>
    </w:p>
    <w:p w14:paraId="46CF7F39">
      <w:pPr>
        <w:topLinePunct w:val="0"/>
        <w:ind w:firstLine="0" w:firstLineChars="0"/>
        <w:outlineLvl w:val="1"/>
        <w:rPr>
          <w:rFonts w:hint="default" w:ascii="Times New Roman" w:hAnsi="Times New Roman" w:eastAsia="宋体" w:cs="Times New Roman"/>
          <w:b/>
          <w:bCs/>
          <w:color w:val="auto"/>
          <w:sz w:val="30"/>
          <w:szCs w:val="30"/>
          <w:highlight w:val="none"/>
          <w:u w:val="none" w:color="auto"/>
          <w:lang w:val="en-US" w:bidi="zh-CN"/>
        </w:rPr>
      </w:pPr>
      <w:bookmarkStart w:id="90" w:name="_Toc21478"/>
      <w:bookmarkStart w:id="91" w:name="_Toc9451"/>
      <w:bookmarkStart w:id="92" w:name="_Toc20491"/>
      <w:bookmarkStart w:id="93" w:name="_Toc21062"/>
      <w:bookmarkStart w:id="94" w:name="_Toc28797"/>
      <w:bookmarkStart w:id="95" w:name="_Toc9794"/>
      <w:bookmarkStart w:id="96" w:name="_Toc17143"/>
      <w:bookmarkStart w:id="97" w:name="_Toc28045"/>
      <w:bookmarkStart w:id="98" w:name="_Toc8942"/>
      <w:bookmarkStart w:id="99" w:name="_Toc15312"/>
      <w:bookmarkStart w:id="100" w:name="_Toc22493"/>
      <w:bookmarkStart w:id="101" w:name="_Toc10015"/>
      <w:bookmarkStart w:id="102" w:name="_Toc26675"/>
      <w:r>
        <w:rPr>
          <w:rFonts w:hint="default" w:ascii="Times New Roman" w:hAnsi="Times New Roman" w:eastAsia="宋体" w:cs="Times New Roman"/>
          <w:b/>
          <w:bCs/>
          <w:color w:val="auto"/>
          <w:sz w:val="30"/>
          <w:szCs w:val="30"/>
          <w:highlight w:val="none"/>
          <w:u w:val="none" w:color="auto"/>
          <w:lang w:val="en-US" w:bidi="zh-CN"/>
        </w:rPr>
        <w:t>1.4分析判断相关情况</w:t>
      </w:r>
      <w:bookmarkEnd w:id="90"/>
      <w:bookmarkEnd w:id="91"/>
      <w:bookmarkEnd w:id="92"/>
      <w:bookmarkEnd w:id="93"/>
      <w:bookmarkEnd w:id="94"/>
      <w:bookmarkEnd w:id="95"/>
      <w:bookmarkEnd w:id="96"/>
      <w:bookmarkEnd w:id="97"/>
      <w:bookmarkEnd w:id="98"/>
      <w:bookmarkEnd w:id="99"/>
      <w:bookmarkEnd w:id="100"/>
      <w:bookmarkEnd w:id="101"/>
      <w:bookmarkEnd w:id="102"/>
    </w:p>
    <w:p w14:paraId="5BD5A7A2">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103" w:name="_Toc18982"/>
      <w:bookmarkStart w:id="104" w:name="_Toc17715"/>
      <w:bookmarkStart w:id="105" w:name="_Toc26595"/>
      <w:bookmarkStart w:id="106" w:name="_Toc1414"/>
      <w:r>
        <w:rPr>
          <w:rFonts w:hint="default" w:ascii="Times New Roman" w:hAnsi="Times New Roman" w:cs="Times New Roman"/>
          <w:color w:val="auto"/>
          <w:sz w:val="28"/>
          <w:szCs w:val="28"/>
          <w:highlight w:val="none"/>
          <w:u w:val="none" w:color="auto"/>
        </w:rPr>
        <w:t>1.4.1产业政策相符性分析</w:t>
      </w:r>
      <w:bookmarkEnd w:id="103"/>
      <w:bookmarkEnd w:id="104"/>
      <w:bookmarkEnd w:id="105"/>
      <w:bookmarkEnd w:id="106"/>
    </w:p>
    <w:p w14:paraId="2D328C5C">
      <w:pPr>
        <w:pStyle w:val="152"/>
        <w:keepNext w:val="0"/>
        <w:keepLines w:val="0"/>
        <w:pageBreakBefore w:val="0"/>
        <w:widowControl w:val="0"/>
        <w:kinsoku/>
        <w:wordWrap w:val="0"/>
        <w:overflowPunct/>
        <w:topLinePunct/>
        <w:autoSpaceDE/>
        <w:autoSpaceDN/>
        <w:bidi w:val="0"/>
        <w:adjustRightInd/>
        <w:snapToGrid/>
        <w:ind w:firstLine="480"/>
        <w:textAlignment w:val="auto"/>
        <w:rPr>
          <w:rFonts w:hint="default" w:ascii="Times New Roman" w:hAnsi="Times New Roman" w:cs="Times New Roman"/>
          <w:color w:val="auto"/>
          <w:highlight w:val="none"/>
          <w:u w:val="none" w:color="auto"/>
          <w:lang w:val="en-US" w:eastAsia="zh-CN"/>
        </w:rPr>
      </w:pPr>
      <w:r>
        <w:rPr>
          <w:rFonts w:hint="eastAsia"/>
          <w:color w:val="auto"/>
          <w:sz w:val="24"/>
          <w:szCs w:val="24"/>
          <w:highlight w:val="none"/>
          <w:u w:val="none" w:color="auto"/>
          <w:lang w:val="en-US" w:eastAsia="zh-CN"/>
        </w:rPr>
        <w:t>本</w:t>
      </w:r>
      <w:r>
        <w:rPr>
          <w:rFonts w:hint="eastAsia"/>
          <w:color w:val="auto"/>
          <w:sz w:val="24"/>
          <w:szCs w:val="24"/>
          <w:highlight w:val="none"/>
          <w:u w:val="none" w:color="auto"/>
          <w:lang w:eastAsia="zh-CN"/>
        </w:rPr>
        <w:t>项目</w:t>
      </w:r>
      <w:r>
        <w:rPr>
          <w:rFonts w:hint="eastAsia"/>
          <w:color w:val="auto"/>
          <w:sz w:val="24"/>
          <w:szCs w:val="24"/>
          <w:highlight w:val="none"/>
          <w:u w:val="none" w:color="auto"/>
          <w:lang w:val="en-US" w:eastAsia="zh-CN"/>
        </w:rPr>
        <w:t xml:space="preserve">行业为N7723 </w:t>
      </w:r>
      <w:r>
        <w:rPr>
          <w:rFonts w:hint="eastAsia"/>
          <w:color w:val="auto"/>
          <w:sz w:val="24"/>
          <w:szCs w:val="24"/>
          <w:highlight w:val="none"/>
          <w:u w:val="none" w:color="auto"/>
          <w:lang w:eastAsia="zh-CN"/>
        </w:rPr>
        <w:t>固体废物治理，</w:t>
      </w:r>
      <w:r>
        <w:rPr>
          <w:rFonts w:hint="default" w:ascii="Times New Roman" w:hAnsi="Times New Roman" w:cs="Times New Roman"/>
          <w:color w:val="auto"/>
          <w:highlight w:val="none"/>
          <w:u w:val="none" w:color="auto"/>
        </w:rPr>
        <w:t>根据《产业结构调整指导目录（20</w:t>
      </w:r>
      <w:r>
        <w:rPr>
          <w:rFonts w:hint="eastAsia" w:ascii="Times New Roman" w:hAnsi="Times New Roman" w:cs="Times New Roman"/>
          <w:color w:val="auto"/>
          <w:highlight w:val="none"/>
          <w:u w:val="none" w:color="auto"/>
          <w:lang w:val="en-US" w:eastAsia="zh-CN"/>
        </w:rPr>
        <w:t>24</w:t>
      </w:r>
      <w:r>
        <w:rPr>
          <w:rFonts w:hint="default" w:ascii="Times New Roman" w:hAnsi="Times New Roman" w:cs="Times New Roman"/>
          <w:color w:val="auto"/>
          <w:highlight w:val="none"/>
          <w:u w:val="none" w:color="auto"/>
        </w:rPr>
        <w:t>年本）》，</w:t>
      </w:r>
      <w:r>
        <w:rPr>
          <w:rFonts w:hint="eastAsia" w:cs="Times New Roman"/>
          <w:color w:val="auto"/>
          <w:highlight w:val="none"/>
          <w:u w:val="none" w:color="auto"/>
          <w:lang w:val="en-US" w:eastAsia="zh-CN"/>
        </w:rPr>
        <w:t>本项目属于</w:t>
      </w:r>
      <w:r>
        <w:rPr>
          <w:rFonts w:hint="default" w:ascii="Times New Roman" w:hAnsi="Times New Roman" w:cs="Times New Roman"/>
          <w:color w:val="auto"/>
          <w:highlight w:val="none"/>
          <w:u w:val="none" w:color="auto"/>
        </w:rPr>
        <w:t>鼓励类中第四十二项“环境保护与资源节约综合利用”的第2项“生态环境修复和资源利用”。</w:t>
      </w:r>
    </w:p>
    <w:p w14:paraId="73409266">
      <w:pPr>
        <w:pStyle w:val="152"/>
        <w:keepNext w:val="0"/>
        <w:keepLines w:val="0"/>
        <w:pageBreakBefore w:val="0"/>
        <w:widowControl w:val="0"/>
        <w:kinsoku/>
        <w:wordWrap w:val="0"/>
        <w:overflowPunct/>
        <w:topLinePunct/>
        <w:autoSpaceDE/>
        <w:autoSpaceDN/>
        <w:bidi w:val="0"/>
        <w:adjustRightInd/>
        <w:snapToGrid/>
        <w:ind w:firstLine="480"/>
        <w:textAlignment w:val="auto"/>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因此，</w:t>
      </w:r>
      <w:r>
        <w:rPr>
          <w:rFonts w:hint="eastAsia" w:cs="Times New Roman"/>
          <w:color w:val="auto"/>
          <w:highlight w:val="none"/>
          <w:u w:val="none" w:color="auto"/>
          <w:lang w:eastAsia="zh-CN"/>
        </w:rPr>
        <w:t>本项目</w:t>
      </w:r>
      <w:r>
        <w:rPr>
          <w:rFonts w:hint="default" w:ascii="Times New Roman" w:hAnsi="Times New Roman" w:cs="Times New Roman"/>
          <w:color w:val="auto"/>
          <w:highlight w:val="none"/>
          <w:u w:val="none" w:color="auto"/>
        </w:rPr>
        <w:t>建设符合国家产业政策要求。</w:t>
      </w:r>
    </w:p>
    <w:p w14:paraId="70796E61">
      <w:pPr>
        <w:pStyle w:val="4"/>
        <w:keepNext w:val="0"/>
        <w:keepLines w:val="0"/>
        <w:pageBreakBefore w:val="0"/>
        <w:widowControl/>
        <w:numPr>
          <w:ilvl w:val="2"/>
          <w:numId w:val="0"/>
        </w:numPr>
        <w:kinsoku/>
        <w:wordWrap/>
        <w:overflowPunct/>
        <w:topLinePunct w:val="0"/>
        <w:autoSpaceDE/>
        <w:autoSpaceDN/>
        <w:bidi w:val="0"/>
        <w:adjustRightInd/>
        <w:snapToGrid/>
        <w:spacing w:before="0" w:beforeLines="0" w:after="0" w:afterLines="0" w:line="240" w:lineRule="auto"/>
        <w:textAlignment w:val="auto"/>
        <w:rPr>
          <w:rFonts w:hint="default" w:ascii="Times New Roman" w:hAnsi="Times New Roman" w:cs="Times New Roman"/>
          <w:color w:val="auto"/>
          <w:sz w:val="28"/>
          <w:szCs w:val="28"/>
          <w:highlight w:val="none"/>
          <w:u w:val="none" w:color="auto"/>
        </w:rPr>
      </w:pPr>
      <w:bookmarkStart w:id="107" w:name="_Toc2436"/>
      <w:bookmarkStart w:id="108" w:name="_Toc13523"/>
      <w:bookmarkStart w:id="109" w:name="_Toc18365"/>
      <w:bookmarkStart w:id="110" w:name="_Toc24388"/>
      <w:r>
        <w:rPr>
          <w:rFonts w:hint="default" w:ascii="Times New Roman" w:hAnsi="Times New Roman" w:cs="Times New Roman"/>
          <w:color w:val="auto"/>
          <w:sz w:val="28"/>
          <w:szCs w:val="28"/>
          <w:highlight w:val="none"/>
          <w:u w:val="none" w:color="auto"/>
        </w:rPr>
        <w:t>1.4.2与</w:t>
      </w:r>
      <w:r>
        <w:rPr>
          <w:rFonts w:hint="default" w:ascii="Times New Roman" w:hAnsi="Times New Roman" w:cs="Times New Roman"/>
          <w:color w:val="auto"/>
          <w:sz w:val="28"/>
          <w:szCs w:val="28"/>
          <w:highlight w:val="none"/>
          <w:u w:val="none" w:color="auto"/>
          <w:lang w:val="en-US" w:eastAsia="zh-CN"/>
        </w:rPr>
        <w:t>负面清单</w:t>
      </w:r>
      <w:r>
        <w:rPr>
          <w:rFonts w:hint="default" w:ascii="Times New Roman" w:hAnsi="Times New Roman" w:cs="Times New Roman"/>
          <w:color w:val="auto"/>
          <w:sz w:val="28"/>
          <w:szCs w:val="28"/>
          <w:highlight w:val="none"/>
          <w:u w:val="none" w:color="auto"/>
        </w:rPr>
        <w:t>符合性分析</w:t>
      </w:r>
      <w:bookmarkEnd w:id="107"/>
      <w:bookmarkEnd w:id="108"/>
      <w:bookmarkEnd w:id="109"/>
      <w:bookmarkEnd w:id="110"/>
    </w:p>
    <w:p w14:paraId="054C5E76">
      <w:pPr>
        <w:keepNext w:val="0"/>
        <w:keepLines w:val="0"/>
        <w:pageBreakBefore w:val="0"/>
        <w:widowControl w:val="0"/>
        <w:kinsoku/>
        <w:wordWrap/>
        <w:overflowPunct/>
        <w:topLinePunct w:val="0"/>
        <w:autoSpaceDE/>
        <w:autoSpaceDN/>
        <w:bidi w:val="0"/>
        <w:snapToGrid w:val="0"/>
        <w:spacing w:line="360" w:lineRule="auto"/>
        <w:ind w:firstLine="480" w:firstLineChars="200"/>
        <w:contextualSpacing/>
        <w:textAlignment w:val="auto"/>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lang w:val="en-US" w:eastAsia="zh-CN"/>
        </w:rPr>
        <w:t>根据</w:t>
      </w:r>
      <w:r>
        <w:rPr>
          <w:rFonts w:hint="default" w:ascii="Times New Roman" w:hAnsi="Times New Roman" w:eastAsia="宋体" w:cs="Times New Roman"/>
          <w:color w:val="auto"/>
          <w:kern w:val="0"/>
          <w:sz w:val="24"/>
          <w:szCs w:val="24"/>
          <w:highlight w:val="none"/>
          <w:u w:val="none" w:color="auto"/>
        </w:rPr>
        <w:t>《湖南省推动长江经济带发展领导小组办公室关于印发&lt;湖南省长江经济带发展负面清单实施细则（试行，2022年版）&gt;的通知》，</w:t>
      </w:r>
      <w:r>
        <w:rPr>
          <w:rFonts w:hint="eastAsia" w:cs="Times New Roman"/>
          <w:color w:val="auto"/>
          <w:kern w:val="0"/>
          <w:sz w:val="24"/>
          <w:szCs w:val="24"/>
          <w:highlight w:val="none"/>
          <w:u w:val="none" w:color="auto"/>
          <w:lang w:eastAsia="zh-CN"/>
        </w:rPr>
        <w:t>本项目</w:t>
      </w:r>
      <w:r>
        <w:rPr>
          <w:rFonts w:hint="default" w:ascii="Times New Roman" w:hAnsi="Times New Roman" w:eastAsia="宋体" w:cs="Times New Roman"/>
          <w:color w:val="auto"/>
          <w:kern w:val="0"/>
          <w:sz w:val="24"/>
          <w:szCs w:val="24"/>
          <w:highlight w:val="none"/>
          <w:u w:val="none" w:color="auto"/>
        </w:rPr>
        <w:t>与《湖南省长江经济带发展负面清单实施细则》（试行，2022年版）符合性分析详情见表1.4-</w:t>
      </w:r>
      <w:r>
        <w:rPr>
          <w:rFonts w:hint="eastAsia" w:ascii="Times New Roman" w:hAnsi="Times New Roman" w:eastAsia="宋体" w:cs="Times New Roman"/>
          <w:color w:val="auto"/>
          <w:kern w:val="0"/>
          <w:sz w:val="24"/>
          <w:szCs w:val="24"/>
          <w:highlight w:val="none"/>
          <w:u w:val="none" w:color="auto"/>
          <w:lang w:val="en-US" w:eastAsia="zh-CN"/>
        </w:rPr>
        <w:t>1</w:t>
      </w:r>
      <w:r>
        <w:rPr>
          <w:rFonts w:hint="default" w:ascii="Times New Roman" w:hAnsi="Times New Roman" w:eastAsia="宋体" w:cs="Times New Roman"/>
          <w:color w:val="auto"/>
          <w:kern w:val="0"/>
          <w:sz w:val="24"/>
          <w:szCs w:val="24"/>
          <w:highlight w:val="none"/>
          <w:u w:val="none" w:color="auto"/>
        </w:rPr>
        <w:t>。</w:t>
      </w:r>
    </w:p>
    <w:p w14:paraId="73302BD9">
      <w:pPr>
        <w:pStyle w:val="83"/>
        <w:spacing w:line="240" w:lineRule="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w:t>
      </w:r>
      <w:r>
        <w:rPr>
          <w:rFonts w:hint="eastAsia" w:ascii="Times New Roman" w:hAnsi="Times New Roman" w:cs="Times New Roman"/>
          <w:color w:val="auto"/>
          <w:sz w:val="21"/>
          <w:szCs w:val="21"/>
          <w:highlight w:val="none"/>
          <w:u w:val="none" w:color="auto"/>
          <w:lang w:val="en-US" w:eastAsia="zh-CN"/>
        </w:rPr>
        <w:t>1.</w:t>
      </w:r>
      <w:r>
        <w:rPr>
          <w:rFonts w:hint="default" w:ascii="Times New Roman" w:hAnsi="Times New Roman" w:cs="Times New Roman"/>
          <w:color w:val="auto"/>
          <w:sz w:val="21"/>
          <w:szCs w:val="21"/>
          <w:highlight w:val="none"/>
          <w:u w:val="none" w:color="auto"/>
          <w:lang w:val="en-US" w:eastAsia="zh-CN"/>
        </w:rPr>
        <w:t>4-</w:t>
      </w:r>
      <w:r>
        <w:rPr>
          <w:rFonts w:hint="eastAsia" w:ascii="Times New Roman" w:hAnsi="Times New Roman" w:cs="Times New Roman"/>
          <w:color w:val="auto"/>
          <w:sz w:val="21"/>
          <w:szCs w:val="21"/>
          <w:highlight w:val="none"/>
          <w:u w:val="none" w:color="auto"/>
          <w:lang w:val="en-US" w:eastAsia="zh-CN"/>
        </w:rPr>
        <w:t>1</w:t>
      </w:r>
      <w:r>
        <w:rPr>
          <w:rFonts w:hint="default" w:ascii="Times New Roman" w:hAnsi="Times New Roman" w:cs="Times New Roman"/>
          <w:color w:val="auto"/>
          <w:sz w:val="21"/>
          <w:szCs w:val="21"/>
          <w:highlight w:val="none"/>
          <w:u w:val="none" w:color="auto"/>
        </w:rPr>
        <w:t xml:space="preserve"> 与《湖南省长江经济带发展负面清单实施细则（试行，2022年版）》符合性一览表</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5108"/>
        <w:gridCol w:w="2548"/>
        <w:gridCol w:w="849"/>
      </w:tblGrid>
      <w:tr w14:paraId="3D07B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20" w:type="pct"/>
            <w:tcBorders>
              <w:tl2br w:val="nil"/>
              <w:tr2bl w:val="nil"/>
            </w:tcBorders>
            <w:noWrap w:val="0"/>
            <w:vAlign w:val="center"/>
          </w:tcPr>
          <w:p w14:paraId="4C96C836">
            <w:pPr>
              <w:widowControl w:val="0"/>
              <w:topLinePunct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序号</w:t>
            </w:r>
          </w:p>
        </w:tc>
        <w:tc>
          <w:tcPr>
            <w:tcW w:w="2750" w:type="pct"/>
            <w:tcBorders>
              <w:tl2br w:val="nil"/>
              <w:tr2bl w:val="nil"/>
            </w:tcBorders>
            <w:noWrap w:val="0"/>
            <w:vAlign w:val="center"/>
          </w:tcPr>
          <w:p w14:paraId="6EDA352E">
            <w:pPr>
              <w:widowControl w:val="0"/>
              <w:topLinePunct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lang w:val="en-US" w:eastAsia="zh-CN"/>
              </w:rPr>
              <w:t>细则</w:t>
            </w:r>
            <w:r>
              <w:rPr>
                <w:rFonts w:hint="default" w:ascii="Times New Roman" w:hAnsi="Times New Roman" w:eastAsia="宋体" w:cs="Times New Roman"/>
                <w:b/>
                <w:bCs/>
                <w:color w:val="auto"/>
                <w:kern w:val="0"/>
                <w:sz w:val="21"/>
                <w:szCs w:val="21"/>
                <w:highlight w:val="none"/>
                <w:u w:val="none" w:color="auto"/>
              </w:rPr>
              <w:t>要求</w:t>
            </w:r>
          </w:p>
        </w:tc>
        <w:tc>
          <w:tcPr>
            <w:tcW w:w="1372" w:type="pct"/>
            <w:tcBorders>
              <w:tl2br w:val="nil"/>
              <w:tr2bl w:val="nil"/>
            </w:tcBorders>
            <w:noWrap w:val="0"/>
            <w:vAlign w:val="center"/>
          </w:tcPr>
          <w:p w14:paraId="3AD25981">
            <w:pPr>
              <w:widowControl w:val="0"/>
              <w:topLinePunct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u w:val="none" w:color="auto"/>
              </w:rPr>
            </w:pPr>
            <w:r>
              <w:rPr>
                <w:rFonts w:hint="eastAsia" w:cs="Times New Roman"/>
                <w:b/>
                <w:bCs/>
                <w:color w:val="auto"/>
                <w:kern w:val="0"/>
                <w:sz w:val="21"/>
                <w:szCs w:val="21"/>
                <w:highlight w:val="none"/>
                <w:u w:val="none" w:color="auto"/>
                <w:lang w:eastAsia="zh-CN"/>
              </w:rPr>
              <w:t>本项目</w:t>
            </w:r>
            <w:r>
              <w:rPr>
                <w:rFonts w:hint="default" w:ascii="Times New Roman" w:hAnsi="Times New Roman" w:eastAsia="宋体" w:cs="Times New Roman"/>
                <w:b/>
                <w:bCs/>
                <w:color w:val="auto"/>
                <w:kern w:val="0"/>
                <w:sz w:val="21"/>
                <w:szCs w:val="21"/>
                <w:highlight w:val="none"/>
                <w:u w:val="none" w:color="auto"/>
              </w:rPr>
              <w:t>情况</w:t>
            </w:r>
          </w:p>
        </w:tc>
        <w:tc>
          <w:tcPr>
            <w:tcW w:w="457" w:type="pct"/>
            <w:tcBorders>
              <w:tl2br w:val="nil"/>
              <w:tr2bl w:val="nil"/>
            </w:tcBorders>
            <w:noWrap w:val="0"/>
            <w:vAlign w:val="center"/>
          </w:tcPr>
          <w:p w14:paraId="60CABB6F">
            <w:pPr>
              <w:widowControl w:val="0"/>
              <w:topLinePunct w:val="0"/>
              <w:adjustRightInd w:val="0"/>
              <w:snapToGrid w:val="0"/>
              <w:spacing w:line="240" w:lineRule="auto"/>
              <w:ind w:firstLine="0" w:firstLineChars="0"/>
              <w:jc w:val="center"/>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相符性</w:t>
            </w:r>
          </w:p>
        </w:tc>
      </w:tr>
      <w:tr w14:paraId="148CD0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restart"/>
            <w:tcBorders>
              <w:tl2br w:val="nil"/>
              <w:tr2bl w:val="nil"/>
            </w:tcBorders>
            <w:noWrap w:val="0"/>
            <w:vAlign w:val="center"/>
          </w:tcPr>
          <w:p w14:paraId="6331BDF1">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cs="Times New Roman"/>
                <w:color w:val="auto"/>
                <w:kern w:val="2"/>
                <w:sz w:val="21"/>
                <w:szCs w:val="21"/>
                <w:highlight w:val="none"/>
                <w:u w:val="none" w:color="auto"/>
                <w:lang w:eastAsia="zh-CN"/>
              </w:rPr>
              <w:t>岸线开发和河段利用</w:t>
            </w:r>
          </w:p>
        </w:tc>
        <w:tc>
          <w:tcPr>
            <w:tcW w:w="2750" w:type="pct"/>
            <w:tcBorders>
              <w:tl2br w:val="nil"/>
              <w:tr2bl w:val="nil"/>
            </w:tcBorders>
            <w:noWrap w:val="0"/>
            <w:vAlign w:val="center"/>
          </w:tcPr>
          <w:p w14:paraId="29C3DE32">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禁止建设不符合全国和省级港口布局规划以及港口总体规划的码头项目</w:t>
            </w:r>
            <w:r>
              <w:rPr>
                <w:rFonts w:hint="eastAsia"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对不符合港口总体规划的新建，改建和扩建的码头工程（含舾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w:t>
            </w:r>
            <w:r>
              <w:rPr>
                <w:rFonts w:hint="eastAsia" w:cs="Times New Roman"/>
                <w:color w:val="auto"/>
                <w:kern w:val="0"/>
                <w:sz w:val="21"/>
                <w:szCs w:val="21"/>
                <w:highlight w:val="none"/>
                <w:u w:val="none" w:color="auto"/>
                <w:lang w:eastAsia="zh-CN"/>
              </w:rPr>
              <w:t>干线</w:t>
            </w:r>
            <w:r>
              <w:rPr>
                <w:rFonts w:hint="default" w:ascii="Times New Roman" w:hAnsi="Times New Roman" w:eastAsia="宋体" w:cs="Times New Roman"/>
                <w:color w:val="auto"/>
                <w:kern w:val="0"/>
                <w:sz w:val="21"/>
                <w:szCs w:val="21"/>
                <w:highlight w:val="none"/>
                <w:u w:val="none" w:color="auto"/>
              </w:rPr>
              <w:t>过江通道布局规划</w:t>
            </w:r>
            <w:r>
              <w:rPr>
                <w:rFonts w:hint="eastAsia"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2020-2035年</w:t>
            </w:r>
            <w:r>
              <w:rPr>
                <w:rFonts w:hint="eastAsia"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》的过长江通道项目。</w:t>
            </w:r>
          </w:p>
        </w:tc>
        <w:tc>
          <w:tcPr>
            <w:tcW w:w="1372" w:type="pct"/>
            <w:tcBorders>
              <w:tl2br w:val="nil"/>
              <w:tr2bl w:val="nil"/>
            </w:tcBorders>
            <w:noWrap w:val="0"/>
            <w:vAlign w:val="center"/>
          </w:tcPr>
          <w:p w14:paraId="05E5E54B">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eastAsia="zh-CN"/>
              </w:rPr>
            </w:pPr>
            <w:r>
              <w:rPr>
                <w:rFonts w:hint="eastAsia" w:cs="Times New Roman"/>
                <w:color w:val="auto"/>
                <w:kern w:val="0"/>
                <w:sz w:val="21"/>
                <w:szCs w:val="21"/>
                <w:highlight w:val="none"/>
                <w:u w:val="none" w:color="auto"/>
                <w:lang w:eastAsia="zh-CN"/>
              </w:rPr>
              <w:t>本项目</w:t>
            </w:r>
            <w:r>
              <w:rPr>
                <w:rFonts w:hint="default" w:ascii="Times New Roman" w:hAnsi="Times New Roman" w:eastAsia="宋体" w:cs="Times New Roman"/>
                <w:color w:val="auto"/>
                <w:kern w:val="0"/>
                <w:sz w:val="21"/>
                <w:szCs w:val="21"/>
                <w:highlight w:val="none"/>
                <w:u w:val="none" w:color="auto"/>
              </w:rPr>
              <w:t>不涉及码头建设</w:t>
            </w:r>
          </w:p>
        </w:tc>
        <w:tc>
          <w:tcPr>
            <w:tcW w:w="457" w:type="pct"/>
            <w:tcBorders>
              <w:tl2br w:val="nil"/>
              <w:tr2bl w:val="nil"/>
            </w:tcBorders>
            <w:noWrap w:val="0"/>
            <w:vAlign w:val="center"/>
          </w:tcPr>
          <w:p w14:paraId="0F71AD5B">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257994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45D96434">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30402791">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禁止在自然保护区核心区、缓冲区的岸线和河段范围内投资建设以下旅游和生产经营项目：</w:t>
            </w:r>
          </w:p>
          <w:p w14:paraId="28C817D5">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(一)高尔夫球场开发、房地产开发、索道建设、会所建设等项目；</w:t>
            </w:r>
          </w:p>
          <w:p w14:paraId="607E2289">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(二)光伏发电、风力发电、火力发电建设项目；</w:t>
            </w:r>
          </w:p>
          <w:p w14:paraId="2AB64753">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(三)社会资金进行商业性探矿勘查，以及不属于国家紧缺矿种资源的基础地质调查和矿产远景调查等公益性工作的设施建设；</w:t>
            </w:r>
          </w:p>
          <w:p w14:paraId="685F8B1D">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(四)野生动物驯养繁殖、展览基地建设项目；</w:t>
            </w:r>
          </w:p>
          <w:p w14:paraId="17BB676F">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(五)污染环境、破坏自然资源或自然景观的建设设施；</w:t>
            </w:r>
          </w:p>
          <w:p w14:paraId="11059121">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(六)对自然保护区主要保护对象产生重大影响、改变自然生态系统完整性、原真性、破坏自然景观的设施；</w:t>
            </w:r>
          </w:p>
          <w:p w14:paraId="7BD5BD9C">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(七)其他不符合自然保护区主体功能定位和国家禁止的设施。</w:t>
            </w:r>
          </w:p>
        </w:tc>
        <w:tc>
          <w:tcPr>
            <w:tcW w:w="1372" w:type="pct"/>
            <w:vMerge w:val="restart"/>
            <w:tcBorders>
              <w:tl2br w:val="nil"/>
              <w:tr2bl w:val="nil"/>
            </w:tcBorders>
            <w:noWrap w:val="0"/>
            <w:vAlign w:val="center"/>
          </w:tcPr>
          <w:p w14:paraId="3A112C34">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eastAsia="zh-CN"/>
              </w:rPr>
            </w:pPr>
            <w:r>
              <w:rPr>
                <w:rFonts w:hint="eastAsia" w:cs="Times New Roman"/>
                <w:color w:val="auto"/>
                <w:kern w:val="0"/>
                <w:sz w:val="21"/>
                <w:szCs w:val="21"/>
                <w:highlight w:val="none"/>
                <w:u w:val="none" w:color="auto"/>
                <w:lang w:eastAsia="zh-CN"/>
              </w:rPr>
              <w:t>本项目</w:t>
            </w:r>
            <w:r>
              <w:rPr>
                <w:rFonts w:hint="eastAsia" w:ascii="Times New Roman" w:hAnsi="Times New Roman" w:eastAsia="宋体" w:cs="Times New Roman"/>
                <w:color w:val="auto"/>
                <w:kern w:val="0"/>
                <w:sz w:val="21"/>
                <w:szCs w:val="21"/>
                <w:highlight w:val="none"/>
                <w:u w:val="none" w:color="auto"/>
                <w:lang w:val="en-US" w:eastAsia="zh-CN"/>
              </w:rPr>
              <w:t>用地</w:t>
            </w:r>
            <w:r>
              <w:rPr>
                <w:rFonts w:hint="default" w:ascii="Times New Roman" w:hAnsi="Times New Roman" w:eastAsia="宋体" w:cs="Times New Roman"/>
                <w:color w:val="auto"/>
                <w:kern w:val="0"/>
                <w:sz w:val="21"/>
                <w:szCs w:val="21"/>
                <w:highlight w:val="none"/>
                <w:u w:val="none" w:color="auto"/>
              </w:rPr>
              <w:t>不涉及自然保护区核心区、缓冲区</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自然保护区域</w:t>
            </w:r>
            <w:r>
              <w:rPr>
                <w:rFonts w:hint="default" w:ascii="Times New Roman" w:hAnsi="Times New Roman" w:eastAsia="宋体" w:cs="Times New Roman"/>
                <w:color w:val="auto"/>
                <w:kern w:val="0"/>
                <w:sz w:val="21"/>
                <w:szCs w:val="21"/>
                <w:highlight w:val="none"/>
                <w:u w:val="none" w:color="auto"/>
                <w:lang w:val="en-US" w:eastAsia="zh-CN"/>
              </w:rPr>
              <w:t>、</w:t>
            </w:r>
            <w:r>
              <w:rPr>
                <w:rFonts w:hint="default" w:ascii="Times New Roman" w:hAnsi="Times New Roman" w:eastAsia="宋体" w:cs="Times New Roman"/>
                <w:color w:val="auto"/>
                <w:kern w:val="0"/>
                <w:sz w:val="21"/>
                <w:szCs w:val="21"/>
                <w:highlight w:val="none"/>
                <w:u w:val="none" w:color="auto"/>
              </w:rPr>
              <w:t>野生动物迁徙洄游通道</w:t>
            </w:r>
            <w:r>
              <w:rPr>
                <w:rFonts w:hint="default" w:ascii="Times New Roman" w:hAnsi="Times New Roman" w:eastAsia="宋体" w:cs="Times New Roman"/>
                <w:color w:val="auto"/>
                <w:kern w:val="0"/>
                <w:sz w:val="21"/>
                <w:szCs w:val="21"/>
                <w:highlight w:val="none"/>
                <w:u w:val="none" w:color="auto"/>
                <w:lang w:val="en-US" w:eastAsia="zh-CN"/>
              </w:rPr>
              <w:t>和</w:t>
            </w:r>
            <w:r>
              <w:rPr>
                <w:rFonts w:hint="default" w:ascii="Times New Roman" w:hAnsi="Times New Roman" w:eastAsia="宋体" w:cs="Times New Roman"/>
                <w:color w:val="auto"/>
                <w:kern w:val="0"/>
                <w:sz w:val="21"/>
                <w:szCs w:val="21"/>
                <w:highlight w:val="none"/>
                <w:u w:val="none" w:color="auto"/>
              </w:rPr>
              <w:t>风景名胜区</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项目</w:t>
            </w:r>
            <w:r>
              <w:rPr>
                <w:rFonts w:hint="default" w:ascii="Times New Roman" w:hAnsi="Times New Roman" w:eastAsia="宋体" w:cs="Times New Roman"/>
                <w:color w:val="auto"/>
                <w:kern w:val="0"/>
                <w:sz w:val="21"/>
                <w:szCs w:val="21"/>
                <w:highlight w:val="none"/>
                <w:u w:val="none" w:color="auto"/>
                <w:lang w:val="en-US" w:eastAsia="zh-CN"/>
              </w:rPr>
              <w:t>不属于</w:t>
            </w:r>
            <w:r>
              <w:rPr>
                <w:rFonts w:hint="default" w:ascii="Times New Roman" w:hAnsi="Times New Roman" w:eastAsia="宋体" w:cs="Times New Roman"/>
                <w:color w:val="auto"/>
                <w:kern w:val="0"/>
                <w:sz w:val="21"/>
                <w:szCs w:val="21"/>
                <w:highlight w:val="none"/>
                <w:u w:val="none" w:color="auto"/>
              </w:rPr>
              <w:t>机场、铁路、公路、水利、围堰</w:t>
            </w:r>
            <w:r>
              <w:rPr>
                <w:rFonts w:hint="default" w:ascii="Times New Roman" w:hAnsi="Times New Roman" w:eastAsia="宋体" w:cs="Times New Roman"/>
                <w:color w:val="auto"/>
                <w:kern w:val="0"/>
                <w:sz w:val="21"/>
                <w:szCs w:val="21"/>
                <w:highlight w:val="none"/>
                <w:u w:val="none" w:color="auto"/>
                <w:lang w:val="en-US" w:eastAsia="zh-CN"/>
              </w:rPr>
              <w:t>项目，不涉及</w:t>
            </w:r>
            <w:r>
              <w:rPr>
                <w:rFonts w:hint="default" w:ascii="Times New Roman" w:hAnsi="Times New Roman" w:eastAsia="宋体" w:cs="Times New Roman"/>
                <w:color w:val="auto"/>
                <w:kern w:val="0"/>
                <w:sz w:val="21"/>
                <w:szCs w:val="21"/>
                <w:highlight w:val="none"/>
                <w:u w:val="none" w:color="auto"/>
              </w:rPr>
              <w:t>风景名胜区</w:t>
            </w:r>
          </w:p>
        </w:tc>
        <w:tc>
          <w:tcPr>
            <w:tcW w:w="457" w:type="pct"/>
            <w:tcBorders>
              <w:tl2br w:val="nil"/>
              <w:tr2bl w:val="nil"/>
            </w:tcBorders>
            <w:noWrap w:val="0"/>
            <w:vAlign w:val="center"/>
          </w:tcPr>
          <w:p w14:paraId="2BA4FE06">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748AE8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2C9978A3">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0F5314B0">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机场、铁路、公路、水利、围堰等公益性基础设施的选址选线应多方案优化比选，尽量避让相关自然保护区域、野生动物迁徙洄游通道；无法避让的，应当采取修建野生动物通道、过鱼设施等措施，消除或者减少对野生动物的不利影响。</w:t>
            </w:r>
          </w:p>
        </w:tc>
        <w:tc>
          <w:tcPr>
            <w:tcW w:w="1372" w:type="pct"/>
            <w:vMerge w:val="continue"/>
            <w:tcBorders>
              <w:tl2br w:val="nil"/>
              <w:tr2bl w:val="nil"/>
            </w:tcBorders>
            <w:noWrap w:val="0"/>
            <w:vAlign w:val="center"/>
          </w:tcPr>
          <w:p w14:paraId="649DC488">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eastAsia="zh-CN"/>
              </w:rPr>
            </w:pPr>
          </w:p>
        </w:tc>
        <w:tc>
          <w:tcPr>
            <w:tcW w:w="457" w:type="pct"/>
            <w:tcBorders>
              <w:tl2br w:val="nil"/>
              <w:tr2bl w:val="nil"/>
            </w:tcBorders>
            <w:noWrap w:val="0"/>
            <w:vAlign w:val="center"/>
          </w:tcPr>
          <w:p w14:paraId="231EC111">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4F2B4F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1A87955C">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373E4364">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372" w:type="pct"/>
            <w:vMerge w:val="continue"/>
            <w:tcBorders>
              <w:tl2br w:val="nil"/>
              <w:tr2bl w:val="nil"/>
            </w:tcBorders>
            <w:noWrap w:val="0"/>
            <w:vAlign w:val="center"/>
          </w:tcPr>
          <w:p w14:paraId="22F3EB0E">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eastAsia="zh-CN"/>
              </w:rPr>
            </w:pPr>
          </w:p>
        </w:tc>
        <w:tc>
          <w:tcPr>
            <w:tcW w:w="457" w:type="pct"/>
            <w:tcBorders>
              <w:tl2br w:val="nil"/>
              <w:tr2bl w:val="nil"/>
            </w:tcBorders>
            <w:noWrap w:val="0"/>
            <w:vAlign w:val="center"/>
          </w:tcPr>
          <w:p w14:paraId="5ACA43E4">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7BB0C5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0E1AB37A">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0FCE8C7B">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它废弃物；禁止设置油库；禁止使用含磷洗涤用品。</w:t>
            </w:r>
          </w:p>
        </w:tc>
        <w:tc>
          <w:tcPr>
            <w:tcW w:w="1372" w:type="pct"/>
            <w:vMerge w:val="restart"/>
            <w:tcBorders>
              <w:tl2br w:val="nil"/>
              <w:tr2bl w:val="nil"/>
            </w:tcBorders>
            <w:noWrap w:val="0"/>
            <w:vAlign w:val="center"/>
          </w:tcPr>
          <w:p w14:paraId="7BA5C5DC">
            <w:pPr>
              <w:pageBreakBefore w:val="0"/>
              <w:widowControl w:val="0"/>
              <w:shd w:val="clear" w:color="auto" w:fill="auto"/>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val="en-US" w:eastAsia="zh-CN"/>
              </w:rPr>
              <w:t>本项目不涉及饮用水水源保护区</w:t>
            </w:r>
          </w:p>
        </w:tc>
        <w:tc>
          <w:tcPr>
            <w:tcW w:w="457" w:type="pct"/>
            <w:vMerge w:val="restart"/>
            <w:tcBorders>
              <w:tl2br w:val="nil"/>
              <w:tr2bl w:val="nil"/>
            </w:tcBorders>
            <w:noWrap w:val="0"/>
            <w:vAlign w:val="center"/>
          </w:tcPr>
          <w:p w14:paraId="270502F6">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61219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65B9B767">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2019F146">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饮用水水源二级保护区内禁止新建、改建、扩建向水体排放污染物的投资建设项目。原有排污口依法拆除或关闭。禁止设立装卸垃圾、粪便、油类和有毒物品的码头。</w:t>
            </w:r>
          </w:p>
        </w:tc>
        <w:tc>
          <w:tcPr>
            <w:tcW w:w="1372" w:type="pct"/>
            <w:vMerge w:val="continue"/>
            <w:tcBorders>
              <w:tl2br w:val="nil"/>
              <w:tr2bl w:val="nil"/>
            </w:tcBorders>
            <w:noWrap w:val="0"/>
            <w:vAlign w:val="center"/>
          </w:tcPr>
          <w:p w14:paraId="1DC4E47B">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eastAsia="zh-CN"/>
              </w:rPr>
            </w:pPr>
          </w:p>
        </w:tc>
        <w:tc>
          <w:tcPr>
            <w:tcW w:w="457" w:type="pct"/>
            <w:vMerge w:val="continue"/>
            <w:tcBorders>
              <w:tl2br w:val="nil"/>
              <w:tr2bl w:val="nil"/>
            </w:tcBorders>
            <w:noWrap w:val="0"/>
            <w:vAlign w:val="center"/>
          </w:tcPr>
          <w:p w14:paraId="04F82D51">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r>
      <w:tr w14:paraId="3F2954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420" w:type="pct"/>
            <w:vMerge w:val="continue"/>
            <w:tcBorders>
              <w:tl2br w:val="nil"/>
              <w:tr2bl w:val="nil"/>
            </w:tcBorders>
            <w:noWrap w:val="0"/>
            <w:vAlign w:val="center"/>
          </w:tcPr>
          <w:p w14:paraId="1547FFF9">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4FDFF2BD">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color w:val="auto"/>
                <w:kern w:val="0"/>
                <w:sz w:val="21"/>
                <w:szCs w:val="21"/>
                <w:highlight w:val="none"/>
                <w:u w:val="none" w:color="auto"/>
              </w:rPr>
              <w:t>禁止在水产种质资源保护区的</w:t>
            </w:r>
            <w:r>
              <w:rPr>
                <w:rFonts w:hint="eastAsia" w:ascii="Times New Roman" w:hAnsi="Times New Roman" w:eastAsia="宋体" w:cs="Times New Roman"/>
                <w:color w:val="auto"/>
                <w:kern w:val="0"/>
                <w:sz w:val="21"/>
                <w:szCs w:val="21"/>
                <w:highlight w:val="none"/>
                <w:u w:val="none" w:color="auto"/>
                <w:lang w:eastAsia="zh-CN"/>
              </w:rPr>
              <w:t>岸线</w:t>
            </w:r>
            <w:r>
              <w:rPr>
                <w:rFonts w:hint="default" w:ascii="Times New Roman" w:hAnsi="Times New Roman" w:eastAsia="宋体" w:cs="Times New Roman"/>
                <w:color w:val="auto"/>
                <w:kern w:val="0"/>
                <w:sz w:val="21"/>
                <w:szCs w:val="21"/>
                <w:highlight w:val="none"/>
                <w:u w:val="none" w:color="auto"/>
              </w:rPr>
              <w:t>河段范围内新建排污口、实施非法围垦河道和围湖造田造地等投资建设项目。</w:t>
            </w:r>
            <w:r>
              <w:rPr>
                <w:rFonts w:hint="default" w:ascii="Times New Roman" w:hAnsi="Times New Roman" w:eastAsia="宋体" w:cs="Times New Roman"/>
                <w:bCs/>
                <w:color w:val="auto"/>
                <w:kern w:val="2"/>
                <w:sz w:val="21"/>
                <w:szCs w:val="21"/>
                <w:highlight w:val="none"/>
                <w:u w:val="none" w:color="auto"/>
                <w:lang w:eastAsia="zh-CN"/>
              </w:rPr>
              <w:t>除《中华人民共和国防洪法》规定的紧急防汛期采取的紧急措施外，禁止在国家湿地公园的岸线和河段范围内挖沙、采矿，以及以下不符合主体功能定位的行为和活动：</w:t>
            </w:r>
          </w:p>
          <w:p w14:paraId="2FFCDBDC">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（一）开</w:t>
            </w:r>
            <w:r>
              <w:rPr>
                <w:rFonts w:hint="eastAsia" w:cs="Times New Roman"/>
                <w:bCs/>
                <w:color w:val="auto"/>
                <w:kern w:val="2"/>
                <w:sz w:val="21"/>
                <w:szCs w:val="21"/>
                <w:highlight w:val="none"/>
                <w:u w:val="none" w:color="auto"/>
                <w:lang w:eastAsia="zh-CN"/>
              </w:rPr>
              <w:t>（</w:t>
            </w:r>
            <w:r>
              <w:rPr>
                <w:rFonts w:hint="default" w:ascii="Times New Roman" w:hAnsi="Times New Roman" w:eastAsia="宋体" w:cs="Times New Roman"/>
                <w:bCs/>
                <w:color w:val="auto"/>
                <w:kern w:val="2"/>
                <w:sz w:val="21"/>
                <w:szCs w:val="21"/>
                <w:highlight w:val="none"/>
                <w:u w:val="none" w:color="auto"/>
                <w:lang w:eastAsia="zh-CN"/>
              </w:rPr>
              <w:t>围</w:t>
            </w:r>
            <w:r>
              <w:rPr>
                <w:rFonts w:hint="eastAsia" w:cs="Times New Roman"/>
                <w:bCs/>
                <w:color w:val="auto"/>
                <w:kern w:val="2"/>
                <w:sz w:val="21"/>
                <w:szCs w:val="21"/>
                <w:highlight w:val="none"/>
                <w:u w:val="none" w:color="auto"/>
                <w:lang w:eastAsia="zh-CN"/>
              </w:rPr>
              <w:t>）</w:t>
            </w:r>
            <w:r>
              <w:rPr>
                <w:rFonts w:hint="default" w:ascii="Times New Roman" w:hAnsi="Times New Roman" w:eastAsia="宋体" w:cs="Times New Roman"/>
                <w:bCs/>
                <w:color w:val="auto"/>
                <w:kern w:val="2"/>
                <w:sz w:val="21"/>
                <w:szCs w:val="21"/>
                <w:highlight w:val="none"/>
                <w:u w:val="none" w:color="auto"/>
                <w:lang w:eastAsia="zh-CN"/>
              </w:rPr>
              <w:t>垦、填埋或者排干湿地。</w:t>
            </w:r>
          </w:p>
          <w:p w14:paraId="70474D18">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(二)截断湿地水源。</w:t>
            </w:r>
          </w:p>
          <w:p w14:paraId="15DC3499">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(三)倾倒有毒有害物质、废弃物、垃圾。</w:t>
            </w:r>
          </w:p>
          <w:p w14:paraId="5F14FD30">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(四)从事房地产、度假村、高尔夫球场、风力发电、光伏发电等任何不符合主体功能定位的建设项目和开发活动。</w:t>
            </w:r>
          </w:p>
          <w:p w14:paraId="4F46081F">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(五)破坏野生动物栖息地和迁徙通道、鱼类洄游通道，滥采滥捕野生动植物。</w:t>
            </w:r>
          </w:p>
          <w:p w14:paraId="30391C7C">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(六)引入外来物种。</w:t>
            </w:r>
          </w:p>
          <w:p w14:paraId="42CF37F8">
            <w:pPr>
              <w:widowControl/>
              <w:spacing w:line="240" w:lineRule="auto"/>
              <w:ind w:firstLine="0" w:firstLineChars="0"/>
              <w:jc w:val="left"/>
              <w:rPr>
                <w:rFonts w:hint="default" w:ascii="Times New Roman" w:hAnsi="Times New Roman" w:eastAsia="宋体" w:cs="Times New Roman"/>
                <w:bCs/>
                <w:color w:val="auto"/>
                <w:kern w:val="2"/>
                <w:sz w:val="21"/>
                <w:szCs w:val="21"/>
                <w:highlight w:val="none"/>
                <w:u w:val="none" w:color="auto"/>
                <w:lang w:eastAsia="zh-CN"/>
              </w:rPr>
            </w:pPr>
            <w:r>
              <w:rPr>
                <w:rFonts w:hint="default" w:ascii="Times New Roman" w:hAnsi="Times New Roman" w:eastAsia="宋体" w:cs="Times New Roman"/>
                <w:bCs/>
                <w:color w:val="auto"/>
                <w:kern w:val="2"/>
                <w:sz w:val="21"/>
                <w:szCs w:val="21"/>
                <w:highlight w:val="none"/>
                <w:u w:val="none" w:color="auto"/>
                <w:lang w:eastAsia="zh-CN"/>
              </w:rPr>
              <w:t>(七)擅自放牧、捕捞、取土、取水、排污、放生。</w:t>
            </w:r>
          </w:p>
          <w:p w14:paraId="2D27462A">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bCs/>
                <w:color w:val="auto"/>
                <w:kern w:val="2"/>
                <w:sz w:val="21"/>
                <w:szCs w:val="21"/>
                <w:highlight w:val="none"/>
                <w:u w:val="none" w:color="auto"/>
                <w:lang w:eastAsia="zh-CN"/>
              </w:rPr>
              <w:t>(八)其他破坏湿地及其生态功能的活动。</w:t>
            </w:r>
          </w:p>
        </w:tc>
        <w:tc>
          <w:tcPr>
            <w:tcW w:w="1372" w:type="pct"/>
            <w:vMerge w:val="continue"/>
            <w:tcBorders>
              <w:tl2br w:val="nil"/>
              <w:tr2bl w:val="nil"/>
            </w:tcBorders>
            <w:noWrap w:val="0"/>
            <w:vAlign w:val="center"/>
          </w:tcPr>
          <w:p w14:paraId="6F52A219">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457" w:type="pct"/>
            <w:tcBorders>
              <w:tl2br w:val="nil"/>
              <w:tr2bl w:val="nil"/>
            </w:tcBorders>
            <w:noWrap w:val="0"/>
            <w:vAlign w:val="center"/>
          </w:tcPr>
          <w:p w14:paraId="1F24322C">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5C7C5E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6485C963">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5C9E3DA9">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禁止违法利用</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14:paraId="37AE452A">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eastAsia="zh-CN"/>
              </w:rPr>
              <w:t>禁止</w:t>
            </w:r>
            <w:r>
              <w:rPr>
                <w:rFonts w:hint="default" w:ascii="Times New Roman" w:hAnsi="Times New Roman" w:eastAsia="宋体" w:cs="Times New Roman"/>
                <w:color w:val="auto"/>
                <w:kern w:val="0"/>
                <w:sz w:val="21"/>
                <w:szCs w:val="21"/>
                <w:highlight w:val="none"/>
                <w:u w:val="none" w:color="auto"/>
              </w:rPr>
              <w:t>填湖造地、围湖造田及非法围垦河道，禁止非法建设矮围网围</w:t>
            </w:r>
            <w:r>
              <w:rPr>
                <w:rFonts w:hint="eastAsia" w:ascii="Times New Roman" w:hAnsi="Times New Roman" w:eastAsia="宋体" w:cs="Times New Roman"/>
                <w:color w:val="auto"/>
                <w:kern w:val="0"/>
                <w:sz w:val="21"/>
                <w:szCs w:val="21"/>
                <w:highlight w:val="none"/>
                <w:u w:val="none" w:color="auto"/>
                <w:lang w:eastAsia="zh-CN"/>
              </w:rPr>
              <w:t>填</w:t>
            </w:r>
            <w:r>
              <w:rPr>
                <w:rFonts w:hint="default" w:ascii="Times New Roman" w:hAnsi="Times New Roman" w:eastAsia="宋体" w:cs="Times New Roman"/>
                <w:color w:val="auto"/>
                <w:kern w:val="0"/>
                <w:sz w:val="21"/>
                <w:szCs w:val="21"/>
                <w:highlight w:val="none"/>
                <w:u w:val="none" w:color="auto"/>
              </w:rPr>
              <w:t>湿地等侵占河湖水域或者违法利用、占用河湖岸线的行为</w:t>
            </w:r>
            <w:r>
              <w:rPr>
                <w:rFonts w:hint="default" w:ascii="Times New Roman" w:hAnsi="Times New Roman" w:eastAsia="宋体" w:cs="Times New Roman"/>
                <w:color w:val="auto"/>
                <w:kern w:val="0"/>
                <w:sz w:val="21"/>
                <w:szCs w:val="21"/>
                <w:highlight w:val="none"/>
                <w:u w:val="none" w:color="auto"/>
                <w:lang w:eastAsia="zh-CN"/>
              </w:rPr>
              <w:t>。</w:t>
            </w:r>
          </w:p>
        </w:tc>
        <w:tc>
          <w:tcPr>
            <w:tcW w:w="1372" w:type="pct"/>
            <w:tcBorders>
              <w:tl2br w:val="nil"/>
              <w:tr2bl w:val="nil"/>
            </w:tcBorders>
            <w:noWrap w:val="0"/>
            <w:vAlign w:val="center"/>
          </w:tcPr>
          <w:p w14:paraId="40874D13">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eastAsia" w:cs="Times New Roman"/>
                <w:color w:val="auto"/>
                <w:kern w:val="0"/>
                <w:sz w:val="21"/>
                <w:szCs w:val="21"/>
                <w:highlight w:val="none"/>
                <w:u w:val="none" w:color="auto"/>
                <w:lang w:eastAsia="zh-CN"/>
              </w:rPr>
              <w:t>本项目</w:t>
            </w:r>
            <w:r>
              <w:rPr>
                <w:rFonts w:hint="default" w:ascii="Times New Roman" w:hAnsi="Times New Roman" w:eastAsia="宋体" w:cs="Times New Roman"/>
                <w:color w:val="auto"/>
                <w:kern w:val="0"/>
                <w:sz w:val="21"/>
                <w:szCs w:val="21"/>
                <w:highlight w:val="none"/>
                <w:u w:val="none" w:color="auto"/>
                <w:lang w:val="en-US" w:eastAsia="zh-CN"/>
              </w:rPr>
              <w:t>未占用</w:t>
            </w:r>
            <w:r>
              <w:rPr>
                <w:rFonts w:hint="default" w:ascii="Times New Roman" w:hAnsi="Times New Roman" w:eastAsia="宋体" w:cs="Times New Roman"/>
                <w:color w:val="auto"/>
                <w:kern w:val="0"/>
                <w:sz w:val="21"/>
                <w:szCs w:val="21"/>
                <w:highlight w:val="none"/>
                <w:u w:val="none" w:color="auto"/>
              </w:rPr>
              <w:t>长江流域河湖岸线</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lang w:val="en-US" w:eastAsia="zh-CN"/>
              </w:rPr>
              <w:t>不涉及</w:t>
            </w:r>
            <w:r>
              <w:rPr>
                <w:rFonts w:hint="default" w:ascii="Times New Roman" w:hAnsi="Times New Roman" w:eastAsia="宋体" w:cs="Times New Roman"/>
                <w:color w:val="auto"/>
                <w:kern w:val="0"/>
                <w:sz w:val="21"/>
                <w:szCs w:val="21"/>
                <w:highlight w:val="none"/>
                <w:u w:val="none" w:color="auto"/>
              </w:rPr>
              <w:t>填湖造地、围湖造田</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非法围垦河道</w:t>
            </w:r>
            <w:r>
              <w:rPr>
                <w:rFonts w:hint="default" w:ascii="Times New Roman" w:hAnsi="Times New Roman" w:eastAsia="宋体"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侵占河湖水域</w:t>
            </w:r>
            <w:r>
              <w:rPr>
                <w:rFonts w:hint="default" w:ascii="Times New Roman" w:hAnsi="Times New Roman" w:eastAsia="宋体" w:cs="Times New Roman"/>
                <w:color w:val="auto"/>
                <w:kern w:val="0"/>
                <w:sz w:val="21"/>
                <w:szCs w:val="21"/>
                <w:highlight w:val="none"/>
                <w:u w:val="none" w:color="auto"/>
                <w:lang w:val="en-US" w:eastAsia="zh-CN"/>
              </w:rPr>
              <w:t>和</w:t>
            </w:r>
            <w:r>
              <w:rPr>
                <w:rFonts w:hint="default" w:ascii="Times New Roman" w:hAnsi="Times New Roman" w:eastAsia="宋体" w:cs="Times New Roman"/>
                <w:color w:val="auto"/>
                <w:kern w:val="0"/>
                <w:sz w:val="21"/>
                <w:szCs w:val="21"/>
                <w:highlight w:val="none"/>
                <w:u w:val="none" w:color="auto"/>
              </w:rPr>
              <w:t>违法利用、占用河湖岸线</w:t>
            </w:r>
          </w:p>
        </w:tc>
        <w:tc>
          <w:tcPr>
            <w:tcW w:w="457" w:type="pct"/>
            <w:tcBorders>
              <w:tl2br w:val="nil"/>
              <w:tr2bl w:val="nil"/>
            </w:tcBorders>
            <w:noWrap w:val="0"/>
            <w:vAlign w:val="center"/>
          </w:tcPr>
          <w:p w14:paraId="6A4C4815">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4C845A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26804DAE">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p>
        </w:tc>
        <w:tc>
          <w:tcPr>
            <w:tcW w:w="2750" w:type="pct"/>
            <w:tcBorders>
              <w:tl2br w:val="nil"/>
              <w:tr2bl w:val="nil"/>
            </w:tcBorders>
            <w:noWrap w:val="0"/>
            <w:vAlign w:val="center"/>
          </w:tcPr>
          <w:p w14:paraId="557F739C">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rPr>
              <w:t>禁</w:t>
            </w:r>
            <w:r>
              <w:rPr>
                <w:rFonts w:hint="eastAsia" w:ascii="Times New Roman" w:hAnsi="Times New Roman" w:eastAsia="宋体" w:cs="Times New Roman"/>
                <w:color w:val="auto"/>
                <w:kern w:val="0"/>
                <w:sz w:val="21"/>
                <w:szCs w:val="21"/>
                <w:highlight w:val="none"/>
                <w:u w:val="none" w:color="auto"/>
                <w:lang w:val="en-US" w:eastAsia="zh-CN"/>
              </w:rPr>
              <w:t>止</w:t>
            </w:r>
            <w:r>
              <w:rPr>
                <w:rFonts w:hint="default" w:ascii="Times New Roman" w:hAnsi="Times New Roman" w:eastAsia="宋体" w:cs="Times New Roman"/>
                <w:color w:val="auto"/>
                <w:kern w:val="0"/>
                <w:sz w:val="21"/>
                <w:szCs w:val="21"/>
                <w:highlight w:val="none"/>
                <w:u w:val="none" w:color="auto"/>
              </w:rPr>
              <w:t>在《全国重要江河湖泊水功能区划》划定的河段及湖泊保护区保留区内投资建设不利于水资源及自然生态保护的项目。</w:t>
            </w:r>
          </w:p>
        </w:tc>
        <w:tc>
          <w:tcPr>
            <w:tcW w:w="1372" w:type="pct"/>
            <w:tcBorders>
              <w:tl2br w:val="nil"/>
              <w:tr2bl w:val="nil"/>
            </w:tcBorders>
            <w:noWrap w:val="0"/>
            <w:vAlign w:val="center"/>
          </w:tcPr>
          <w:p w14:paraId="7AED5D24">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lang w:val="en-US" w:eastAsia="zh-CN"/>
              </w:rPr>
              <w:t>项目不涉及</w:t>
            </w:r>
            <w:r>
              <w:rPr>
                <w:rFonts w:hint="default" w:ascii="Times New Roman" w:hAnsi="Times New Roman" w:eastAsia="宋体" w:cs="Times New Roman"/>
                <w:color w:val="auto"/>
                <w:kern w:val="0"/>
                <w:sz w:val="21"/>
                <w:szCs w:val="21"/>
                <w:highlight w:val="none"/>
                <w:u w:val="none" w:color="auto"/>
              </w:rPr>
              <w:t>《全国重要江河湖泊水功能区划》划定的河段及湖泊保护区保留区</w:t>
            </w:r>
          </w:p>
        </w:tc>
        <w:tc>
          <w:tcPr>
            <w:tcW w:w="457" w:type="pct"/>
            <w:tcBorders>
              <w:tl2br w:val="nil"/>
              <w:tr2bl w:val="nil"/>
            </w:tcBorders>
            <w:noWrap w:val="0"/>
            <w:vAlign w:val="center"/>
          </w:tcPr>
          <w:p w14:paraId="1F3D4B1D">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609915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420" w:type="pct"/>
            <w:vMerge w:val="restart"/>
            <w:tcBorders>
              <w:tl2br w:val="nil"/>
              <w:tr2bl w:val="nil"/>
            </w:tcBorders>
            <w:noWrap w:val="0"/>
            <w:vAlign w:val="center"/>
          </w:tcPr>
          <w:p w14:paraId="2D2AAF24">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cs="Times New Roman"/>
                <w:color w:val="auto"/>
                <w:kern w:val="2"/>
                <w:sz w:val="21"/>
                <w:szCs w:val="21"/>
                <w:highlight w:val="none"/>
                <w:u w:val="none" w:color="auto"/>
                <w:lang w:eastAsia="zh-CN"/>
              </w:rPr>
              <w:t>区域活动</w:t>
            </w:r>
          </w:p>
        </w:tc>
        <w:tc>
          <w:tcPr>
            <w:tcW w:w="2750" w:type="pct"/>
            <w:tcBorders>
              <w:tl2br w:val="nil"/>
              <w:tr2bl w:val="nil"/>
            </w:tcBorders>
            <w:noWrap w:val="0"/>
            <w:vAlign w:val="center"/>
          </w:tcPr>
          <w:p w14:paraId="7E25A774">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禁止未经许可在长江干支流及湖泊新设、改设或扩大排污口。</w:t>
            </w:r>
          </w:p>
        </w:tc>
        <w:tc>
          <w:tcPr>
            <w:tcW w:w="1372" w:type="pct"/>
            <w:tcBorders>
              <w:tl2br w:val="nil"/>
              <w:tr2bl w:val="nil"/>
            </w:tcBorders>
            <w:noWrap w:val="0"/>
            <w:vAlign w:val="center"/>
          </w:tcPr>
          <w:p w14:paraId="1A1233FC">
            <w:pPr>
              <w:pageBreakBefore w:val="0"/>
              <w:widowControl w:val="0"/>
              <w:shd w:val="clear" w:color="auto" w:fill="auto"/>
              <w:topLinePunct w:val="0"/>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eastAsia" w:cs="Times New Roman"/>
                <w:color w:val="auto"/>
                <w:kern w:val="0"/>
                <w:sz w:val="21"/>
                <w:szCs w:val="21"/>
                <w:highlight w:val="none"/>
                <w:u w:val="none" w:color="auto"/>
                <w:lang w:val="en-US" w:eastAsia="zh-CN"/>
              </w:rPr>
              <w:t>本项目产生的</w:t>
            </w:r>
            <w:r>
              <w:rPr>
                <w:rFonts w:hint="eastAsia" w:cs="Times New Roman"/>
                <w:sz w:val="21"/>
                <w:szCs w:val="21"/>
                <w:highlight w:val="none"/>
                <w:lang w:val="en-US" w:eastAsia="zh-CN"/>
              </w:rPr>
              <w:t>废水均外委处置，</w:t>
            </w:r>
            <w:r>
              <w:rPr>
                <w:rFonts w:hint="eastAsia" w:ascii="Times New Roman" w:hAnsi="Times New Roman" w:eastAsia="宋体" w:cs="Times New Roman"/>
                <w:sz w:val="21"/>
                <w:szCs w:val="21"/>
                <w:highlight w:val="none"/>
                <w:lang w:val="en-US" w:eastAsia="zh-CN"/>
              </w:rPr>
              <w:t>不新设、改设或扩大排污口</w:t>
            </w:r>
          </w:p>
        </w:tc>
        <w:tc>
          <w:tcPr>
            <w:tcW w:w="457" w:type="pct"/>
            <w:tcBorders>
              <w:tl2br w:val="nil"/>
              <w:tr2bl w:val="nil"/>
            </w:tcBorders>
            <w:noWrap w:val="0"/>
            <w:vAlign w:val="center"/>
          </w:tcPr>
          <w:p w14:paraId="78FCE67C">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12C4A5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20" w:type="pct"/>
            <w:vMerge w:val="continue"/>
            <w:tcBorders>
              <w:tl2br w:val="nil"/>
              <w:tr2bl w:val="nil"/>
            </w:tcBorders>
            <w:noWrap w:val="0"/>
            <w:vAlign w:val="center"/>
          </w:tcPr>
          <w:p w14:paraId="2E2B579A">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p>
        </w:tc>
        <w:tc>
          <w:tcPr>
            <w:tcW w:w="2750" w:type="pct"/>
            <w:tcBorders>
              <w:tl2br w:val="nil"/>
              <w:tr2bl w:val="nil"/>
            </w:tcBorders>
            <w:noWrap w:val="0"/>
            <w:vAlign w:val="center"/>
          </w:tcPr>
          <w:p w14:paraId="6928550D">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禁止在洞庭湖、湘江、资江、</w:t>
            </w:r>
            <w:r>
              <w:rPr>
                <w:rFonts w:hint="eastAsia" w:ascii="Times New Roman" w:hAnsi="Times New Roman" w:eastAsia="宋体" w:cs="Times New Roman"/>
                <w:color w:val="auto"/>
                <w:kern w:val="0"/>
                <w:sz w:val="21"/>
                <w:szCs w:val="21"/>
                <w:highlight w:val="none"/>
                <w:u w:val="none" w:color="auto"/>
                <w:lang w:val="en-US" w:eastAsia="zh-CN"/>
              </w:rPr>
              <w:t>沅</w:t>
            </w:r>
            <w:r>
              <w:rPr>
                <w:rFonts w:hint="default" w:ascii="Times New Roman" w:hAnsi="Times New Roman" w:eastAsia="宋体" w:cs="Times New Roman"/>
                <w:color w:val="auto"/>
                <w:kern w:val="0"/>
                <w:sz w:val="21"/>
                <w:szCs w:val="21"/>
                <w:highlight w:val="none"/>
                <w:u w:val="none" w:color="auto"/>
              </w:rPr>
              <w:t>江，澧水</w:t>
            </w:r>
            <w:r>
              <w:rPr>
                <w:rFonts w:hint="eastAsia" w:ascii="Times New Roman" w:hAnsi="Times New Roman" w:eastAsia="宋体" w:cs="Times New Roman"/>
                <w:color w:val="auto"/>
                <w:kern w:val="0"/>
                <w:sz w:val="21"/>
                <w:szCs w:val="21"/>
                <w:highlight w:val="none"/>
                <w:u w:val="none" w:color="auto"/>
                <w:lang w:eastAsia="zh-CN"/>
              </w:rPr>
              <w:t>干流</w:t>
            </w:r>
            <w:r>
              <w:rPr>
                <w:rFonts w:hint="default" w:ascii="Times New Roman" w:hAnsi="Times New Roman" w:eastAsia="宋体" w:cs="Times New Roman"/>
                <w:color w:val="auto"/>
                <w:kern w:val="0"/>
                <w:sz w:val="21"/>
                <w:szCs w:val="21"/>
                <w:highlight w:val="none"/>
                <w:u w:val="none" w:color="auto"/>
              </w:rPr>
              <w:t>和45个水生生物保护区开展生产性捕捞。在相关自然保护区域和禁猎（渔）区、禁猎（渔）期内，禁止猎捕以及其他妨碍野生动物生息繁衍的活动，但法律法规另有规定的除外。</w:t>
            </w:r>
          </w:p>
        </w:tc>
        <w:tc>
          <w:tcPr>
            <w:tcW w:w="1372" w:type="pct"/>
            <w:tcBorders>
              <w:tl2br w:val="nil"/>
              <w:tr2bl w:val="nil"/>
            </w:tcBorders>
            <w:noWrap w:val="0"/>
            <w:vAlign w:val="center"/>
          </w:tcPr>
          <w:p w14:paraId="31B795A1">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eastAsia" w:cs="Times New Roman"/>
                <w:color w:val="auto"/>
                <w:kern w:val="2"/>
                <w:sz w:val="21"/>
                <w:szCs w:val="21"/>
                <w:highlight w:val="none"/>
                <w:u w:val="none" w:color="auto"/>
                <w:lang w:val="en-US" w:eastAsia="zh-CN"/>
              </w:rPr>
              <w:t>本</w:t>
            </w:r>
            <w:r>
              <w:rPr>
                <w:rFonts w:hint="default" w:ascii="Times New Roman" w:hAnsi="Times New Roman" w:cs="Times New Roman"/>
                <w:color w:val="auto"/>
                <w:kern w:val="2"/>
                <w:sz w:val="21"/>
                <w:szCs w:val="21"/>
                <w:highlight w:val="none"/>
                <w:u w:val="none" w:color="auto"/>
                <w:lang w:eastAsia="zh-CN"/>
              </w:rPr>
              <w:t>项目不涉及生产性捕捞</w:t>
            </w:r>
          </w:p>
        </w:tc>
        <w:tc>
          <w:tcPr>
            <w:tcW w:w="457" w:type="pct"/>
            <w:tcBorders>
              <w:tl2br w:val="nil"/>
              <w:tr2bl w:val="nil"/>
            </w:tcBorders>
            <w:noWrap w:val="0"/>
            <w:vAlign w:val="center"/>
          </w:tcPr>
          <w:p w14:paraId="3CB55FC8">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16C56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0" w:type="pct"/>
            <w:vMerge w:val="continue"/>
            <w:tcBorders>
              <w:tl2br w:val="nil"/>
              <w:tr2bl w:val="nil"/>
            </w:tcBorders>
            <w:noWrap w:val="0"/>
            <w:vAlign w:val="center"/>
          </w:tcPr>
          <w:p w14:paraId="241196EE">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p>
        </w:tc>
        <w:tc>
          <w:tcPr>
            <w:tcW w:w="2750" w:type="pct"/>
            <w:tcBorders>
              <w:tl2br w:val="nil"/>
              <w:tr2bl w:val="nil"/>
            </w:tcBorders>
            <w:noWrap w:val="0"/>
            <w:vAlign w:val="center"/>
          </w:tcPr>
          <w:p w14:paraId="6758C09B">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禁止在长江湖南段和洞庭湖、湘江、资江、沅江、澧水</w:t>
            </w:r>
            <w:r>
              <w:rPr>
                <w:rFonts w:hint="eastAsia" w:ascii="Times New Roman" w:hAnsi="Times New Roman" w:eastAsia="宋体" w:cs="Times New Roman"/>
                <w:color w:val="auto"/>
                <w:kern w:val="0"/>
                <w:sz w:val="21"/>
                <w:szCs w:val="21"/>
                <w:highlight w:val="none"/>
                <w:u w:val="none" w:color="auto"/>
                <w:lang w:eastAsia="zh-CN"/>
              </w:rPr>
              <w:t>干流</w:t>
            </w:r>
            <w:r>
              <w:rPr>
                <w:rFonts w:hint="default" w:ascii="Times New Roman" w:hAnsi="Times New Roman" w:eastAsia="宋体" w:cs="Times New Roman"/>
                <w:color w:val="auto"/>
                <w:kern w:val="0"/>
                <w:sz w:val="21"/>
                <w:szCs w:val="21"/>
                <w:highlight w:val="none"/>
                <w:u w:val="none" w:color="auto"/>
              </w:rPr>
              <w:t>岸线一公里范围内新建、扩建化工园区和化工项目。禁止在长江湖南段岸线三公里范围内和湘江、资江、</w:t>
            </w:r>
            <w:r>
              <w:rPr>
                <w:rFonts w:hint="eastAsia" w:ascii="Times New Roman" w:hAnsi="Times New Roman" w:eastAsia="宋体" w:cs="Times New Roman"/>
                <w:color w:val="auto"/>
                <w:kern w:val="0"/>
                <w:sz w:val="21"/>
                <w:szCs w:val="21"/>
                <w:highlight w:val="none"/>
                <w:u w:val="none" w:color="auto"/>
                <w:lang w:val="en-US" w:eastAsia="zh-CN"/>
              </w:rPr>
              <w:t>沅江</w:t>
            </w:r>
            <w:r>
              <w:rPr>
                <w:rFonts w:hint="default" w:ascii="Times New Roman" w:hAnsi="Times New Roman" w:eastAsia="宋体" w:cs="Times New Roman"/>
                <w:color w:val="auto"/>
                <w:kern w:val="0"/>
                <w:sz w:val="21"/>
                <w:szCs w:val="21"/>
                <w:highlight w:val="none"/>
                <w:u w:val="none" w:color="auto"/>
              </w:rPr>
              <w:t>、</w:t>
            </w:r>
            <w:r>
              <w:rPr>
                <w:rFonts w:hint="eastAsia" w:ascii="Times New Roman" w:hAnsi="Times New Roman" w:eastAsia="宋体" w:cs="Times New Roman"/>
                <w:color w:val="auto"/>
                <w:kern w:val="0"/>
                <w:sz w:val="21"/>
                <w:szCs w:val="21"/>
                <w:highlight w:val="none"/>
                <w:u w:val="none" w:color="auto"/>
                <w:lang w:val="en-US" w:eastAsia="zh-CN"/>
              </w:rPr>
              <w:t>澧水</w:t>
            </w:r>
            <w:r>
              <w:rPr>
                <w:rFonts w:hint="default" w:ascii="Times New Roman" w:hAnsi="Times New Roman" w:eastAsia="宋体" w:cs="Times New Roman"/>
                <w:color w:val="auto"/>
                <w:kern w:val="0"/>
                <w:sz w:val="21"/>
                <w:szCs w:val="21"/>
                <w:highlight w:val="none"/>
                <w:u w:val="none" w:color="auto"/>
              </w:rPr>
              <w:t>岸线一公里范围内新建、改建、扩建尾矿库、</w:t>
            </w:r>
            <w:r>
              <w:rPr>
                <w:rFonts w:hint="eastAsia" w:ascii="Times New Roman" w:hAnsi="Times New Roman" w:eastAsia="宋体" w:cs="Times New Roman"/>
                <w:color w:val="auto"/>
                <w:kern w:val="0"/>
                <w:sz w:val="21"/>
                <w:szCs w:val="21"/>
                <w:highlight w:val="none"/>
                <w:u w:val="none" w:color="auto"/>
                <w:lang w:eastAsia="zh-CN"/>
              </w:rPr>
              <w:t>冶炼</w:t>
            </w:r>
            <w:r>
              <w:rPr>
                <w:rFonts w:hint="default" w:ascii="Times New Roman" w:hAnsi="Times New Roman" w:eastAsia="宋体" w:cs="Times New Roman"/>
                <w:color w:val="auto"/>
                <w:kern w:val="0"/>
                <w:sz w:val="21"/>
                <w:szCs w:val="21"/>
                <w:highlight w:val="none"/>
                <w:u w:val="none" w:color="auto"/>
              </w:rPr>
              <w:t>渣库和磷石膏库，以提升安全、生态环境保护水平为目的的改建除外。</w:t>
            </w:r>
          </w:p>
        </w:tc>
        <w:tc>
          <w:tcPr>
            <w:tcW w:w="1372" w:type="pct"/>
            <w:tcBorders>
              <w:tl2br w:val="nil"/>
              <w:tr2bl w:val="nil"/>
            </w:tcBorders>
            <w:noWrap w:val="0"/>
            <w:vAlign w:val="center"/>
          </w:tcPr>
          <w:p w14:paraId="4708F247">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eastAsia" w:cs="Times New Roman"/>
                <w:color w:val="auto"/>
                <w:kern w:val="0"/>
                <w:sz w:val="21"/>
                <w:szCs w:val="21"/>
                <w:highlight w:val="none"/>
                <w:u w:val="none" w:color="auto"/>
                <w:lang w:val="en-US" w:eastAsia="zh-CN"/>
              </w:rPr>
              <w:t>本</w:t>
            </w:r>
            <w:r>
              <w:rPr>
                <w:rFonts w:hint="default" w:ascii="Times New Roman" w:hAnsi="Times New Roman" w:eastAsia="宋体" w:cs="Times New Roman"/>
                <w:color w:val="auto"/>
                <w:kern w:val="0"/>
                <w:sz w:val="21"/>
                <w:szCs w:val="21"/>
                <w:highlight w:val="none"/>
                <w:u w:val="none" w:color="auto"/>
                <w:lang w:val="en-US" w:eastAsia="zh-CN"/>
              </w:rPr>
              <w:t>项目</w:t>
            </w:r>
            <w:r>
              <w:rPr>
                <w:rFonts w:hint="default" w:ascii="Times New Roman" w:hAnsi="Times New Roman" w:eastAsia="宋体" w:cs="Times New Roman"/>
                <w:color w:val="auto"/>
                <w:spacing w:val="2"/>
                <w:kern w:val="0"/>
                <w:sz w:val="21"/>
                <w:szCs w:val="21"/>
                <w:highlight w:val="none"/>
                <w:u w:val="none" w:color="auto"/>
                <w:lang w:val="en-US" w:eastAsia="zh-CN"/>
              </w:rPr>
              <w:t>不属于</w:t>
            </w:r>
            <w:r>
              <w:rPr>
                <w:rFonts w:hint="eastAsia" w:ascii="Times New Roman" w:hAnsi="Times New Roman" w:eastAsia="宋体" w:cs="Times New Roman"/>
                <w:color w:val="auto"/>
                <w:kern w:val="0"/>
                <w:sz w:val="21"/>
                <w:szCs w:val="21"/>
                <w:highlight w:val="none"/>
                <w:u w:val="none" w:color="auto"/>
                <w:lang w:val="en-US" w:eastAsia="zh-CN"/>
              </w:rPr>
              <w:t>化工项目以及</w:t>
            </w:r>
            <w:r>
              <w:rPr>
                <w:rFonts w:hint="default" w:ascii="Times New Roman" w:hAnsi="Times New Roman" w:eastAsia="宋体" w:cs="Times New Roman"/>
                <w:color w:val="auto"/>
                <w:spacing w:val="2"/>
                <w:kern w:val="0"/>
                <w:sz w:val="21"/>
                <w:szCs w:val="21"/>
                <w:highlight w:val="none"/>
                <w:u w:val="none" w:color="auto"/>
                <w:lang w:val="en-US" w:eastAsia="zh-CN"/>
              </w:rPr>
              <w:t>尾矿库、</w:t>
            </w:r>
            <w:r>
              <w:rPr>
                <w:rFonts w:hint="eastAsia" w:ascii="Times New Roman" w:hAnsi="Times New Roman" w:eastAsia="宋体" w:cs="Times New Roman"/>
                <w:color w:val="auto"/>
                <w:spacing w:val="2"/>
                <w:kern w:val="0"/>
                <w:sz w:val="21"/>
                <w:szCs w:val="21"/>
                <w:highlight w:val="none"/>
                <w:u w:val="none" w:color="auto"/>
                <w:lang w:val="en-US" w:eastAsia="zh-CN"/>
              </w:rPr>
              <w:t>冶炼</w:t>
            </w:r>
            <w:r>
              <w:rPr>
                <w:rFonts w:hint="default" w:ascii="Times New Roman" w:hAnsi="Times New Roman" w:eastAsia="宋体" w:cs="Times New Roman"/>
                <w:color w:val="auto"/>
                <w:kern w:val="0"/>
                <w:sz w:val="21"/>
                <w:szCs w:val="21"/>
                <w:highlight w:val="none"/>
                <w:u w:val="none" w:color="auto"/>
              </w:rPr>
              <w:t>渣库和磷石膏库</w:t>
            </w:r>
            <w:r>
              <w:rPr>
                <w:rFonts w:hint="default" w:ascii="Times New Roman" w:hAnsi="Times New Roman" w:eastAsia="宋体" w:cs="Times New Roman"/>
                <w:color w:val="auto"/>
                <w:kern w:val="0"/>
                <w:sz w:val="21"/>
                <w:szCs w:val="21"/>
                <w:highlight w:val="none"/>
                <w:u w:val="none" w:color="auto"/>
                <w:lang w:val="en-US" w:eastAsia="zh-CN"/>
              </w:rPr>
              <w:t>项目</w:t>
            </w:r>
          </w:p>
        </w:tc>
        <w:tc>
          <w:tcPr>
            <w:tcW w:w="457" w:type="pct"/>
            <w:tcBorders>
              <w:tl2br w:val="nil"/>
              <w:tr2bl w:val="nil"/>
            </w:tcBorders>
            <w:noWrap w:val="0"/>
            <w:vAlign w:val="center"/>
          </w:tcPr>
          <w:p w14:paraId="189D762E">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180423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420" w:type="pct"/>
            <w:vMerge w:val="continue"/>
            <w:tcBorders>
              <w:tl2br w:val="nil"/>
              <w:tr2bl w:val="nil"/>
            </w:tcBorders>
            <w:noWrap w:val="0"/>
            <w:vAlign w:val="center"/>
          </w:tcPr>
          <w:p w14:paraId="182755F7">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p>
        </w:tc>
        <w:tc>
          <w:tcPr>
            <w:tcW w:w="2750" w:type="pct"/>
            <w:tcBorders>
              <w:tl2br w:val="nil"/>
              <w:tr2bl w:val="nil"/>
            </w:tcBorders>
            <w:noWrap w:val="0"/>
            <w:vAlign w:val="center"/>
          </w:tcPr>
          <w:p w14:paraId="501DEDE1">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禁止在合规园区外新建、扩建钢铁、石化、化工、焦化、建材、有色、制浆造纸等高污染项目。高污染项目严格按照生态环境部《环境保护综合名录</w:t>
            </w:r>
            <w:r>
              <w:rPr>
                <w:rFonts w:hint="eastAsia"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2021年版</w:t>
            </w:r>
            <w:r>
              <w:rPr>
                <w:rFonts w:hint="eastAsia" w:cs="Times New Roman"/>
                <w:color w:val="auto"/>
                <w:kern w:val="0"/>
                <w:sz w:val="21"/>
                <w:szCs w:val="21"/>
                <w:highlight w:val="none"/>
                <w:u w:val="none" w:color="auto"/>
                <w:lang w:eastAsia="zh-CN"/>
              </w:rPr>
              <w:t>）</w:t>
            </w:r>
            <w:r>
              <w:rPr>
                <w:rFonts w:hint="default" w:ascii="Times New Roman" w:hAnsi="Times New Roman" w:eastAsia="宋体" w:cs="Times New Roman"/>
                <w:color w:val="auto"/>
                <w:kern w:val="0"/>
                <w:sz w:val="21"/>
                <w:szCs w:val="21"/>
                <w:highlight w:val="none"/>
                <w:u w:val="none" w:color="auto"/>
              </w:rPr>
              <w:t>》有关要求执行。</w:t>
            </w:r>
          </w:p>
        </w:tc>
        <w:tc>
          <w:tcPr>
            <w:tcW w:w="1372" w:type="pct"/>
            <w:tcBorders>
              <w:tl2br w:val="nil"/>
              <w:tr2bl w:val="nil"/>
            </w:tcBorders>
            <w:noWrap w:val="0"/>
            <w:vAlign w:val="center"/>
          </w:tcPr>
          <w:p w14:paraId="49DBED14">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eastAsia" w:cs="Times New Roman"/>
                <w:color w:val="auto"/>
                <w:kern w:val="0"/>
                <w:sz w:val="21"/>
                <w:szCs w:val="21"/>
                <w:highlight w:val="none"/>
                <w:u w:val="none" w:color="auto"/>
                <w:lang w:val="en-US" w:eastAsia="zh-CN"/>
              </w:rPr>
              <w:t>本</w:t>
            </w:r>
            <w:r>
              <w:rPr>
                <w:rFonts w:hint="default" w:ascii="Times New Roman" w:hAnsi="Times New Roman" w:eastAsia="宋体" w:cs="Times New Roman"/>
                <w:color w:val="auto"/>
                <w:kern w:val="0"/>
                <w:sz w:val="21"/>
                <w:szCs w:val="21"/>
                <w:highlight w:val="none"/>
                <w:u w:val="none" w:color="auto"/>
              </w:rPr>
              <w:t>项目</w:t>
            </w:r>
            <w:r>
              <w:rPr>
                <w:rFonts w:hint="default" w:ascii="Times New Roman" w:hAnsi="Times New Roman" w:eastAsia="宋体" w:cs="Times New Roman"/>
                <w:color w:val="auto"/>
                <w:kern w:val="0"/>
                <w:sz w:val="21"/>
                <w:szCs w:val="21"/>
                <w:highlight w:val="none"/>
                <w:u w:val="none" w:color="auto"/>
                <w:lang w:val="en-US" w:eastAsia="zh-CN"/>
              </w:rPr>
              <w:t>不属于钢铁、石化、化工、焦化、建材、有色、制浆造纸等高污染行业</w:t>
            </w:r>
          </w:p>
        </w:tc>
        <w:tc>
          <w:tcPr>
            <w:tcW w:w="457" w:type="pct"/>
            <w:tcBorders>
              <w:tl2br w:val="nil"/>
              <w:tr2bl w:val="nil"/>
            </w:tcBorders>
            <w:noWrap w:val="0"/>
            <w:vAlign w:val="center"/>
          </w:tcPr>
          <w:p w14:paraId="523EA356">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4EE55A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4" w:hRule="atLeast"/>
          <w:jc w:val="center"/>
        </w:trPr>
        <w:tc>
          <w:tcPr>
            <w:tcW w:w="420" w:type="pct"/>
            <w:vMerge w:val="restart"/>
            <w:tcBorders>
              <w:tl2br w:val="nil"/>
              <w:tr2bl w:val="nil"/>
            </w:tcBorders>
            <w:noWrap w:val="0"/>
            <w:vAlign w:val="center"/>
          </w:tcPr>
          <w:p w14:paraId="6594E83A">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cs="Times New Roman"/>
                <w:color w:val="auto"/>
                <w:kern w:val="2"/>
                <w:sz w:val="21"/>
                <w:szCs w:val="21"/>
                <w:highlight w:val="none"/>
                <w:u w:val="none" w:color="auto"/>
                <w:lang w:eastAsia="zh-CN"/>
              </w:rPr>
              <w:t>产业方面</w:t>
            </w:r>
          </w:p>
        </w:tc>
        <w:tc>
          <w:tcPr>
            <w:tcW w:w="2750" w:type="pct"/>
            <w:tcBorders>
              <w:tl2br w:val="nil"/>
              <w:tr2bl w:val="nil"/>
            </w:tcBorders>
            <w:noWrap w:val="0"/>
            <w:vAlign w:val="center"/>
          </w:tcPr>
          <w:p w14:paraId="2D5EB5A4">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禁止新建、扩建不符合国家石化、现代煤化工等产业布局规划的项目。未通过认定的化工园区，不得新建、改扩建化工项目（安全、环保、节能和智能化改造项目除外）。</w:t>
            </w:r>
          </w:p>
        </w:tc>
        <w:tc>
          <w:tcPr>
            <w:tcW w:w="1372" w:type="pct"/>
            <w:tcBorders>
              <w:tl2br w:val="nil"/>
              <w:tr2bl w:val="nil"/>
            </w:tcBorders>
            <w:noWrap w:val="0"/>
            <w:vAlign w:val="center"/>
          </w:tcPr>
          <w:p w14:paraId="7A5FA751">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eastAsia" w:cs="Times New Roman"/>
                <w:color w:val="auto"/>
                <w:kern w:val="0"/>
                <w:sz w:val="21"/>
                <w:szCs w:val="21"/>
                <w:highlight w:val="none"/>
                <w:u w:val="none" w:color="auto"/>
                <w:lang w:val="en-US" w:eastAsia="zh-CN"/>
              </w:rPr>
              <w:t>本</w:t>
            </w:r>
            <w:r>
              <w:rPr>
                <w:rFonts w:hint="default" w:ascii="Times New Roman" w:hAnsi="Times New Roman" w:eastAsia="宋体" w:cs="Times New Roman"/>
                <w:color w:val="auto"/>
                <w:kern w:val="0"/>
                <w:sz w:val="21"/>
                <w:szCs w:val="21"/>
                <w:highlight w:val="none"/>
                <w:u w:val="none" w:color="auto"/>
                <w:lang w:val="en-US" w:eastAsia="zh-CN"/>
              </w:rPr>
              <w:t>项目</w:t>
            </w:r>
            <w:r>
              <w:rPr>
                <w:rFonts w:hint="eastAsia" w:ascii="Times New Roman" w:hAnsi="Times New Roman" w:eastAsia="宋体" w:cs="Times New Roman"/>
                <w:color w:val="auto"/>
                <w:kern w:val="0"/>
                <w:sz w:val="21"/>
                <w:szCs w:val="21"/>
                <w:highlight w:val="none"/>
                <w:u w:val="none" w:color="auto"/>
                <w:lang w:val="en-US" w:eastAsia="zh-CN"/>
              </w:rPr>
              <w:t>不属于石化、现代煤化工等化工项目</w:t>
            </w:r>
          </w:p>
        </w:tc>
        <w:tc>
          <w:tcPr>
            <w:tcW w:w="457" w:type="pct"/>
            <w:tcBorders>
              <w:tl2br w:val="nil"/>
              <w:tr2bl w:val="nil"/>
            </w:tcBorders>
            <w:noWrap w:val="0"/>
            <w:vAlign w:val="center"/>
          </w:tcPr>
          <w:p w14:paraId="18815CDC">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r w14:paraId="0E150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1" w:hRule="atLeast"/>
          <w:jc w:val="center"/>
        </w:trPr>
        <w:tc>
          <w:tcPr>
            <w:tcW w:w="420" w:type="pct"/>
            <w:vMerge w:val="continue"/>
            <w:tcBorders>
              <w:tl2br w:val="nil"/>
              <w:tr2bl w:val="nil"/>
            </w:tcBorders>
            <w:noWrap w:val="0"/>
            <w:vAlign w:val="center"/>
          </w:tcPr>
          <w:p w14:paraId="4637A216">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p>
        </w:tc>
        <w:tc>
          <w:tcPr>
            <w:tcW w:w="2750" w:type="pct"/>
            <w:tcBorders>
              <w:tl2br w:val="nil"/>
              <w:tr2bl w:val="nil"/>
            </w:tcBorders>
            <w:noWrap w:val="0"/>
            <w:vAlign w:val="center"/>
          </w:tcPr>
          <w:p w14:paraId="329800D6">
            <w:pPr>
              <w:widowControl w:val="0"/>
              <w:topLinePunct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372" w:type="pct"/>
            <w:tcBorders>
              <w:tl2br w:val="nil"/>
              <w:tr2bl w:val="nil"/>
            </w:tcBorders>
            <w:noWrap w:val="0"/>
            <w:vAlign w:val="center"/>
          </w:tcPr>
          <w:p w14:paraId="30B3F79C">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lang w:val="en-US" w:eastAsia="zh-CN"/>
              </w:rPr>
            </w:pPr>
            <w:r>
              <w:rPr>
                <w:rFonts w:hint="default" w:ascii="Times New Roman" w:hAnsi="Times New Roman" w:eastAsia="宋体" w:cs="Times New Roman"/>
                <w:color w:val="auto"/>
                <w:kern w:val="0"/>
                <w:sz w:val="21"/>
                <w:szCs w:val="21"/>
                <w:highlight w:val="none"/>
                <w:u w:val="none" w:color="auto"/>
                <w:lang w:val="en-US" w:eastAsia="zh-CN"/>
              </w:rPr>
              <w:t>项目符合法律法规和相关政策，不属于落后产能项目；不属于严重过剩产能行业。不属于高耗能高排放项目</w:t>
            </w:r>
          </w:p>
        </w:tc>
        <w:tc>
          <w:tcPr>
            <w:tcW w:w="457" w:type="pct"/>
            <w:tcBorders>
              <w:tl2br w:val="nil"/>
              <w:tr2bl w:val="nil"/>
            </w:tcBorders>
            <w:noWrap w:val="0"/>
            <w:vAlign w:val="center"/>
          </w:tcPr>
          <w:p w14:paraId="18E2F3BB">
            <w:pPr>
              <w:widowControl w:val="0"/>
              <w:topLinePunct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符合</w:t>
            </w:r>
          </w:p>
        </w:tc>
      </w:tr>
    </w:tbl>
    <w:p w14:paraId="69FE034C">
      <w:pPr>
        <w:spacing w:line="360" w:lineRule="auto"/>
        <w:ind w:left="0" w:leftChars="0" w:firstLine="480" w:firstLineChars="0"/>
        <w:rPr>
          <w:rFonts w:hint="eastAsia" w:ascii="Times New Roman" w:hAnsi="Times New Roman" w:cs="Times New Roman"/>
          <w:color w:val="auto"/>
          <w:sz w:val="24"/>
          <w:highlight w:val="none"/>
          <w:u w:val="none" w:color="auto"/>
          <w:lang w:eastAsia="zh-CN"/>
        </w:rPr>
      </w:pPr>
      <w:r>
        <w:rPr>
          <w:rFonts w:hint="default" w:ascii="Times New Roman" w:hAnsi="Times New Roman" w:cs="Times New Roman"/>
          <w:color w:val="auto"/>
          <w:sz w:val="24"/>
          <w:highlight w:val="none"/>
          <w:u w:val="none" w:color="auto"/>
        </w:rPr>
        <w:t>综上，</w:t>
      </w:r>
      <w:r>
        <w:rPr>
          <w:rFonts w:hint="eastAsia" w:cs="Times New Roman"/>
          <w:color w:val="auto"/>
          <w:sz w:val="24"/>
          <w:highlight w:val="none"/>
          <w:u w:val="none" w:color="auto"/>
          <w:lang w:eastAsia="zh-CN"/>
        </w:rPr>
        <w:t>本项目</w:t>
      </w:r>
      <w:r>
        <w:rPr>
          <w:rFonts w:hint="default" w:ascii="Times New Roman" w:hAnsi="Times New Roman" w:cs="Times New Roman"/>
          <w:color w:val="auto"/>
          <w:sz w:val="24"/>
          <w:highlight w:val="none"/>
          <w:u w:val="none" w:color="auto"/>
        </w:rPr>
        <w:t>的建设符合《湖南省长江经济带发展负面清单实施细则（试行，2022年版）》相关要求</w:t>
      </w:r>
      <w:r>
        <w:rPr>
          <w:rFonts w:hint="eastAsia" w:ascii="Times New Roman" w:hAnsi="Times New Roman" w:cs="Times New Roman"/>
          <w:color w:val="auto"/>
          <w:sz w:val="24"/>
          <w:highlight w:val="none"/>
          <w:u w:val="none" w:color="auto"/>
          <w:lang w:eastAsia="zh-CN"/>
        </w:rPr>
        <w:t>。</w:t>
      </w:r>
    </w:p>
    <w:p w14:paraId="5CBBC3D8">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111" w:name="_Toc10689"/>
      <w:bookmarkStart w:id="112" w:name="_Toc22972"/>
      <w:bookmarkStart w:id="113" w:name="_Toc26328"/>
      <w:bookmarkStart w:id="114" w:name="_Toc27798"/>
      <w:r>
        <w:rPr>
          <w:rFonts w:hint="default" w:ascii="Times New Roman" w:hAnsi="Times New Roman" w:cs="Times New Roman"/>
          <w:color w:val="auto"/>
          <w:sz w:val="28"/>
          <w:szCs w:val="28"/>
          <w:highlight w:val="none"/>
          <w:u w:val="none" w:color="auto"/>
        </w:rPr>
        <w:t>1.4.3与环保规划相符性分析</w:t>
      </w:r>
      <w:bookmarkEnd w:id="111"/>
      <w:bookmarkEnd w:id="112"/>
      <w:bookmarkEnd w:id="113"/>
      <w:bookmarkEnd w:id="114"/>
    </w:p>
    <w:p w14:paraId="0657938E">
      <w:pPr>
        <w:keepNext w:val="0"/>
        <w:keepLines w:val="0"/>
        <w:pageBreakBefore w:val="0"/>
        <w:widowControl/>
        <w:kinsoku/>
        <w:wordWrap/>
        <w:overflowPunct/>
        <w:topLinePunct w:val="0"/>
        <w:autoSpaceDE/>
        <w:autoSpaceDN/>
        <w:bidi w:val="0"/>
        <w:adjustRightInd/>
        <w:snapToGrid/>
        <w:ind w:firstLine="0" w:firstLineChars="0"/>
        <w:textAlignment w:val="auto"/>
        <w:outlineLvl w:val="3"/>
        <w:rPr>
          <w:rFonts w:hint="default" w:ascii="Times New Roman" w:hAnsi="Times New Roman"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1.4.3.1与《湖南省主体功能区划》符合性分析</w:t>
      </w:r>
    </w:p>
    <w:p w14:paraId="0D8D057D">
      <w:pPr>
        <w:widowControl w:val="0"/>
        <w:wordWrap w:val="0"/>
        <w:ind w:firstLine="480"/>
        <w:jc w:val="both"/>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根据《湖南省主体功能区划》，</w:t>
      </w:r>
      <w:r>
        <w:rPr>
          <w:rFonts w:hint="eastAsia" w:cs="Times New Roman"/>
          <w:color w:val="auto"/>
          <w:sz w:val="24"/>
          <w:szCs w:val="24"/>
          <w:highlight w:val="none"/>
          <w:u w:val="none" w:color="auto"/>
          <w:lang w:val="en-US" w:eastAsia="zh-CN"/>
        </w:rPr>
        <w:t>平江县</w:t>
      </w:r>
      <w:r>
        <w:rPr>
          <w:rFonts w:hint="default" w:ascii="Times New Roman" w:hAnsi="Times New Roman" w:cs="Times New Roman"/>
          <w:color w:val="auto"/>
          <w:sz w:val="24"/>
          <w:szCs w:val="24"/>
          <w:highlight w:val="none"/>
          <w:u w:val="none" w:color="auto"/>
        </w:rPr>
        <w:t>属于国家级农产品主产区，</w:t>
      </w:r>
      <w:r>
        <w:rPr>
          <w:rFonts w:hint="eastAsia" w:cs="Times New Roman"/>
          <w:color w:val="auto"/>
          <w:sz w:val="24"/>
          <w:szCs w:val="24"/>
          <w:highlight w:val="none"/>
          <w:u w:val="none" w:color="auto"/>
          <w:lang w:val="en-US" w:eastAsia="zh-CN"/>
        </w:rPr>
        <w:t>本</w:t>
      </w:r>
      <w:r>
        <w:rPr>
          <w:rFonts w:hint="default" w:ascii="Times New Roman" w:hAnsi="Times New Roman" w:cs="Times New Roman"/>
          <w:color w:val="auto"/>
          <w:sz w:val="24"/>
          <w:szCs w:val="24"/>
          <w:highlight w:val="none"/>
          <w:u w:val="none" w:color="auto"/>
        </w:rPr>
        <w:t>项目</w:t>
      </w:r>
      <w:r>
        <w:rPr>
          <w:rFonts w:hint="eastAsia" w:ascii="Times New Roman" w:hAnsi="Times New Roman" w:cs="Times New Roman"/>
          <w:color w:val="auto"/>
          <w:sz w:val="24"/>
          <w:szCs w:val="24"/>
          <w:highlight w:val="none"/>
          <w:u w:val="none" w:color="auto"/>
          <w:lang w:val="en-US" w:eastAsia="zh-CN"/>
        </w:rPr>
        <w:t>位于</w:t>
      </w:r>
      <w:r>
        <w:rPr>
          <w:rFonts w:hint="eastAsia" w:cs="Times New Roman"/>
          <w:color w:val="auto"/>
          <w:sz w:val="24"/>
          <w:szCs w:val="24"/>
          <w:highlight w:val="none"/>
          <w:u w:val="none" w:color="auto"/>
          <w:lang w:val="en-US" w:eastAsia="zh-CN"/>
        </w:rPr>
        <w:t>平江县三阳乡</w:t>
      </w:r>
      <w:r>
        <w:rPr>
          <w:rFonts w:hint="eastAsia" w:ascii="Times New Roman" w:hAnsi="Times New Roman"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val="en-US" w:eastAsia="zh-CN"/>
        </w:rPr>
        <w:t>拟建填埋场、取土场</w:t>
      </w:r>
      <w:r>
        <w:rPr>
          <w:rFonts w:hint="default" w:ascii="Times New Roman" w:hAnsi="Times New Roman" w:cs="Times New Roman"/>
          <w:color w:val="auto"/>
          <w:sz w:val="24"/>
          <w:szCs w:val="24"/>
          <w:highlight w:val="none"/>
          <w:u w:val="none" w:color="auto"/>
        </w:rPr>
        <w:t>不</w:t>
      </w:r>
      <w:r>
        <w:rPr>
          <w:rFonts w:hint="eastAsia" w:ascii="Times New Roman" w:hAnsi="Times New Roman" w:cs="Times New Roman"/>
          <w:color w:val="auto"/>
          <w:sz w:val="24"/>
          <w:szCs w:val="24"/>
          <w:highlight w:val="none"/>
          <w:u w:val="none" w:color="auto"/>
          <w:lang w:val="en-US" w:eastAsia="zh-CN"/>
        </w:rPr>
        <w:t>在</w:t>
      </w:r>
      <w:r>
        <w:rPr>
          <w:rFonts w:hint="default" w:ascii="Times New Roman" w:hAnsi="Times New Roman" w:cs="Times New Roman"/>
          <w:color w:val="auto"/>
          <w:sz w:val="24"/>
          <w:szCs w:val="24"/>
          <w:highlight w:val="none"/>
          <w:u w:val="none" w:color="auto"/>
        </w:rPr>
        <w:t>各级各类自然保护区、风景名胜区、森林公园、地质公园、重要湿地、历史文化自然遗产、基本农田、蓄滞洪区、重要水源地等禁止开发区域。因此，项目符合《湖南省主体功能区规划》的要求。</w:t>
      </w:r>
    </w:p>
    <w:p w14:paraId="6D5B9466">
      <w:pPr>
        <w:keepNext w:val="0"/>
        <w:keepLines w:val="0"/>
        <w:pageBreakBefore w:val="0"/>
        <w:widowControl/>
        <w:kinsoku/>
        <w:wordWrap/>
        <w:overflowPunct/>
        <w:topLinePunct w:val="0"/>
        <w:autoSpaceDE/>
        <w:autoSpaceDN/>
        <w:bidi w:val="0"/>
        <w:adjustRightInd/>
        <w:snapToGrid/>
        <w:ind w:firstLine="0" w:firstLineChars="0"/>
        <w:textAlignment w:val="auto"/>
        <w:outlineLvl w:val="3"/>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4"/>
          <w:szCs w:val="24"/>
          <w:highlight w:val="none"/>
          <w:u w:val="none" w:color="auto"/>
        </w:rPr>
        <w:t>1.4.3.</w:t>
      </w:r>
      <w:r>
        <w:rPr>
          <w:rFonts w:hint="default" w:ascii="Times New Roman" w:hAnsi="Times New Roman" w:eastAsia="宋体" w:cs="Times New Roman"/>
          <w:b/>
          <w:bCs/>
          <w:color w:val="auto"/>
          <w:sz w:val="24"/>
          <w:szCs w:val="24"/>
          <w:highlight w:val="none"/>
          <w:u w:val="none" w:color="auto"/>
          <w:lang w:val="en-US" w:eastAsia="zh-CN"/>
        </w:rPr>
        <w:t>2</w:t>
      </w:r>
      <w:r>
        <w:rPr>
          <w:rFonts w:hint="default" w:ascii="Times New Roman" w:hAnsi="Times New Roman" w:eastAsia="宋体" w:cs="Times New Roman"/>
          <w:b/>
          <w:bCs/>
          <w:color w:val="auto"/>
          <w:sz w:val="24"/>
          <w:szCs w:val="24"/>
          <w:highlight w:val="none"/>
          <w:u w:val="none" w:color="auto"/>
        </w:rPr>
        <w:t>与</w:t>
      </w:r>
      <w:r>
        <w:rPr>
          <w:rFonts w:hint="eastAsia" w:cs="Times New Roman"/>
          <w:b/>
          <w:bCs/>
          <w:color w:val="auto"/>
          <w:sz w:val="24"/>
          <w:szCs w:val="24"/>
          <w:highlight w:val="none"/>
          <w:u w:val="none" w:color="auto"/>
          <w:lang w:eastAsia="zh-CN"/>
        </w:rPr>
        <w:t>“</w:t>
      </w:r>
      <w:r>
        <w:rPr>
          <w:rFonts w:hint="eastAsia" w:cs="Times New Roman"/>
          <w:b/>
          <w:bCs/>
          <w:color w:val="auto"/>
          <w:sz w:val="24"/>
          <w:szCs w:val="24"/>
          <w:highlight w:val="none"/>
          <w:u w:val="none" w:color="auto"/>
          <w:lang w:val="en-US" w:eastAsia="zh-CN"/>
        </w:rPr>
        <w:t>十四五</w:t>
      </w:r>
      <w:r>
        <w:rPr>
          <w:rFonts w:hint="eastAsia" w:cs="Times New Roman"/>
          <w:b/>
          <w:bCs/>
          <w:color w:val="auto"/>
          <w:sz w:val="24"/>
          <w:szCs w:val="24"/>
          <w:highlight w:val="none"/>
          <w:u w:val="none" w:color="auto"/>
          <w:lang w:eastAsia="zh-CN"/>
        </w:rPr>
        <w:t>”</w:t>
      </w:r>
      <w:r>
        <w:rPr>
          <w:rFonts w:hint="default" w:ascii="Times New Roman" w:hAnsi="Times New Roman" w:eastAsia="宋体" w:cs="Times New Roman"/>
          <w:b/>
          <w:bCs/>
          <w:color w:val="auto"/>
          <w:sz w:val="24"/>
          <w:szCs w:val="24"/>
          <w:highlight w:val="none"/>
          <w:u w:val="none" w:color="auto"/>
        </w:rPr>
        <w:t>生态环境保护规划相符性分析</w:t>
      </w:r>
    </w:p>
    <w:p w14:paraId="19D30532">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湖南省人民政府办公厅2021年9月30日关于印发《湖南省“十四五”生态环境保护规划》的通知（湘政办发〔2021〕61号），该规划中提出：保障“一江一湖三山四水”生态安全，推动“长株潭、洞庭湖、湘南、大湘西”区域协调发展。长株潭区域加快推动生态环境同建和高质量发展，加强大气联防联控，强化污染物排放控制和环境风险防控；洞庭湖区域突出抓好农业结构升级，减少农业面源污染，优化化工产业布局，提升水环境容量，加强湿地生物多样性保护；湘南区域在承接产业转移示范区建设中，严格控制涉重金属新增产能扩张，优化产业布局，加快行业转型升级，加快解决历史遗留污染问题；大湘西区域严禁高耗能、高排放等产业转入，以生态产业为导向承接产业转移，维护和加强生态安全屏障，加强生态治理与修复，强化“四水”源头污染防控和流域重金属污染治理。</w:t>
      </w:r>
    </w:p>
    <w:p w14:paraId="725550E6">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rPr>
        <w:t>本项目位于岳阳市平江县三阳乡，本项目作为历史遗留重金属废渣整治项目，能有效解决历史遗留污染问题，故本项目的建设符合《湖南省“十四五”生态环境保护规划》的要求。</w:t>
      </w:r>
    </w:p>
    <w:p w14:paraId="77049A78">
      <w:pPr>
        <w:pStyle w:val="5"/>
        <w:keepNext/>
        <w:keepLines/>
        <w:pageBreakBefore w:val="0"/>
        <w:widowControl/>
        <w:numPr>
          <w:ilvl w:val="2"/>
          <w:numId w:val="0"/>
        </w:numPr>
        <w:kinsoku/>
        <w:wordWrap/>
        <w:overflowPunct/>
        <w:topLinePunct/>
        <w:autoSpaceDE/>
        <w:autoSpaceDN/>
        <w:bidi w:val="0"/>
        <w:adjustRightInd/>
        <w:snapToGrid/>
        <w:spacing w:before="0" w:beforeLines="0" w:after="0" w:afterLines="0"/>
        <w:textAlignment w:val="auto"/>
        <w:outlineLvl w:val="3"/>
        <w:rPr>
          <w:rFonts w:hint="default" w:ascii="Times New Roman" w:hAnsi="Times New Roman" w:cs="Times New Roman"/>
          <w:color w:val="auto"/>
          <w:sz w:val="28"/>
          <w:szCs w:val="28"/>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rPr>
        <w:t>1.4.3.</w:t>
      </w:r>
      <w:r>
        <w:rPr>
          <w:rFonts w:hint="default" w:ascii="Times New Roman" w:hAnsi="Times New Roman" w:cs="Times New Roman"/>
          <w:b/>
          <w:bCs/>
          <w:color w:val="auto"/>
          <w:sz w:val="24"/>
          <w:szCs w:val="24"/>
          <w:highlight w:val="none"/>
          <w:u w:val="none" w:color="auto"/>
          <w:lang w:val="en-US" w:eastAsia="zh-CN"/>
        </w:rPr>
        <w:t>3</w:t>
      </w:r>
      <w:r>
        <w:rPr>
          <w:rFonts w:hint="default" w:ascii="Times New Roman" w:hAnsi="Times New Roman" w:cs="Times New Roman"/>
          <w:color w:val="auto"/>
          <w:sz w:val="28"/>
          <w:szCs w:val="28"/>
          <w:highlight w:val="none"/>
          <w:u w:val="none" w:color="auto"/>
          <w:lang w:val="en-US" w:eastAsia="zh-CN"/>
        </w:rPr>
        <w:t>与《湖南省“十四五”重金属污染防治规划》的相符性</w:t>
      </w:r>
    </w:p>
    <w:p w14:paraId="64FA16E4">
      <w:pPr>
        <w:bidi w:val="0"/>
        <w:rPr>
          <w:rFonts w:hint="eastAsia"/>
          <w:sz w:val="24"/>
          <w:szCs w:val="24"/>
          <w:highlight w:val="none"/>
          <w:lang w:val="en-US" w:eastAsia="zh-CN"/>
        </w:rPr>
      </w:pPr>
      <w:r>
        <w:rPr>
          <w:rFonts w:hint="eastAsia"/>
          <w:sz w:val="24"/>
          <w:szCs w:val="24"/>
          <w:highlight w:val="none"/>
          <w:lang w:val="en-US" w:eastAsia="zh-CN"/>
        </w:rPr>
        <w:t>为全面落实“三高四新”战略定位和使命任务，按照“系统治理、依法治理、综合治理、源头治理”工作要求，以改善生态环境质量为核心，以防控重金属环境风险为目标，以重点重金属污染物减排为抓手，全面推动“精准治污、科学治污、依法治污”，有效管控重金属污染，湖南省生态环境厅2022年4月13日编制了《湖南省“十四五”重金属污染防治规划》（湘环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2022</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27号），本项目与其相符性分析见下表。</w:t>
      </w:r>
    </w:p>
    <w:p w14:paraId="222F3433">
      <w:pPr>
        <w:bidi w:val="0"/>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表1.4-2  与《湖南省“十四五”重金属污染防治规划》符合性分析</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4855"/>
        <w:gridCol w:w="2786"/>
        <w:gridCol w:w="874"/>
      </w:tblGrid>
      <w:tr w14:paraId="2D5257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1" w:hRule="atLeast"/>
          <w:tblHeader/>
          <w:jc w:val="center"/>
        </w:trPr>
        <w:tc>
          <w:tcPr>
            <w:tcW w:w="3030" w:type="pct"/>
            <w:gridSpan w:val="2"/>
            <w:tcBorders>
              <w:tl2br w:val="nil"/>
              <w:tr2bl w:val="nil"/>
            </w:tcBorders>
            <w:noWrap w:val="0"/>
            <w:vAlign w:val="center"/>
          </w:tcPr>
          <w:p w14:paraId="1219400B">
            <w:pPr>
              <w:widowControl w:val="0"/>
              <w:bidi w:val="0"/>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防治要求</w:t>
            </w:r>
          </w:p>
        </w:tc>
        <w:tc>
          <w:tcPr>
            <w:tcW w:w="1499" w:type="pct"/>
            <w:tcBorders>
              <w:tl2br w:val="nil"/>
              <w:tr2bl w:val="nil"/>
            </w:tcBorders>
            <w:noWrap w:val="0"/>
            <w:vAlign w:val="center"/>
          </w:tcPr>
          <w:p w14:paraId="242BBA4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拟建项目情况</w:t>
            </w:r>
          </w:p>
        </w:tc>
        <w:tc>
          <w:tcPr>
            <w:tcW w:w="470" w:type="pct"/>
            <w:tcBorders>
              <w:tl2br w:val="nil"/>
              <w:tr2bl w:val="nil"/>
            </w:tcBorders>
            <w:noWrap w:val="0"/>
            <w:vAlign w:val="center"/>
          </w:tcPr>
          <w:p w14:paraId="0C4DB34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符合性</w:t>
            </w:r>
          </w:p>
        </w:tc>
      </w:tr>
      <w:tr w14:paraId="3E7824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8" w:type="pct"/>
            <w:vMerge w:val="restart"/>
            <w:tcBorders>
              <w:tl2br w:val="nil"/>
              <w:tr2bl w:val="nil"/>
            </w:tcBorders>
            <w:noWrap w:val="0"/>
            <w:vAlign w:val="center"/>
          </w:tcPr>
          <w:p w14:paraId="3FAD84E7">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严格环境准入要求，优化产业结构布局</w:t>
            </w:r>
          </w:p>
        </w:tc>
        <w:tc>
          <w:tcPr>
            <w:tcW w:w="2611" w:type="pct"/>
            <w:tcBorders>
              <w:tl2br w:val="nil"/>
              <w:tr2bl w:val="nil"/>
            </w:tcBorders>
            <w:noWrap w:val="0"/>
            <w:vAlign w:val="center"/>
          </w:tcPr>
          <w:p w14:paraId="16108DD5">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严格重点行业企业准入管理。新（改、扩）建重点行业项目应符合产业政策、区域环评、规划环评、“三线一单”和行业环境准入管控要求。新（改、扩）建国家重点行业建设项目应明确具体的重金属污染物排放总量及来源，原则上应是全口径涉重金属重点行业企业清单内同一重点行业企业削减的重点重金属污染物排放量，当同一重点行业企业削减量无法满足时可从其他重点行业调剂。花垣县、常宁市、汨罗市、资兴市、桂阳县、永兴县、冷水江市等7个国家重点区域的新、改、扩建重点行业建设项目应遵循重点重金属（铅、汞、镉、铬、砷）污染物排放“减量替代”原则，减量替代比例不低于1.2：1。省内其他区域遵循重点重金属污染物排放“等量替换”原则。严格重点行业建设项目环境影响评价审批，审慎下放环评审批权限，不得以改革试点为名降低审批要求。</w:t>
            </w:r>
          </w:p>
        </w:tc>
        <w:tc>
          <w:tcPr>
            <w:tcW w:w="1499" w:type="pct"/>
            <w:tcBorders>
              <w:tl2br w:val="nil"/>
              <w:tr2bl w:val="nil"/>
            </w:tcBorders>
            <w:noWrap w:val="0"/>
            <w:vAlign w:val="center"/>
          </w:tcPr>
          <w:p w14:paraId="3B1F53DB">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本项目不属于防治规划中的重点行业和重点区域，主要为固体废物治理项目，项目符合“三线一单”、产业政策和行业环境准入管控要求，根据《湖南省主要污染物排污权有偿使用和交易实施细则》（湘环发〔2024〕3号），本项目一般固废填埋场，属于公共基础设施，不纳入排污权有偿使用和交易管理范围。</w:t>
            </w:r>
          </w:p>
        </w:tc>
        <w:tc>
          <w:tcPr>
            <w:tcW w:w="470" w:type="pct"/>
            <w:tcBorders>
              <w:tl2br w:val="nil"/>
              <w:tr2bl w:val="nil"/>
            </w:tcBorders>
            <w:noWrap w:val="0"/>
            <w:vAlign w:val="center"/>
          </w:tcPr>
          <w:p w14:paraId="0842838C">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5EB1EC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8" w:type="pct"/>
            <w:vMerge w:val="continue"/>
            <w:tcBorders>
              <w:tl2br w:val="nil"/>
              <w:tr2bl w:val="nil"/>
            </w:tcBorders>
            <w:noWrap w:val="0"/>
            <w:vAlign w:val="center"/>
          </w:tcPr>
          <w:p w14:paraId="7D8B09E1">
            <w:pPr>
              <w:widowControl w:val="0"/>
              <w:bidi w:val="0"/>
              <w:spacing w:line="240" w:lineRule="auto"/>
              <w:ind w:left="0" w:leftChars="0" w:firstLine="0" w:firstLineChars="0"/>
              <w:jc w:val="center"/>
              <w:rPr>
                <w:rFonts w:hint="eastAsia"/>
                <w:sz w:val="21"/>
                <w:szCs w:val="21"/>
                <w:highlight w:val="none"/>
                <w:u w:val="none"/>
                <w:lang w:val="en-US" w:eastAsia="zh-CN"/>
              </w:rPr>
            </w:pPr>
          </w:p>
        </w:tc>
        <w:tc>
          <w:tcPr>
            <w:tcW w:w="2611" w:type="pct"/>
            <w:tcBorders>
              <w:tl2br w:val="nil"/>
              <w:tr2bl w:val="nil"/>
            </w:tcBorders>
            <w:noWrap w:val="0"/>
            <w:vAlign w:val="center"/>
          </w:tcPr>
          <w:p w14:paraId="5D888C99">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加大落后产能淘汰力度。根据国家《产业结构调整指导目录》《限期淘汰产生严重污染环境的工业固体废物的落后生产工艺设备名录》等文件，依法依规淘汰涉重金属落后产能和化解过剩产能。依法全面取缔不符合国家产业政策的制革、炼砷、电镀等严重污染水环境的生产项目。</w:t>
            </w:r>
          </w:p>
        </w:tc>
        <w:tc>
          <w:tcPr>
            <w:tcW w:w="1499" w:type="pct"/>
            <w:tcBorders>
              <w:tl2br w:val="nil"/>
              <w:tr2bl w:val="nil"/>
            </w:tcBorders>
            <w:noWrap w:val="0"/>
            <w:vAlign w:val="center"/>
          </w:tcPr>
          <w:p w14:paraId="2B9D76B2">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本项目符合《产业结构调整指导目录（2024年本）》，不涉及《限期淘汰产生严重污染环境的工业固体废物的落后生产工艺设备名录》中落后设备等。</w:t>
            </w:r>
          </w:p>
        </w:tc>
        <w:tc>
          <w:tcPr>
            <w:tcW w:w="470" w:type="pct"/>
            <w:tcBorders>
              <w:tl2br w:val="nil"/>
              <w:tr2bl w:val="nil"/>
            </w:tcBorders>
            <w:noWrap w:val="0"/>
            <w:vAlign w:val="center"/>
          </w:tcPr>
          <w:p w14:paraId="301F03B7">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724A96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8" w:type="pct"/>
            <w:tcBorders>
              <w:tl2br w:val="nil"/>
              <w:tr2bl w:val="nil"/>
            </w:tcBorders>
            <w:noWrap w:val="0"/>
            <w:vAlign w:val="center"/>
          </w:tcPr>
          <w:p w14:paraId="2EBBAA80">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强化涉重金属企业排放总量管理</w:t>
            </w:r>
          </w:p>
        </w:tc>
        <w:tc>
          <w:tcPr>
            <w:tcW w:w="2611" w:type="pct"/>
            <w:tcBorders>
              <w:tl2br w:val="nil"/>
              <w:tr2bl w:val="nil"/>
            </w:tcBorders>
            <w:noWrap w:val="0"/>
            <w:vAlign w:val="center"/>
          </w:tcPr>
          <w:p w14:paraId="5452F230">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依法将重点行业企业纳入排污许可管理。对于实施排污许可重点管理的企业，排污许可证应当明确重金属污染物排放种类、许可排放浓度、许可排放量等。探索将重点行业减排企业重金属污染物排放总量要求落实到排污许可证，减排企业在执行国家和地方污染物排放标准的同时，应当遵守分解落实到本单位的重金属排放总量控制要求。持续推进重点行业重点重金属污染物减排，进一步摸排企业状况，挖掘减排潜力，将减排任务目标落实到具体企业，推动实施一批重金属减排工程。加强涉重危险废物环境管理，严格危险废物跨省管理，确保涉重危险废物得到规范收集和处置。</w:t>
            </w:r>
          </w:p>
        </w:tc>
        <w:tc>
          <w:tcPr>
            <w:tcW w:w="1499" w:type="pct"/>
            <w:tcBorders>
              <w:tl2br w:val="nil"/>
              <w:tr2bl w:val="nil"/>
            </w:tcBorders>
            <w:noWrap w:val="0"/>
            <w:vAlign w:val="center"/>
          </w:tcPr>
          <w:p w14:paraId="1B6F0FD7">
            <w:pPr>
              <w:widowControl w:val="0"/>
              <w:bidi w:val="0"/>
              <w:spacing w:line="240" w:lineRule="auto"/>
              <w:ind w:left="0" w:leftChars="0" w:firstLine="0" w:firstLineChars="0"/>
              <w:jc w:val="center"/>
              <w:rPr>
                <w:rFonts w:hint="default"/>
                <w:sz w:val="21"/>
                <w:szCs w:val="21"/>
                <w:highlight w:val="none"/>
                <w:u w:val="none"/>
                <w:lang w:val="en-US" w:eastAsia="zh-CN"/>
              </w:rPr>
            </w:pPr>
            <w:r>
              <w:rPr>
                <w:rFonts w:hint="eastAsia"/>
                <w:sz w:val="21"/>
                <w:szCs w:val="21"/>
                <w:highlight w:val="none"/>
                <w:u w:val="none"/>
                <w:lang w:val="en-US" w:eastAsia="zh-CN"/>
              </w:rPr>
              <w:t>本项目不属于防治规划中的重点行业和重点区域，主要为固体废物治理项目，根据总量控制章节，无需申请重金属总量指标，在后续运营中，将严格按照排污许可的要求控制污染物排放。</w:t>
            </w:r>
          </w:p>
        </w:tc>
        <w:tc>
          <w:tcPr>
            <w:tcW w:w="470" w:type="pct"/>
            <w:tcBorders>
              <w:tl2br w:val="nil"/>
              <w:tr2bl w:val="nil"/>
            </w:tcBorders>
            <w:noWrap w:val="0"/>
            <w:vAlign w:val="center"/>
          </w:tcPr>
          <w:p w14:paraId="290B6E89">
            <w:pPr>
              <w:widowControl w:val="0"/>
              <w:bidi w:val="0"/>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bl>
    <w:p w14:paraId="4D329F50">
      <w:pPr>
        <w:rPr>
          <w:rFonts w:hint="eastAsia"/>
          <w:sz w:val="24"/>
          <w:szCs w:val="24"/>
          <w:highlight w:val="none"/>
          <w:lang w:val="en-US" w:eastAsia="zh-CN"/>
        </w:rPr>
      </w:pPr>
      <w:r>
        <w:rPr>
          <w:rFonts w:hint="eastAsia"/>
          <w:sz w:val="24"/>
          <w:szCs w:val="24"/>
          <w:highlight w:val="none"/>
          <w:lang w:val="en-US" w:eastAsia="zh-CN"/>
        </w:rPr>
        <w:t>综上所述，本项目符合《湖南省“十四五”重金属污染防治规划》（湘环发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2022</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27号）文件要求。</w:t>
      </w:r>
    </w:p>
    <w:p w14:paraId="59C43385">
      <w:pPr>
        <w:pStyle w:val="5"/>
        <w:keepNext/>
        <w:keepLines/>
        <w:pageBreakBefore w:val="0"/>
        <w:widowControl/>
        <w:numPr>
          <w:ilvl w:val="2"/>
          <w:numId w:val="0"/>
        </w:numPr>
        <w:kinsoku/>
        <w:wordWrap/>
        <w:overflowPunct/>
        <w:topLinePunct/>
        <w:autoSpaceDE/>
        <w:autoSpaceDN/>
        <w:bidi w:val="0"/>
        <w:adjustRightInd/>
        <w:snapToGrid/>
        <w:spacing w:before="0" w:beforeLines="0" w:after="0" w:afterLines="0"/>
        <w:textAlignment w:val="auto"/>
        <w:outlineLvl w:val="3"/>
        <w:rPr>
          <w:rFonts w:hint="default"/>
        </w:rPr>
      </w:pPr>
      <w:r>
        <w:rPr>
          <w:rFonts w:hint="default" w:ascii="Times New Roman" w:hAnsi="Times New Roman" w:eastAsia="宋体" w:cs="Times New Roman"/>
          <w:b/>
          <w:bCs/>
          <w:color w:val="auto"/>
          <w:sz w:val="24"/>
          <w:szCs w:val="24"/>
          <w:highlight w:val="none"/>
          <w:u w:val="none" w:color="auto"/>
        </w:rPr>
        <w:t>1.4.3.</w:t>
      </w:r>
      <w:r>
        <w:rPr>
          <w:rFonts w:hint="eastAsia" w:ascii="Times New Roman" w:hAnsi="Times New Roman" w:cs="Times New Roman"/>
          <w:b/>
          <w:bCs/>
          <w:color w:val="auto"/>
          <w:sz w:val="24"/>
          <w:szCs w:val="24"/>
          <w:highlight w:val="none"/>
          <w:u w:val="none" w:color="auto"/>
          <w:lang w:val="en-US" w:eastAsia="zh-CN"/>
        </w:rPr>
        <w:t>4</w:t>
      </w:r>
      <w:r>
        <w:rPr>
          <w:rFonts w:hint="default" w:ascii="Times New Roman" w:hAnsi="Times New Roman" w:cs="Times New Roman"/>
          <w:color w:val="auto"/>
          <w:sz w:val="28"/>
          <w:szCs w:val="28"/>
          <w:highlight w:val="none"/>
          <w:u w:val="none" w:color="auto"/>
        </w:rPr>
        <w:t>与《“十四五”土壤、地下水和农业农村生态环境保护规划》（环土壤〔2021〕120号）相符性分析</w:t>
      </w:r>
    </w:p>
    <w:p w14:paraId="68C5B6A6">
      <w:pPr>
        <w:pStyle w:val="21"/>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十四五”土壤、地下水和农业农村生态环境保护规划》（环土壤〔2021〕120号）文中提出：整治涉重金属矿区历史遗留固体废物。以湖南等矿产资源开发活动集中省份为重点，聚焦有色金属、石煤、硫铁矿等矿区以及安全利用和严格管控类耕地集中区域周边的矿区，全面排查无序堆存的历史遗留固体废物，制定整治方案，分阶段治理，逐步消除存量。优先整治周边及下游耕地土壤污染较重的矿区，有效切断污染物进入农田的链条。</w:t>
      </w:r>
    </w:p>
    <w:p w14:paraId="55B1C7A1">
      <w:pPr>
        <w:pStyle w:val="21"/>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通过采取集中填埋方式对场地内Ⅰ类及Ⅱ类一般固废进行安全处置，能减少由于区域废渣渗出重金属排入周边水环境，以降低雨季随洪水长距离污染下游农田的风险，有效切断污染物进入农田的途径，对重金属的削减具有较为明显的环境效益。本项目建设符合《“十四五”土壤、地下水和农业农村生态环境保护规划》（环土壤〔2021〕120号）的要求。</w:t>
      </w:r>
    </w:p>
    <w:p w14:paraId="5DB720E2">
      <w:pPr>
        <w:pStyle w:val="4"/>
        <w:keepNext/>
        <w:keepLines/>
        <w:pageBreakBefore w:val="0"/>
        <w:widowControl/>
        <w:numPr>
          <w:ilvl w:val="2"/>
          <w:numId w:val="0"/>
        </w:numPr>
        <w:kinsoku/>
        <w:wordWrap/>
        <w:overflowPunct/>
        <w:topLinePunct/>
        <w:autoSpaceDE/>
        <w:autoSpaceDN/>
        <w:bidi w:val="0"/>
        <w:adjustRightInd/>
        <w:snapToGrid/>
        <w:spacing w:before="0" w:beforeLines="0" w:after="0" w:afterLines="0"/>
        <w:textAlignment w:val="auto"/>
        <w:rPr>
          <w:rFonts w:hint="default" w:ascii="Times New Roman" w:hAnsi="Times New Roman" w:cs="Times New Roman"/>
          <w:color w:val="auto"/>
          <w:sz w:val="28"/>
          <w:szCs w:val="28"/>
          <w:highlight w:val="none"/>
          <w:u w:val="none" w:color="auto"/>
        </w:rPr>
      </w:pPr>
      <w:bookmarkStart w:id="115" w:name="_Toc15521"/>
      <w:bookmarkStart w:id="116" w:name="_Toc17944"/>
      <w:bookmarkStart w:id="117" w:name="_Toc15133"/>
      <w:bookmarkStart w:id="118" w:name="_Toc15483"/>
      <w:r>
        <w:rPr>
          <w:rFonts w:hint="default" w:ascii="Times New Roman" w:hAnsi="Times New Roman" w:cs="Times New Roman"/>
          <w:color w:val="auto"/>
          <w:sz w:val="28"/>
          <w:szCs w:val="28"/>
          <w:highlight w:val="none"/>
          <w:u w:val="none" w:color="auto"/>
        </w:rPr>
        <w:t>1.4.</w:t>
      </w:r>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生态环境管控符合性分析</w:t>
      </w:r>
      <w:bookmarkEnd w:id="115"/>
      <w:bookmarkEnd w:id="116"/>
      <w:bookmarkEnd w:id="117"/>
      <w:bookmarkEnd w:id="118"/>
    </w:p>
    <w:p w14:paraId="213C97A3">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w:t>
      </w:r>
      <w:r>
        <w:rPr>
          <w:rFonts w:hint="eastAsia"/>
          <w:bCs/>
          <w:color w:val="auto"/>
          <w:sz w:val="24"/>
          <w:u w:val="none" w:color="auto"/>
        </w:rPr>
        <w:t>《岳阳市其他环境管控单元（省级及以上产业园区除外）生态环境准入清单（2023年版）》</w:t>
      </w:r>
      <w:r>
        <w:rPr>
          <w:rFonts w:hint="default" w:ascii="Times New Roman" w:hAnsi="Times New Roman" w:cs="Times New Roman"/>
          <w:color w:val="auto"/>
          <w:sz w:val="24"/>
          <w:szCs w:val="24"/>
          <w:highlight w:val="none"/>
          <w:u w:val="none" w:color="auto"/>
        </w:rPr>
        <w:t>，</w:t>
      </w:r>
      <w:r>
        <w:rPr>
          <w:rFonts w:hint="eastAsia" w:cs="Times New Roman"/>
          <w:color w:val="auto"/>
          <w:sz w:val="24"/>
          <w:szCs w:val="24"/>
          <w:highlight w:val="none"/>
          <w:u w:val="none" w:color="auto"/>
          <w:lang w:eastAsia="zh-CN"/>
        </w:rPr>
        <w:t>本项目位于岳阳市平江县三阳乡，三阳乡为重点管控单元，环境管控单元编码为：ZH43062620001。</w:t>
      </w:r>
    </w:p>
    <w:p w14:paraId="5C72A775">
      <w:pPr>
        <w:topLinePunct w:val="0"/>
        <w:spacing w:line="240" w:lineRule="auto"/>
        <w:ind w:left="0" w:leftChars="0" w:firstLine="0" w:firstLineChars="0"/>
        <w:jc w:val="center"/>
        <w:rPr>
          <w:rFonts w:hint="default" w:ascii="Times New Roman" w:hAnsi="Times New Roman" w:cs="Times New Roman"/>
          <w:b/>
          <w:bCs/>
          <w:color w:val="auto"/>
          <w:kern w:val="0"/>
          <w:sz w:val="21"/>
          <w:szCs w:val="21"/>
          <w:highlight w:val="none"/>
          <w:u w:val="none" w:color="auto"/>
        </w:rPr>
      </w:pPr>
      <w:r>
        <w:rPr>
          <w:rFonts w:hint="default" w:ascii="Times New Roman" w:hAnsi="Times New Roman" w:cs="Times New Roman"/>
          <w:b/>
          <w:bCs/>
          <w:color w:val="auto"/>
          <w:kern w:val="0"/>
          <w:sz w:val="21"/>
          <w:szCs w:val="21"/>
          <w:highlight w:val="none"/>
          <w:u w:val="none" w:color="auto"/>
        </w:rPr>
        <w:t>表1.4-</w:t>
      </w:r>
      <w:r>
        <w:rPr>
          <w:rFonts w:hint="eastAsia" w:cs="Times New Roman"/>
          <w:b/>
          <w:bCs/>
          <w:color w:val="auto"/>
          <w:kern w:val="0"/>
          <w:sz w:val="21"/>
          <w:szCs w:val="21"/>
          <w:highlight w:val="none"/>
          <w:u w:val="none" w:color="auto"/>
          <w:lang w:val="en-US" w:eastAsia="zh-CN"/>
        </w:rPr>
        <w:t xml:space="preserve">3  </w:t>
      </w:r>
      <w:r>
        <w:rPr>
          <w:rFonts w:hint="default" w:ascii="Times New Roman" w:hAnsi="Times New Roman" w:cs="Times New Roman"/>
          <w:b/>
          <w:bCs/>
          <w:color w:val="auto"/>
          <w:kern w:val="0"/>
          <w:sz w:val="21"/>
          <w:szCs w:val="21"/>
          <w:highlight w:val="none"/>
          <w:u w:val="none" w:color="auto"/>
        </w:rPr>
        <w:t>与《岳阳市其他环境管控单元（省级及以上产业园区除外）生态环境准入清单（2023年版）》相符性分析</w:t>
      </w:r>
    </w:p>
    <w:tbl>
      <w:tblPr>
        <w:tblStyle w:val="46"/>
        <w:tblW w:w="9285" w:type="dxa"/>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128"/>
        <w:gridCol w:w="4861"/>
        <w:gridCol w:w="2420"/>
        <w:gridCol w:w="876"/>
      </w:tblGrid>
      <w:tr w14:paraId="36A4F38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0" w:hRule="atLeast"/>
          <w:tblHeader/>
          <w:jc w:val="center"/>
        </w:trPr>
        <w:tc>
          <w:tcPr>
            <w:tcW w:w="1128" w:type="dxa"/>
            <w:tcBorders>
              <w:tl2br w:val="nil"/>
              <w:tr2bl w:val="nil"/>
            </w:tcBorders>
            <w:noWrap w:val="0"/>
            <w:vAlign w:val="center"/>
          </w:tcPr>
          <w:p w14:paraId="0DD4320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sz w:val="21"/>
                <w:szCs w:val="21"/>
                <w:highlight w:val="none"/>
              </w:rPr>
            </w:pPr>
            <w:r>
              <w:rPr>
                <w:rFonts w:hint="default"/>
                <w:b/>
                <w:bCs/>
                <w:sz w:val="21"/>
                <w:szCs w:val="21"/>
                <w:highlight w:val="none"/>
              </w:rPr>
              <w:t>管控维度</w:t>
            </w:r>
          </w:p>
        </w:tc>
        <w:tc>
          <w:tcPr>
            <w:tcW w:w="4861" w:type="dxa"/>
            <w:tcBorders>
              <w:tl2br w:val="nil"/>
              <w:tr2bl w:val="nil"/>
            </w:tcBorders>
            <w:noWrap w:val="0"/>
            <w:vAlign w:val="center"/>
          </w:tcPr>
          <w:p w14:paraId="4092690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sz w:val="21"/>
                <w:szCs w:val="21"/>
                <w:highlight w:val="none"/>
              </w:rPr>
            </w:pPr>
            <w:r>
              <w:rPr>
                <w:rFonts w:hint="default"/>
                <w:b/>
                <w:bCs/>
                <w:sz w:val="21"/>
                <w:szCs w:val="21"/>
                <w:highlight w:val="none"/>
              </w:rPr>
              <w:t>管控要求</w:t>
            </w:r>
          </w:p>
        </w:tc>
        <w:tc>
          <w:tcPr>
            <w:tcW w:w="2420" w:type="dxa"/>
            <w:tcBorders>
              <w:tl2br w:val="nil"/>
              <w:tr2bl w:val="nil"/>
            </w:tcBorders>
            <w:noWrap w:val="0"/>
            <w:vAlign w:val="center"/>
          </w:tcPr>
          <w:p w14:paraId="6700796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sz w:val="21"/>
                <w:szCs w:val="21"/>
                <w:highlight w:val="none"/>
              </w:rPr>
            </w:pPr>
            <w:r>
              <w:rPr>
                <w:rFonts w:hint="default"/>
                <w:b/>
                <w:bCs/>
                <w:sz w:val="21"/>
                <w:szCs w:val="21"/>
                <w:highlight w:val="none"/>
              </w:rPr>
              <w:t>本项目情况分析</w:t>
            </w:r>
          </w:p>
        </w:tc>
        <w:tc>
          <w:tcPr>
            <w:tcW w:w="876" w:type="dxa"/>
            <w:tcBorders>
              <w:tl2br w:val="nil"/>
              <w:tr2bl w:val="nil"/>
            </w:tcBorders>
            <w:noWrap w:val="0"/>
            <w:vAlign w:val="center"/>
          </w:tcPr>
          <w:p w14:paraId="552BEAA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b/>
                <w:bCs/>
                <w:sz w:val="21"/>
                <w:szCs w:val="21"/>
                <w:highlight w:val="none"/>
                <w:lang w:val="en-US" w:eastAsia="zh-CN"/>
              </w:rPr>
            </w:pPr>
            <w:r>
              <w:rPr>
                <w:rFonts w:hint="default"/>
                <w:b/>
                <w:bCs/>
                <w:sz w:val="21"/>
                <w:szCs w:val="21"/>
                <w:highlight w:val="none"/>
              </w:rPr>
              <w:t>符合性</w:t>
            </w:r>
          </w:p>
        </w:tc>
      </w:tr>
      <w:tr w14:paraId="4AEF059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8" w:type="dxa"/>
            <w:tcBorders>
              <w:tl2br w:val="nil"/>
              <w:tr2bl w:val="nil"/>
            </w:tcBorders>
            <w:noWrap w:val="0"/>
            <w:vAlign w:val="center"/>
          </w:tcPr>
          <w:p w14:paraId="1942041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rPr>
              <w:t>空间布局约束</w:t>
            </w:r>
          </w:p>
        </w:tc>
        <w:tc>
          <w:tcPr>
            <w:tcW w:w="4861" w:type="dxa"/>
            <w:tcBorders>
              <w:tl2br w:val="nil"/>
              <w:tr2bl w:val="nil"/>
            </w:tcBorders>
            <w:noWrap w:val="0"/>
            <w:vAlign w:val="center"/>
          </w:tcPr>
          <w:p w14:paraId="4F1EC95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（1.1）强化工业污染治理，引导农副食品加工及食品制造业等开展清洁生产改造。开展环境专项整治行动，建立环境问题清单并限期整改。</w:t>
            </w:r>
          </w:p>
          <w:p w14:paraId="71E8A9D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（1.2）优化调整畜禽养殖结构和布局，开展绿色种养</w:t>
            </w:r>
            <w:r>
              <w:rPr>
                <w:rFonts w:hint="eastAsia"/>
                <w:sz w:val="21"/>
                <w:szCs w:val="21"/>
                <w:highlight w:val="none"/>
                <w:lang w:eastAsia="zh-CN"/>
              </w:rPr>
              <w:t>循环</w:t>
            </w:r>
            <w:r>
              <w:rPr>
                <w:rFonts w:hint="default" w:ascii="Times New Roman" w:eastAsia="宋体"/>
                <w:sz w:val="21"/>
                <w:szCs w:val="21"/>
                <w:highlight w:val="none"/>
              </w:rPr>
              <w:t>农业试点，加强畜禽粪污处理及资源化利用。合理布局水产养殖生产，深入实施水产绿色健康养殖“五大行动”，加快推广示范生态养殖模式，推进水产养殖尾水处理。</w:t>
            </w:r>
          </w:p>
        </w:tc>
        <w:tc>
          <w:tcPr>
            <w:tcW w:w="2420" w:type="dxa"/>
            <w:tcBorders>
              <w:tl2br w:val="nil"/>
              <w:tr2bl w:val="nil"/>
            </w:tcBorders>
            <w:noWrap w:val="0"/>
            <w:vAlign w:val="center"/>
          </w:tcPr>
          <w:p w14:paraId="44593F6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Times New Roman" w:eastAsia="宋体"/>
                <w:sz w:val="21"/>
                <w:szCs w:val="21"/>
                <w:highlight w:val="none"/>
                <w:lang w:eastAsia="zh-CN"/>
              </w:rPr>
            </w:pPr>
            <w:r>
              <w:rPr>
                <w:rFonts w:hint="default" w:ascii="Times New Roman" w:eastAsia="宋体"/>
                <w:sz w:val="21"/>
                <w:szCs w:val="21"/>
                <w:highlight w:val="none"/>
              </w:rPr>
              <w:t>本项目属于历史遗留环境污染综合治理项目，不</w:t>
            </w:r>
            <w:r>
              <w:rPr>
                <w:rFonts w:hint="eastAsia" w:ascii="Times New Roman" w:eastAsia="宋体"/>
                <w:sz w:val="21"/>
                <w:szCs w:val="21"/>
                <w:highlight w:val="none"/>
                <w:lang w:val="en-US" w:eastAsia="zh-CN"/>
              </w:rPr>
              <w:t>涉及农副食品加工及食品制造业，不</w:t>
            </w:r>
            <w:r>
              <w:rPr>
                <w:rFonts w:hint="default" w:ascii="Times New Roman" w:eastAsia="宋体"/>
                <w:sz w:val="21"/>
                <w:szCs w:val="21"/>
                <w:highlight w:val="none"/>
              </w:rPr>
              <w:t>涉及畜禽养殖</w:t>
            </w:r>
            <w:r>
              <w:rPr>
                <w:rFonts w:hint="eastAsia" w:ascii="Times New Roman" w:eastAsia="宋体"/>
                <w:sz w:val="21"/>
                <w:szCs w:val="21"/>
                <w:highlight w:val="none"/>
                <w:lang w:eastAsia="zh-CN"/>
              </w:rPr>
              <w:t>。</w:t>
            </w:r>
          </w:p>
        </w:tc>
        <w:tc>
          <w:tcPr>
            <w:tcW w:w="876" w:type="dxa"/>
            <w:tcBorders>
              <w:tl2br w:val="nil"/>
              <w:tr2bl w:val="nil"/>
            </w:tcBorders>
            <w:noWrap w:val="0"/>
            <w:vAlign w:val="center"/>
          </w:tcPr>
          <w:p w14:paraId="204308C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lang w:val="en-US" w:eastAsia="zh-CN"/>
              </w:rPr>
            </w:pPr>
            <w:r>
              <w:rPr>
                <w:rFonts w:hint="default" w:ascii="Times New Roman" w:eastAsia="宋体"/>
                <w:sz w:val="21"/>
                <w:szCs w:val="21"/>
                <w:highlight w:val="none"/>
                <w:lang w:val="en-US" w:eastAsia="zh-CN"/>
              </w:rPr>
              <w:t>符合</w:t>
            </w:r>
          </w:p>
        </w:tc>
      </w:tr>
      <w:tr w14:paraId="576DB42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8" w:type="dxa"/>
            <w:tcBorders>
              <w:tl2br w:val="nil"/>
              <w:tr2bl w:val="nil"/>
            </w:tcBorders>
            <w:noWrap w:val="0"/>
            <w:vAlign w:val="center"/>
          </w:tcPr>
          <w:p w14:paraId="3DFAF23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rPr>
              <w:t>污染物排放管控</w:t>
            </w:r>
          </w:p>
        </w:tc>
        <w:tc>
          <w:tcPr>
            <w:tcW w:w="4861" w:type="dxa"/>
            <w:tcBorders>
              <w:tl2br w:val="nil"/>
              <w:tr2bl w:val="nil"/>
            </w:tcBorders>
            <w:noWrap w:val="0"/>
            <w:vAlign w:val="center"/>
          </w:tcPr>
          <w:p w14:paraId="3C75F59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b w:val="0"/>
                <w:bCs w:val="0"/>
                <w:sz w:val="21"/>
                <w:szCs w:val="21"/>
                <w:highlight w:val="none"/>
              </w:rPr>
              <w:t>（2.1）废气</w:t>
            </w:r>
            <w:r>
              <w:rPr>
                <w:rFonts w:hint="default" w:ascii="Times New Roman" w:eastAsia="宋体"/>
                <w:sz w:val="21"/>
                <w:szCs w:val="21"/>
                <w:highlight w:val="none"/>
              </w:rPr>
              <w:t>：着力打好污染天气消除攻坚战。坚持源头防控、系统治理，以露天焚烧秸秆、城市扬尘等为重点领域，强化区域协作机制，提升空气质量预测预报能力，全力抓好任务措施实施及落地见效，有效削减各类大气污染物排放。</w:t>
            </w:r>
          </w:p>
          <w:p w14:paraId="7694BE7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lang w:val="en-US" w:eastAsia="zh-CN"/>
              </w:rPr>
            </w:pPr>
            <w:r>
              <w:rPr>
                <w:rFonts w:hint="eastAsia" w:ascii="Times New Roman" w:eastAsia="宋体"/>
                <w:sz w:val="21"/>
                <w:szCs w:val="21"/>
                <w:highlight w:val="none"/>
                <w:lang w:eastAsia="zh-CN"/>
              </w:rPr>
              <w:t>（</w:t>
            </w:r>
            <w:r>
              <w:rPr>
                <w:rFonts w:hint="eastAsia" w:ascii="Times New Roman" w:eastAsia="宋体"/>
                <w:sz w:val="21"/>
                <w:szCs w:val="21"/>
                <w:highlight w:val="none"/>
                <w:lang w:val="en-US" w:eastAsia="zh-CN"/>
              </w:rPr>
              <w:t>2.2</w:t>
            </w:r>
            <w:r>
              <w:rPr>
                <w:rFonts w:hint="eastAsia" w:ascii="Times New Roman" w:eastAsia="宋体"/>
                <w:sz w:val="21"/>
                <w:szCs w:val="21"/>
                <w:highlight w:val="none"/>
                <w:lang w:eastAsia="zh-CN"/>
              </w:rPr>
              <w:t>）</w:t>
            </w:r>
            <w:r>
              <w:rPr>
                <w:rFonts w:hint="eastAsia" w:ascii="Times New Roman" w:eastAsia="宋体"/>
                <w:b w:val="0"/>
                <w:bCs w:val="0"/>
                <w:sz w:val="21"/>
                <w:szCs w:val="21"/>
                <w:highlight w:val="none"/>
                <w:lang w:val="en-US" w:eastAsia="zh-CN"/>
              </w:rPr>
              <w:t>废水：</w:t>
            </w:r>
            <w:r>
              <w:rPr>
                <w:rFonts w:hint="eastAsia" w:ascii="Times New Roman" w:eastAsia="宋体"/>
                <w:sz w:val="21"/>
                <w:szCs w:val="21"/>
                <w:highlight w:val="none"/>
                <w:lang w:val="en-US" w:eastAsia="zh-CN"/>
              </w:rPr>
              <w:t>提升污水收集处理能力。加快建设完善城镇生活污水收集管网，更新修复混错接、漏接、老旧破损管网。因地制宜采取溢流口改造、增设调蓄设施等工程措施推进初期雨水污染控制。</w:t>
            </w:r>
          </w:p>
          <w:p w14:paraId="618168C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lang w:val="en-US" w:eastAsia="zh-CN"/>
              </w:rPr>
            </w:pPr>
            <w:r>
              <w:rPr>
                <w:rFonts w:hint="eastAsia" w:ascii="Times New Roman" w:eastAsia="宋体"/>
                <w:sz w:val="21"/>
                <w:szCs w:val="21"/>
                <w:highlight w:val="none"/>
                <w:lang w:eastAsia="zh-CN"/>
              </w:rPr>
              <w:t>（</w:t>
            </w:r>
            <w:r>
              <w:rPr>
                <w:rFonts w:hint="eastAsia" w:ascii="Times New Roman" w:eastAsia="宋体"/>
                <w:sz w:val="21"/>
                <w:szCs w:val="21"/>
                <w:highlight w:val="none"/>
                <w:lang w:val="en-US" w:eastAsia="zh-CN"/>
              </w:rPr>
              <w:t>2.3</w:t>
            </w:r>
            <w:r>
              <w:rPr>
                <w:rFonts w:hint="eastAsia" w:ascii="Times New Roman" w:eastAsia="宋体"/>
                <w:sz w:val="21"/>
                <w:szCs w:val="21"/>
                <w:highlight w:val="none"/>
                <w:lang w:eastAsia="zh-CN"/>
              </w:rPr>
              <w:t>）</w:t>
            </w:r>
            <w:r>
              <w:rPr>
                <w:rFonts w:hint="eastAsia" w:ascii="Times New Roman" w:eastAsia="宋体"/>
                <w:b w:val="0"/>
                <w:bCs w:val="0"/>
                <w:sz w:val="21"/>
                <w:szCs w:val="21"/>
                <w:highlight w:val="none"/>
                <w:lang w:val="en-US" w:eastAsia="zh-CN"/>
              </w:rPr>
              <w:t>固体废物：</w:t>
            </w:r>
            <w:r>
              <w:rPr>
                <w:rFonts w:hint="eastAsia" w:ascii="Times New Roman" w:eastAsia="宋体"/>
                <w:sz w:val="21"/>
                <w:szCs w:val="21"/>
                <w:highlight w:val="none"/>
                <w:lang w:val="en-US" w:eastAsia="zh-CN"/>
              </w:rPr>
              <w:t>统筹推进农村生活垃圾分类收集，加快推进农村生活垃圾源头分类减量，减少垃圾出村量。完善“户分类、村收集、乡镇转运（直收直运）、县处理”的城乡一体化垃圾收集转运和处置体系建设，强化日常运行维护管理，提升规范化运行水平。</w:t>
            </w:r>
          </w:p>
          <w:p w14:paraId="749E873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lang w:val="en-US" w:eastAsia="zh-CN"/>
              </w:rPr>
            </w:pPr>
            <w:r>
              <w:rPr>
                <w:rFonts w:hint="eastAsia" w:ascii="Times New Roman" w:eastAsia="宋体"/>
                <w:sz w:val="21"/>
                <w:szCs w:val="21"/>
                <w:highlight w:val="none"/>
                <w:lang w:eastAsia="zh-CN"/>
              </w:rPr>
              <w:t>（</w:t>
            </w:r>
            <w:r>
              <w:rPr>
                <w:rFonts w:hint="eastAsia" w:ascii="Times New Roman" w:eastAsia="宋体"/>
                <w:sz w:val="21"/>
                <w:szCs w:val="21"/>
                <w:highlight w:val="none"/>
                <w:lang w:val="en-US" w:eastAsia="zh-CN"/>
              </w:rPr>
              <w:t>2.4</w:t>
            </w:r>
            <w:r>
              <w:rPr>
                <w:rFonts w:hint="eastAsia" w:ascii="Times New Roman" w:eastAsia="宋体"/>
                <w:sz w:val="21"/>
                <w:szCs w:val="21"/>
                <w:highlight w:val="none"/>
                <w:lang w:eastAsia="zh-CN"/>
              </w:rPr>
              <w:t>）</w:t>
            </w:r>
            <w:r>
              <w:rPr>
                <w:rFonts w:hint="eastAsia" w:ascii="Times New Roman" w:eastAsia="宋体"/>
                <w:b w:val="0"/>
                <w:bCs w:val="0"/>
                <w:sz w:val="21"/>
                <w:szCs w:val="21"/>
                <w:highlight w:val="none"/>
                <w:lang w:val="en-US" w:eastAsia="zh-CN"/>
              </w:rPr>
              <w:t>畜禽养殖：</w:t>
            </w:r>
            <w:r>
              <w:rPr>
                <w:rFonts w:hint="eastAsia" w:ascii="Times New Roman" w:eastAsia="宋体"/>
                <w:sz w:val="21"/>
                <w:szCs w:val="21"/>
                <w:highlight w:val="none"/>
                <w:lang w:val="en-US" w:eastAsia="zh-CN"/>
              </w:rPr>
              <w:t>加强畜禽粪污处理及资源化利用。巩固畜禽粪污资源化利用整县推进项目成效，加快推进规模化畜禽养殖场粪污治理设施升级改造；鼓励规模以下畜禽养殖户采用“种养结合”等模式消纳畜禽粪污。到2025年，畜禽粪污综合利用率达到80%以上。</w:t>
            </w:r>
          </w:p>
          <w:p w14:paraId="7EADCA6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lang w:val="en-US" w:eastAsia="zh-CN"/>
              </w:rPr>
            </w:pPr>
            <w:r>
              <w:rPr>
                <w:rFonts w:hint="eastAsia" w:ascii="Times New Roman" w:eastAsia="宋体"/>
                <w:sz w:val="21"/>
                <w:szCs w:val="21"/>
                <w:highlight w:val="none"/>
                <w:lang w:eastAsia="zh-CN"/>
              </w:rPr>
              <w:t>（</w:t>
            </w:r>
            <w:r>
              <w:rPr>
                <w:rFonts w:hint="eastAsia" w:ascii="Times New Roman" w:eastAsia="宋体"/>
                <w:sz w:val="21"/>
                <w:szCs w:val="21"/>
                <w:highlight w:val="none"/>
                <w:lang w:val="en-US" w:eastAsia="zh-CN"/>
              </w:rPr>
              <w:t>2.5</w:t>
            </w:r>
            <w:r>
              <w:rPr>
                <w:rFonts w:hint="eastAsia" w:ascii="Times New Roman" w:eastAsia="宋体"/>
                <w:sz w:val="21"/>
                <w:szCs w:val="21"/>
                <w:highlight w:val="none"/>
                <w:lang w:eastAsia="zh-CN"/>
              </w:rPr>
              <w:t>）</w:t>
            </w:r>
            <w:r>
              <w:rPr>
                <w:rFonts w:hint="eastAsia" w:ascii="Times New Roman" w:eastAsia="宋体"/>
                <w:b w:val="0"/>
                <w:bCs w:val="0"/>
                <w:sz w:val="21"/>
                <w:szCs w:val="21"/>
                <w:highlight w:val="none"/>
                <w:lang w:val="en-US" w:eastAsia="zh-CN"/>
              </w:rPr>
              <w:t>农业面源：</w:t>
            </w:r>
            <w:r>
              <w:rPr>
                <w:rFonts w:hint="eastAsia" w:ascii="Times New Roman" w:eastAsia="宋体"/>
                <w:sz w:val="21"/>
                <w:szCs w:val="21"/>
                <w:highlight w:val="none"/>
                <w:lang w:val="en-US" w:eastAsia="zh-CN"/>
              </w:rPr>
              <w:t>深入推进化肥农药减量增效，依法落实化肥使用总量控制。推进科学用药，提高农药利用率。统筹推进农膜秸秆回收利用，2023年全县农膜回收率和秸秆综合利用率分别达到83%以上和86%以上。</w:t>
            </w:r>
          </w:p>
        </w:tc>
        <w:tc>
          <w:tcPr>
            <w:tcW w:w="2420" w:type="dxa"/>
            <w:tcBorders>
              <w:tl2br w:val="nil"/>
              <w:tr2bl w:val="nil"/>
            </w:tcBorders>
            <w:noWrap w:val="0"/>
            <w:vAlign w:val="center"/>
          </w:tcPr>
          <w:p w14:paraId="17C553F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yellow"/>
                <w:lang w:val="en-US" w:eastAsia="zh-CN"/>
              </w:rPr>
            </w:pPr>
            <w:r>
              <w:rPr>
                <w:rFonts w:hint="default" w:ascii="Times New Roman" w:eastAsia="宋体"/>
                <w:sz w:val="21"/>
                <w:szCs w:val="21"/>
                <w:highlight w:val="none"/>
                <w:lang w:val="en-US" w:eastAsia="zh-CN"/>
              </w:rPr>
              <w:t>本项目属于历史遗留环境污染综合治理项目，</w:t>
            </w:r>
            <w:r>
              <w:rPr>
                <w:rFonts w:hint="eastAsia" w:ascii="Times New Roman" w:eastAsia="宋体"/>
                <w:sz w:val="21"/>
                <w:szCs w:val="21"/>
                <w:highlight w:val="none"/>
                <w:lang w:val="en-US" w:eastAsia="zh-CN"/>
              </w:rPr>
              <w:t>仅施工期涉及施工扬尘，施工结束后影响消失，填埋场封场后</w:t>
            </w:r>
            <w:r>
              <w:rPr>
                <w:rFonts w:hint="default" w:ascii="Times New Roman" w:eastAsia="宋体"/>
                <w:sz w:val="21"/>
                <w:szCs w:val="21"/>
                <w:highlight w:val="none"/>
                <w:lang w:val="en-US" w:eastAsia="zh-CN"/>
              </w:rPr>
              <w:t>不涉及</w:t>
            </w:r>
            <w:r>
              <w:rPr>
                <w:rFonts w:hint="eastAsia" w:ascii="Times New Roman" w:eastAsia="宋体"/>
                <w:sz w:val="21"/>
                <w:szCs w:val="21"/>
                <w:highlight w:val="none"/>
                <w:lang w:val="en-US" w:eastAsia="zh-CN"/>
              </w:rPr>
              <w:t>废气排放，不涉及</w:t>
            </w:r>
            <w:r>
              <w:rPr>
                <w:rFonts w:hint="default" w:ascii="Times New Roman" w:eastAsia="宋体"/>
                <w:sz w:val="21"/>
                <w:szCs w:val="21"/>
                <w:highlight w:val="none"/>
                <w:lang w:val="en-US" w:eastAsia="zh-CN"/>
              </w:rPr>
              <w:t>畜禽养殖</w:t>
            </w:r>
            <w:r>
              <w:rPr>
                <w:rFonts w:hint="eastAsia" w:ascii="Times New Roman" w:eastAsia="宋体"/>
                <w:sz w:val="21"/>
                <w:szCs w:val="21"/>
                <w:highlight w:val="none"/>
                <w:lang w:val="en-US" w:eastAsia="zh-CN"/>
              </w:rPr>
              <w:t>和农业面源污染</w:t>
            </w:r>
            <w:r>
              <w:rPr>
                <w:rFonts w:hint="default" w:ascii="Times New Roman" w:eastAsia="宋体"/>
                <w:sz w:val="21"/>
                <w:szCs w:val="21"/>
                <w:highlight w:val="none"/>
                <w:lang w:val="en-US" w:eastAsia="zh-CN"/>
              </w:rPr>
              <w:t>，不属于工业项目。项目施工废水处理达标后用于洒水抑尘等；</w:t>
            </w:r>
            <w:r>
              <w:rPr>
                <w:rFonts w:hint="eastAsia" w:ascii="Times New Roman" w:eastAsia="宋体"/>
                <w:sz w:val="21"/>
                <w:szCs w:val="21"/>
                <w:highlight w:val="none"/>
                <w:lang w:val="en-US" w:eastAsia="zh-CN"/>
              </w:rPr>
              <w:t>填埋场</w:t>
            </w:r>
            <w:r>
              <w:rPr>
                <w:rFonts w:hint="default" w:ascii="Times New Roman" w:eastAsia="宋体"/>
                <w:sz w:val="21"/>
                <w:szCs w:val="21"/>
                <w:highlight w:val="none"/>
                <w:lang w:val="en-US" w:eastAsia="zh-CN"/>
              </w:rPr>
              <w:t>渗滤液</w:t>
            </w:r>
            <w:r>
              <w:rPr>
                <w:rFonts w:hint="eastAsia" w:ascii="Times New Roman" w:eastAsia="宋体"/>
                <w:sz w:val="21"/>
                <w:szCs w:val="21"/>
                <w:highlight w:val="none"/>
                <w:lang w:val="en-US" w:eastAsia="zh-CN"/>
              </w:rPr>
              <w:t>及淋溶水经一体化污水处理装置处理后</w:t>
            </w:r>
            <w:r>
              <w:rPr>
                <w:rFonts w:hint="default" w:ascii="Times New Roman" w:eastAsia="宋体"/>
                <w:sz w:val="21"/>
                <w:szCs w:val="21"/>
                <w:highlight w:val="none"/>
                <w:lang w:val="en-US" w:eastAsia="zh-CN"/>
              </w:rPr>
              <w:t>运至湖南黄金天岳矿业有限公司垂拱洞尾矿库废水处理站处理。清理出的废渣均进行填埋处置</w:t>
            </w:r>
          </w:p>
        </w:tc>
        <w:tc>
          <w:tcPr>
            <w:tcW w:w="876" w:type="dxa"/>
            <w:tcBorders>
              <w:tl2br w:val="nil"/>
              <w:tr2bl w:val="nil"/>
            </w:tcBorders>
            <w:noWrap w:val="0"/>
            <w:vAlign w:val="center"/>
          </w:tcPr>
          <w:p w14:paraId="5292C5F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lang w:val="en-US" w:eastAsia="zh-CN"/>
              </w:rPr>
              <w:t>符合</w:t>
            </w:r>
          </w:p>
        </w:tc>
      </w:tr>
      <w:tr w14:paraId="0CB3D7C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8" w:type="dxa"/>
            <w:tcBorders>
              <w:tl2br w:val="nil"/>
              <w:tr2bl w:val="nil"/>
            </w:tcBorders>
            <w:noWrap w:val="0"/>
            <w:vAlign w:val="center"/>
          </w:tcPr>
          <w:p w14:paraId="4D5260E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rPr>
              <w:t>环境风险防控</w:t>
            </w:r>
          </w:p>
        </w:tc>
        <w:tc>
          <w:tcPr>
            <w:tcW w:w="4861" w:type="dxa"/>
            <w:tcBorders>
              <w:tl2br w:val="nil"/>
              <w:tr2bl w:val="nil"/>
            </w:tcBorders>
            <w:noWrap w:val="0"/>
            <w:vAlign w:val="center"/>
          </w:tcPr>
          <w:p w14:paraId="7B9CEAD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3.1）推进农用地土壤污染防治和安全利用。配合省生态环境厅开展受污染耕地土壤重金属成因排查试点，督促开展污染源头风险管控。落实2023年受污染耕地安全利用任务，严格分类管理，建立管理清单，确保受污染耕地安全利用率达到90%。</w:t>
            </w:r>
          </w:p>
          <w:p w14:paraId="67ABEDF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（3.2）加强地下水污染协同防治。强化在产企业土壤和地下水污染源头管控，启动地下水污染防治重点区划定工作，加强地下水环境监测监管能力建设，推进地下水污染预防、风险管控与修复试点。</w:t>
            </w:r>
          </w:p>
        </w:tc>
        <w:tc>
          <w:tcPr>
            <w:tcW w:w="2420" w:type="dxa"/>
            <w:tcBorders>
              <w:tl2br w:val="nil"/>
              <w:tr2bl w:val="nil"/>
            </w:tcBorders>
            <w:noWrap w:val="0"/>
            <w:vAlign w:val="center"/>
          </w:tcPr>
          <w:p w14:paraId="66D1E23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rPr>
              <w:t>本项目属于历史遗留环境污染综合治理项目，按照《一般工业固体废物贮存和填埋污染控制标准》（GB</w:t>
            </w:r>
            <w:r>
              <w:rPr>
                <w:rFonts w:hint="eastAsia" w:ascii="Times New Roman" w:eastAsia="宋体"/>
                <w:sz w:val="21"/>
                <w:szCs w:val="21"/>
                <w:highlight w:val="none"/>
                <w:lang w:val="en-US" w:eastAsia="zh-CN"/>
              </w:rPr>
              <w:t xml:space="preserve"> </w:t>
            </w:r>
            <w:r>
              <w:rPr>
                <w:rFonts w:hint="default" w:ascii="Times New Roman" w:eastAsia="宋体"/>
                <w:sz w:val="21"/>
                <w:szCs w:val="21"/>
                <w:highlight w:val="none"/>
              </w:rPr>
              <w:t>18599-2020）要求建设一座填埋场对遗留废渣进行填埋</w:t>
            </w:r>
            <w:r>
              <w:rPr>
                <w:rFonts w:hint="eastAsia" w:ascii="Times New Roman" w:eastAsia="宋体"/>
                <w:sz w:val="21"/>
                <w:szCs w:val="21"/>
                <w:highlight w:val="none"/>
                <w:lang w:eastAsia="zh-CN"/>
              </w:rPr>
              <w:t>，</w:t>
            </w:r>
            <w:r>
              <w:rPr>
                <w:rFonts w:hint="eastAsia" w:ascii="Times New Roman" w:eastAsia="宋体"/>
                <w:sz w:val="21"/>
                <w:szCs w:val="21"/>
                <w:highlight w:val="none"/>
                <w:lang w:val="en-US" w:eastAsia="zh-CN"/>
              </w:rPr>
              <w:t>保护周边耕地及防治地下水污染</w:t>
            </w:r>
          </w:p>
        </w:tc>
        <w:tc>
          <w:tcPr>
            <w:tcW w:w="876" w:type="dxa"/>
            <w:tcBorders>
              <w:tl2br w:val="nil"/>
              <w:tr2bl w:val="nil"/>
            </w:tcBorders>
            <w:noWrap w:val="0"/>
            <w:vAlign w:val="center"/>
          </w:tcPr>
          <w:p w14:paraId="30C5FD9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lang w:val="en-US" w:eastAsia="zh-CN"/>
              </w:rPr>
              <w:t>符合</w:t>
            </w:r>
          </w:p>
        </w:tc>
      </w:tr>
      <w:tr w14:paraId="5041F8F6">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1128" w:type="dxa"/>
            <w:tcBorders>
              <w:tl2br w:val="nil"/>
              <w:tr2bl w:val="nil"/>
            </w:tcBorders>
            <w:noWrap w:val="0"/>
            <w:vAlign w:val="center"/>
          </w:tcPr>
          <w:p w14:paraId="5D0D730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lang w:val="en-US" w:eastAsia="zh-CN"/>
              </w:rPr>
            </w:pPr>
            <w:r>
              <w:rPr>
                <w:rFonts w:hint="default" w:ascii="Times New Roman" w:eastAsia="宋体"/>
                <w:sz w:val="21"/>
                <w:szCs w:val="21"/>
                <w:highlight w:val="none"/>
              </w:rPr>
              <w:t>资源开发效率要求</w:t>
            </w:r>
          </w:p>
        </w:tc>
        <w:tc>
          <w:tcPr>
            <w:tcW w:w="4861" w:type="dxa"/>
            <w:tcBorders>
              <w:tl2br w:val="nil"/>
              <w:tr2bl w:val="nil"/>
            </w:tcBorders>
            <w:noWrap w:val="0"/>
            <w:vAlign w:val="center"/>
          </w:tcPr>
          <w:p w14:paraId="2AA4316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（4.1）水资源：平江县2025年用水总量3.905亿立方米，万元地区生产总值用水量比2020年下降25.05%，万元工业增加值用水量比2020年下降17.51%，农田灌溉水有效利用系数0.58。</w:t>
            </w:r>
          </w:p>
          <w:p w14:paraId="5D7EDB2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（4.2）能源：平江县</w:t>
            </w:r>
            <w:r>
              <w:rPr>
                <w:rFonts w:hint="eastAsia" w:ascii="Times New Roman" w:hAnsi="宋体" w:eastAsia="宋体" w:cs="宋体"/>
                <w:sz w:val="21"/>
                <w:szCs w:val="21"/>
                <w:highlight w:val="none"/>
              </w:rPr>
              <w:t>“十四五”</w:t>
            </w:r>
            <w:r>
              <w:rPr>
                <w:rFonts w:hint="default" w:ascii="Times New Roman" w:eastAsia="宋体"/>
                <w:sz w:val="21"/>
                <w:szCs w:val="21"/>
                <w:highlight w:val="none"/>
              </w:rPr>
              <w:t>时期能耗强度降低基本目标14.5%，激励目标15%。</w:t>
            </w:r>
          </w:p>
          <w:p w14:paraId="7EE7FE9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（4.3）土地资源：</w:t>
            </w:r>
          </w:p>
          <w:p w14:paraId="653CB32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default" w:ascii="Times New Roman" w:eastAsia="宋体"/>
                <w:sz w:val="21"/>
                <w:szCs w:val="21"/>
                <w:highlight w:val="none"/>
              </w:rPr>
            </w:pPr>
            <w:r>
              <w:rPr>
                <w:rFonts w:hint="default" w:ascii="Times New Roman" w:eastAsia="宋体"/>
                <w:sz w:val="21"/>
                <w:szCs w:val="21"/>
                <w:highlight w:val="none"/>
              </w:rPr>
              <w:t>安定镇：耕地保护目标56332.99亩，永久基本农田保护面积51626.82亩。安定镇生态保护红线面积2743.98公顷，城镇开发边界规模412.50公顷，村庄建设用地规模1661.85公顷。</w:t>
            </w:r>
          </w:p>
          <w:p w14:paraId="120825A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left"/>
              <w:textAlignment w:val="auto"/>
              <w:rPr>
                <w:rFonts w:hint="eastAsia" w:ascii="Times New Roman" w:eastAsia="宋体"/>
                <w:sz w:val="21"/>
                <w:szCs w:val="21"/>
                <w:highlight w:val="yellow"/>
                <w:lang w:eastAsia="zh-CN"/>
              </w:rPr>
            </w:pPr>
            <w:r>
              <w:rPr>
                <w:rFonts w:hint="default" w:ascii="Times New Roman" w:eastAsia="宋体"/>
                <w:sz w:val="21"/>
                <w:szCs w:val="21"/>
                <w:highlight w:val="none"/>
              </w:rPr>
              <w:t>三阳乡：耕地保护目标14501.03亩，永久基本农田保护面积13348.92亩。三阳乡生态保护红线面积1065.81公顷，城镇开发边界规模6.62公顷，村庄建设用地规模486.33公顷。</w:t>
            </w:r>
          </w:p>
        </w:tc>
        <w:tc>
          <w:tcPr>
            <w:tcW w:w="2420" w:type="dxa"/>
            <w:tcBorders>
              <w:tl2br w:val="nil"/>
              <w:tr2bl w:val="nil"/>
            </w:tcBorders>
            <w:noWrap w:val="0"/>
            <w:vAlign w:val="center"/>
          </w:tcPr>
          <w:p w14:paraId="4E4667A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lang w:val="en-US" w:eastAsia="zh-CN"/>
              </w:rPr>
            </w:pPr>
            <w:r>
              <w:rPr>
                <w:rFonts w:hint="default" w:ascii="Times New Roman" w:eastAsia="宋体"/>
                <w:sz w:val="21"/>
                <w:szCs w:val="21"/>
                <w:highlight w:val="none"/>
              </w:rPr>
              <w:t>本项目属于历史遗留环境污染综合治理项目，</w:t>
            </w:r>
            <w:r>
              <w:rPr>
                <w:rFonts w:hint="eastAsia" w:ascii="Times New Roman" w:eastAsia="宋体"/>
                <w:sz w:val="21"/>
                <w:szCs w:val="21"/>
                <w:highlight w:val="none"/>
                <w:lang w:val="en-US" w:eastAsia="zh-CN"/>
              </w:rPr>
              <w:t>不涉及</w:t>
            </w:r>
            <w:r>
              <w:rPr>
                <w:rFonts w:hint="eastAsia"/>
                <w:sz w:val="21"/>
                <w:szCs w:val="21"/>
                <w:highlight w:val="none"/>
                <w:lang w:val="en-US" w:eastAsia="zh-CN"/>
              </w:rPr>
              <w:t>所</w:t>
            </w:r>
            <w:r>
              <w:rPr>
                <w:rFonts w:hint="eastAsia" w:ascii="Times New Roman" w:eastAsia="宋体"/>
                <w:sz w:val="21"/>
                <w:szCs w:val="21"/>
                <w:highlight w:val="none"/>
                <w:lang w:val="en-US" w:eastAsia="zh-CN"/>
              </w:rPr>
              <w:t>述资源开发效率要求</w:t>
            </w:r>
          </w:p>
        </w:tc>
        <w:tc>
          <w:tcPr>
            <w:tcW w:w="876" w:type="dxa"/>
            <w:tcBorders>
              <w:tl2br w:val="nil"/>
              <w:tr2bl w:val="nil"/>
            </w:tcBorders>
            <w:noWrap w:val="0"/>
            <w:vAlign w:val="center"/>
          </w:tcPr>
          <w:p w14:paraId="50E7140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eastAsia="宋体"/>
                <w:sz w:val="21"/>
                <w:szCs w:val="21"/>
                <w:highlight w:val="none"/>
              </w:rPr>
            </w:pPr>
            <w:r>
              <w:rPr>
                <w:rFonts w:hint="default" w:ascii="Times New Roman" w:eastAsia="宋体"/>
                <w:sz w:val="21"/>
                <w:szCs w:val="21"/>
                <w:highlight w:val="none"/>
                <w:lang w:val="en-US" w:eastAsia="zh-CN"/>
              </w:rPr>
              <w:t>符合</w:t>
            </w:r>
          </w:p>
        </w:tc>
      </w:tr>
    </w:tbl>
    <w:p w14:paraId="3A2493AF">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根据上表可以看出，</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符合</w:t>
      </w:r>
      <w:r>
        <w:rPr>
          <w:rFonts w:hint="eastAsia"/>
          <w:bCs/>
          <w:color w:val="auto"/>
          <w:sz w:val="24"/>
          <w:u w:val="none" w:color="auto"/>
        </w:rPr>
        <w:t>《岳阳市其他环境管控单元（省级及以上产业园区除外）生态环境准入清单（2023年版）》</w:t>
      </w:r>
      <w:r>
        <w:rPr>
          <w:rFonts w:hint="default" w:ascii="Times New Roman" w:hAnsi="Times New Roman" w:cs="Times New Roman"/>
          <w:color w:val="auto"/>
          <w:sz w:val="24"/>
          <w:szCs w:val="24"/>
          <w:highlight w:val="none"/>
          <w:u w:val="none" w:color="auto"/>
        </w:rPr>
        <w:t>中的相关要求。</w:t>
      </w:r>
    </w:p>
    <w:p w14:paraId="43C712DE">
      <w:pPr>
        <w:pStyle w:val="4"/>
        <w:keepNext w:val="0"/>
        <w:keepLines w:val="0"/>
        <w:pageBreakBefore w:val="0"/>
        <w:widowControl w:val="0"/>
        <w:numPr>
          <w:ilvl w:val="2"/>
          <w:numId w:val="0"/>
        </w:numPr>
        <w:kinsoku/>
        <w:wordWrap w:val="0"/>
        <w:overflowPunct/>
        <w:topLinePunct w:val="0"/>
        <w:autoSpaceDE/>
        <w:autoSpaceDN/>
        <w:bidi w:val="0"/>
        <w:adjustRightInd/>
        <w:snapToGrid/>
        <w:spacing w:before="0" w:beforeLines="0" w:after="0" w:afterLines="0" w:line="240" w:lineRule="auto"/>
        <w:textAlignment w:val="auto"/>
        <w:rPr>
          <w:rFonts w:hint="default" w:ascii="Times New Roman" w:hAnsi="Times New Roman" w:cs="Times New Roman"/>
          <w:color w:val="auto"/>
          <w:sz w:val="28"/>
          <w:szCs w:val="28"/>
          <w:highlight w:val="none"/>
          <w:u w:val="none" w:color="auto"/>
        </w:rPr>
      </w:pPr>
      <w:bookmarkStart w:id="119" w:name="_Toc20576"/>
      <w:bookmarkStart w:id="120" w:name="_Toc24001"/>
      <w:bookmarkStart w:id="121" w:name="_Toc31503"/>
      <w:bookmarkStart w:id="122" w:name="_Toc11488"/>
      <w:r>
        <w:rPr>
          <w:rFonts w:hint="default" w:ascii="Times New Roman" w:hAnsi="Times New Roman" w:cs="Times New Roman"/>
          <w:color w:val="auto"/>
          <w:sz w:val="28"/>
          <w:szCs w:val="28"/>
          <w:highlight w:val="none"/>
          <w:u w:val="none" w:color="auto"/>
        </w:rPr>
        <w:t>1.4.</w:t>
      </w:r>
      <w:r>
        <w:rPr>
          <w:rFonts w:hint="eastAsia" w:cs="Times New Roman"/>
          <w:color w:val="auto"/>
          <w:sz w:val="28"/>
          <w:szCs w:val="28"/>
          <w:highlight w:val="none"/>
          <w:u w:val="none" w:color="auto"/>
          <w:lang w:val="en-US" w:eastAsia="zh-CN"/>
        </w:rPr>
        <w:t>5</w:t>
      </w:r>
      <w:r>
        <w:rPr>
          <w:rFonts w:hint="default" w:ascii="Times New Roman" w:hAnsi="Times New Roman" w:cs="Times New Roman"/>
          <w:color w:val="auto"/>
          <w:sz w:val="28"/>
          <w:szCs w:val="28"/>
          <w:highlight w:val="none"/>
          <w:u w:val="none" w:color="auto"/>
        </w:rPr>
        <w:t>与环保政策符合性分析</w:t>
      </w:r>
      <w:bookmarkEnd w:id="119"/>
      <w:bookmarkEnd w:id="120"/>
      <w:bookmarkEnd w:id="121"/>
      <w:bookmarkEnd w:id="122"/>
    </w:p>
    <w:p w14:paraId="64AECF02">
      <w:pPr>
        <w:keepNext w:val="0"/>
        <w:keepLines w:val="0"/>
        <w:pageBreakBefore w:val="0"/>
        <w:widowControl w:val="0"/>
        <w:kinsoku/>
        <w:wordWrap w:val="0"/>
        <w:overflowPunct/>
        <w:topLinePunct w:val="0"/>
        <w:autoSpaceDE/>
        <w:autoSpaceDN/>
        <w:bidi w:val="0"/>
        <w:adjustRightInd/>
        <w:snapToGrid/>
        <w:ind w:firstLine="0" w:firstLineChars="0"/>
        <w:textAlignment w:val="auto"/>
        <w:outlineLvl w:val="3"/>
        <w:rPr>
          <w:rFonts w:hint="default" w:ascii="Times New Roman" w:hAnsi="Times New Roman" w:cs="Times New Roman"/>
          <w:b/>
          <w:bCs/>
          <w:color w:val="auto"/>
          <w:sz w:val="24"/>
          <w:szCs w:val="24"/>
          <w:highlight w:val="none"/>
          <w:u w:val="none" w:color="auto"/>
        </w:rPr>
      </w:pPr>
      <w:r>
        <w:rPr>
          <w:rFonts w:hint="default" w:ascii="Times New Roman" w:hAnsi="Times New Roman" w:cs="Times New Roman"/>
          <w:b/>
          <w:bCs/>
          <w:color w:val="auto"/>
          <w:sz w:val="24"/>
          <w:szCs w:val="24"/>
          <w:highlight w:val="none"/>
          <w:u w:val="none" w:color="auto"/>
        </w:rPr>
        <w:t>1.4.</w:t>
      </w:r>
      <w:r>
        <w:rPr>
          <w:rFonts w:hint="eastAsia" w:cs="Times New Roman"/>
          <w:b/>
          <w:bCs/>
          <w:color w:val="auto"/>
          <w:sz w:val="24"/>
          <w:szCs w:val="24"/>
          <w:highlight w:val="none"/>
          <w:u w:val="none" w:color="auto"/>
          <w:lang w:val="en-US" w:eastAsia="zh-CN"/>
        </w:rPr>
        <w:t>5</w:t>
      </w:r>
      <w:r>
        <w:rPr>
          <w:rFonts w:hint="default" w:ascii="Times New Roman" w:hAnsi="Times New Roman" w:cs="Times New Roman"/>
          <w:b/>
          <w:bCs/>
          <w:color w:val="auto"/>
          <w:sz w:val="24"/>
          <w:szCs w:val="24"/>
          <w:highlight w:val="none"/>
          <w:u w:val="none" w:color="auto"/>
        </w:rPr>
        <w:t>.1与《中华人民共和国森林法》（2019年12月18日修订）符合性分析</w:t>
      </w:r>
    </w:p>
    <w:p w14:paraId="6766B3E4">
      <w:pPr>
        <w:topLinePunct w:val="0"/>
        <w:ind w:firstLine="480"/>
        <w:rPr>
          <w:rFonts w:hint="default" w:ascii="Times New Roman" w:hAnsi="Times New Roman" w:cs="Times New Roman"/>
          <w:color w:val="auto"/>
          <w:sz w:val="24"/>
          <w:szCs w:val="24"/>
          <w:highlight w:val="none"/>
          <w:u w:val="none" w:color="auto"/>
          <w:lang w:eastAsia="zh-CN"/>
        </w:rPr>
      </w:pPr>
      <w:r>
        <w:rPr>
          <w:rFonts w:hint="eastAsia" w:cs="Times New Roman"/>
          <w:color w:val="auto"/>
          <w:sz w:val="24"/>
          <w:szCs w:val="24"/>
          <w:highlight w:val="none"/>
          <w:u w:val="none" w:color="auto"/>
          <w:lang w:eastAsia="zh-CN"/>
        </w:rPr>
        <w:t>本项目</w:t>
      </w:r>
      <w:r>
        <w:rPr>
          <w:rFonts w:hint="eastAsia" w:ascii="Times New Roman" w:hAnsi="Times New Roman" w:eastAsia="宋体" w:cs="Times New Roman"/>
          <w:color w:val="auto"/>
          <w:sz w:val="24"/>
          <w:szCs w:val="24"/>
          <w:highlight w:val="none"/>
          <w:u w:val="none" w:color="auto"/>
          <w:lang w:val="en-US" w:eastAsia="zh-CN"/>
        </w:rPr>
        <w:t>与《中华人民共和国森林法》（2019年12月18日修订）符合性分析</w:t>
      </w:r>
      <w:r>
        <w:rPr>
          <w:rFonts w:hint="eastAsia" w:cs="Times New Roman"/>
          <w:color w:val="auto"/>
          <w:sz w:val="24"/>
          <w:szCs w:val="24"/>
          <w:highlight w:val="none"/>
          <w:u w:val="none" w:color="auto"/>
          <w:lang w:val="en-US" w:eastAsia="zh-CN"/>
        </w:rPr>
        <w:t>见下表</w:t>
      </w:r>
      <w:r>
        <w:rPr>
          <w:rFonts w:hint="default" w:ascii="Times New Roman" w:hAnsi="Times New Roman" w:cs="Times New Roman"/>
          <w:color w:val="auto"/>
          <w:sz w:val="24"/>
          <w:szCs w:val="24"/>
          <w:highlight w:val="none"/>
          <w:u w:val="none" w:color="auto"/>
          <w:lang w:eastAsia="zh-CN"/>
        </w:rPr>
        <w:t>。</w:t>
      </w:r>
    </w:p>
    <w:p w14:paraId="517151FE">
      <w:pPr>
        <w:spacing w:line="300" w:lineRule="exact"/>
        <w:ind w:firstLine="0" w:firstLineChars="0"/>
        <w:jc w:val="center"/>
        <w:rPr>
          <w:b/>
          <w:color w:val="auto"/>
          <w:sz w:val="21"/>
          <w:szCs w:val="21"/>
          <w:u w:val="none" w:color="auto"/>
        </w:rPr>
      </w:pPr>
      <w:r>
        <w:rPr>
          <w:b/>
          <w:color w:val="auto"/>
          <w:sz w:val="21"/>
          <w:szCs w:val="21"/>
          <w:u w:val="none" w:color="auto"/>
        </w:rPr>
        <w:t>表</w:t>
      </w:r>
      <w:r>
        <w:rPr>
          <w:rFonts w:hint="eastAsia"/>
          <w:b/>
          <w:color w:val="auto"/>
          <w:sz w:val="21"/>
          <w:szCs w:val="21"/>
          <w:u w:val="none" w:color="auto"/>
        </w:rPr>
        <w:t>1.4-</w:t>
      </w:r>
      <w:r>
        <w:rPr>
          <w:rFonts w:hint="eastAsia"/>
          <w:b/>
          <w:color w:val="auto"/>
          <w:sz w:val="21"/>
          <w:szCs w:val="21"/>
          <w:u w:val="none" w:color="auto"/>
          <w:lang w:val="en-US" w:eastAsia="zh-CN"/>
        </w:rPr>
        <w:t xml:space="preserve">4  </w:t>
      </w:r>
      <w:r>
        <w:rPr>
          <w:b/>
          <w:color w:val="auto"/>
          <w:sz w:val="21"/>
          <w:szCs w:val="21"/>
          <w:u w:val="none" w:color="auto"/>
        </w:rPr>
        <w:t>与</w:t>
      </w:r>
      <w:r>
        <w:rPr>
          <w:rFonts w:hint="eastAsia"/>
          <w:b/>
          <w:color w:val="auto"/>
          <w:sz w:val="21"/>
          <w:szCs w:val="21"/>
          <w:u w:val="none" w:color="auto"/>
        </w:rPr>
        <w:t>《中华人民共和国森林法》（2019年12月18日修订）</w:t>
      </w:r>
      <w:r>
        <w:rPr>
          <w:b/>
          <w:color w:val="auto"/>
          <w:sz w:val="21"/>
          <w:szCs w:val="21"/>
          <w:u w:val="none" w:color="auto"/>
        </w:rPr>
        <w:t>的相符性一览表</w:t>
      </w:r>
    </w:p>
    <w:tbl>
      <w:tblPr>
        <w:tblStyle w:val="111"/>
        <w:tblW w:w="5078" w:type="pct"/>
        <w:tblInd w:w="0" w:type="dxa"/>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autofit"/>
        <w:tblCellMar>
          <w:top w:w="0" w:type="dxa"/>
          <w:left w:w="0" w:type="dxa"/>
          <w:bottom w:w="0" w:type="dxa"/>
          <w:right w:w="0" w:type="dxa"/>
        </w:tblCellMar>
      </w:tblPr>
      <w:tblGrid>
        <w:gridCol w:w="633"/>
        <w:gridCol w:w="4835"/>
        <w:gridCol w:w="2920"/>
        <w:gridCol w:w="860"/>
      </w:tblGrid>
      <w:tr w14:paraId="1F8E5AFC">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blHeader/>
        </w:trPr>
        <w:tc>
          <w:tcPr>
            <w:tcW w:w="342" w:type="pct"/>
            <w:vAlign w:val="center"/>
          </w:tcPr>
          <w:p w14:paraId="67ED6CD2">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序号</w:t>
            </w:r>
          </w:p>
        </w:tc>
        <w:tc>
          <w:tcPr>
            <w:tcW w:w="2613" w:type="pct"/>
            <w:vAlign w:val="center"/>
          </w:tcPr>
          <w:p w14:paraId="0088CBBE">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文件要求</w:t>
            </w:r>
          </w:p>
        </w:tc>
        <w:tc>
          <w:tcPr>
            <w:tcW w:w="1578" w:type="pct"/>
            <w:vAlign w:val="center"/>
          </w:tcPr>
          <w:p w14:paraId="061A0BDD">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拟建项目情况</w:t>
            </w:r>
          </w:p>
        </w:tc>
        <w:tc>
          <w:tcPr>
            <w:tcW w:w="465" w:type="pct"/>
            <w:vAlign w:val="center"/>
          </w:tcPr>
          <w:p w14:paraId="748FE4E2">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符合性</w:t>
            </w:r>
          </w:p>
        </w:tc>
      </w:tr>
      <w:tr w14:paraId="5ADBC71A">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2" w:type="pct"/>
            <w:vAlign w:val="center"/>
          </w:tcPr>
          <w:p w14:paraId="249CF65A">
            <w:pPr>
              <w:spacing w:line="240" w:lineRule="auto"/>
              <w:ind w:left="0" w:leftChars="0" w:firstLine="0" w:firstLineChars="0"/>
              <w:jc w:val="center"/>
              <w:rPr>
                <w:rFonts w:hint="default"/>
                <w:sz w:val="21"/>
                <w:szCs w:val="21"/>
                <w:highlight w:val="none"/>
                <w:u w:val="none"/>
                <w:lang w:val="en-US" w:eastAsia="zh-CN"/>
              </w:rPr>
            </w:pPr>
            <w:r>
              <w:rPr>
                <w:rFonts w:hint="eastAsia"/>
                <w:sz w:val="21"/>
                <w:szCs w:val="21"/>
                <w:highlight w:val="none"/>
                <w:u w:val="none"/>
                <w:lang w:val="en-US" w:eastAsia="zh-CN"/>
              </w:rPr>
              <w:t>1</w:t>
            </w:r>
          </w:p>
        </w:tc>
        <w:tc>
          <w:tcPr>
            <w:tcW w:w="2613" w:type="pct"/>
            <w:vAlign w:val="center"/>
          </w:tcPr>
          <w:p w14:paraId="61F8BB17">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国家实行天然林全面保护制度，严格限制天然林采伐，加强天然林管护能力建设，保护和修复天然林资源，逐步提高天然林生态功能。</w:t>
            </w:r>
          </w:p>
        </w:tc>
        <w:tc>
          <w:tcPr>
            <w:tcW w:w="1578" w:type="pct"/>
            <w:vAlign w:val="center"/>
          </w:tcPr>
          <w:p w14:paraId="585B7C6A">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根据三阳乡林业工作站的林业属性查询说明，本项目不涉及天然商品林、公益林，详见附件11。</w:t>
            </w:r>
          </w:p>
        </w:tc>
        <w:tc>
          <w:tcPr>
            <w:tcW w:w="465" w:type="pct"/>
            <w:vAlign w:val="center"/>
          </w:tcPr>
          <w:p w14:paraId="3BE09974">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符合</w:t>
            </w:r>
          </w:p>
        </w:tc>
      </w:tr>
      <w:tr w14:paraId="5DD3F2A3">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2" w:type="pct"/>
            <w:vAlign w:val="center"/>
          </w:tcPr>
          <w:p w14:paraId="44EECE18">
            <w:pPr>
              <w:spacing w:line="240" w:lineRule="auto"/>
              <w:ind w:left="0" w:leftChars="0" w:firstLine="0" w:firstLineChars="0"/>
              <w:jc w:val="center"/>
              <w:rPr>
                <w:rFonts w:hint="default"/>
                <w:sz w:val="21"/>
                <w:szCs w:val="21"/>
                <w:highlight w:val="none"/>
                <w:u w:val="none"/>
                <w:lang w:val="en-US" w:eastAsia="zh-CN"/>
              </w:rPr>
            </w:pPr>
            <w:r>
              <w:rPr>
                <w:rFonts w:hint="eastAsia"/>
                <w:sz w:val="21"/>
                <w:szCs w:val="21"/>
                <w:highlight w:val="none"/>
                <w:u w:val="none"/>
                <w:lang w:val="en-US" w:eastAsia="zh-CN"/>
              </w:rPr>
              <w:t>2</w:t>
            </w:r>
          </w:p>
        </w:tc>
        <w:tc>
          <w:tcPr>
            <w:tcW w:w="2613" w:type="pct"/>
            <w:vAlign w:val="center"/>
          </w:tcPr>
          <w:p w14:paraId="1BD8D163">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矿藏勘查、开采以及其他各类工程建设，应当不占或者少占林地；确需占用林地的，应当经县级以上人民政府林业主管部门审核同意，依法办理建设用地审批手续。</w:t>
            </w:r>
          </w:p>
        </w:tc>
        <w:tc>
          <w:tcPr>
            <w:tcW w:w="1578" w:type="pct"/>
            <w:vAlign w:val="center"/>
          </w:tcPr>
          <w:p w14:paraId="54983B87">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本项目为采取填埋方式对固体废物进行治理的项目，目前平江县林业局的手续正在办理中。</w:t>
            </w:r>
          </w:p>
        </w:tc>
        <w:tc>
          <w:tcPr>
            <w:tcW w:w="465" w:type="pct"/>
            <w:vAlign w:val="center"/>
          </w:tcPr>
          <w:p w14:paraId="188143E8">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38B1CE35">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2" w:type="pct"/>
            <w:vAlign w:val="center"/>
          </w:tcPr>
          <w:p w14:paraId="2EC2FB81">
            <w:pPr>
              <w:spacing w:line="240" w:lineRule="auto"/>
              <w:ind w:left="0" w:leftChars="0" w:firstLine="0" w:firstLineChars="0"/>
              <w:jc w:val="center"/>
              <w:rPr>
                <w:rFonts w:hint="default"/>
                <w:sz w:val="21"/>
                <w:szCs w:val="21"/>
                <w:highlight w:val="none"/>
                <w:u w:val="none"/>
                <w:lang w:val="en-US" w:eastAsia="zh-CN"/>
              </w:rPr>
            </w:pPr>
            <w:r>
              <w:rPr>
                <w:rFonts w:hint="eastAsia"/>
                <w:sz w:val="21"/>
                <w:szCs w:val="21"/>
                <w:highlight w:val="none"/>
                <w:u w:val="none"/>
                <w:lang w:val="en-US" w:eastAsia="zh-CN"/>
              </w:rPr>
              <w:t>3</w:t>
            </w:r>
          </w:p>
        </w:tc>
        <w:tc>
          <w:tcPr>
            <w:tcW w:w="2613" w:type="pct"/>
            <w:vAlign w:val="center"/>
          </w:tcPr>
          <w:p w14:paraId="4FF624F5">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需要临时使用林地的，应当经县级以上人民政府林业主管部门批准；临时使用林地的期限一般不超过二年，并不得在临时使用的林地上修建永久性建筑物。</w:t>
            </w:r>
          </w:p>
        </w:tc>
        <w:tc>
          <w:tcPr>
            <w:tcW w:w="1578" w:type="pct"/>
            <w:vAlign w:val="center"/>
          </w:tcPr>
          <w:p w14:paraId="793B2623">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项目施工期为6个月，施工完成后即进行封场和生态恢复，未在林地上修建永久性建筑，目前平江县林业局的手续正在办理中。</w:t>
            </w:r>
          </w:p>
        </w:tc>
        <w:tc>
          <w:tcPr>
            <w:tcW w:w="465" w:type="pct"/>
            <w:vAlign w:val="center"/>
          </w:tcPr>
          <w:p w14:paraId="6FF8C18F">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2FEF6E87">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2" w:type="pct"/>
            <w:shd w:val="clear" w:color="auto" w:fill="auto"/>
            <w:vAlign w:val="center"/>
          </w:tcPr>
          <w:p w14:paraId="40394516">
            <w:pPr>
              <w:spacing w:line="240" w:lineRule="auto"/>
              <w:ind w:left="0" w:leftChars="0" w:firstLine="0" w:firstLineChars="0"/>
              <w:jc w:val="center"/>
              <w:rPr>
                <w:rFonts w:hint="default" w:ascii="Times New Roman" w:hAnsi="Times New Roman" w:eastAsia="宋体" w:cs="Times New Roman"/>
                <w:sz w:val="21"/>
                <w:szCs w:val="21"/>
                <w:highlight w:val="none"/>
                <w:u w:val="none"/>
                <w:lang w:val="en-US" w:eastAsia="zh-CN"/>
              </w:rPr>
            </w:pPr>
            <w:r>
              <w:rPr>
                <w:rFonts w:hint="eastAsia" w:cs="Times New Roman"/>
                <w:sz w:val="21"/>
                <w:szCs w:val="21"/>
                <w:highlight w:val="none"/>
                <w:u w:val="none"/>
                <w:lang w:val="en-US" w:eastAsia="zh-CN"/>
              </w:rPr>
              <w:t>4</w:t>
            </w:r>
          </w:p>
        </w:tc>
        <w:tc>
          <w:tcPr>
            <w:tcW w:w="2613" w:type="pct"/>
            <w:shd w:val="clear" w:color="auto" w:fill="auto"/>
            <w:vAlign w:val="center"/>
          </w:tcPr>
          <w:p w14:paraId="689F9BC0">
            <w:pPr>
              <w:spacing w:line="240" w:lineRule="auto"/>
              <w:ind w:left="0" w:leftChars="0" w:firstLine="0" w:firstLineChars="0"/>
              <w:jc w:val="center"/>
              <w:rPr>
                <w:rFonts w:hint="eastAsia" w:ascii="Times New Roman" w:hAnsi="Times New Roman" w:eastAsia="宋体" w:cs="Times New Roman"/>
                <w:sz w:val="21"/>
                <w:szCs w:val="21"/>
                <w:highlight w:val="none"/>
                <w:u w:val="none"/>
                <w:lang w:val="en-US" w:eastAsia="zh-CN"/>
              </w:rPr>
            </w:pPr>
            <w:r>
              <w:rPr>
                <w:rFonts w:hint="eastAsia" w:ascii="Times New Roman" w:hAnsi="Times New Roman" w:eastAsia="宋体" w:cs="Times New Roman"/>
                <w:sz w:val="21"/>
                <w:szCs w:val="21"/>
                <w:highlight w:val="none"/>
                <w:u w:val="none"/>
                <w:lang w:val="en-US" w:eastAsia="zh-CN"/>
              </w:rPr>
              <w:t>禁止毁林开垦、采石、采砂、采土以及其他毁坏林木和林地的行为。禁止向林地排放重金属或者其他有毒有害物质含量超标的污水、污泥，以及可能造成林地污染的清淤底泥、尾矿、矿渣等。禁止在幼林地砍柴、毁苗、放牧。禁止擅自移动或者损坏森林保护标志。</w:t>
            </w:r>
          </w:p>
        </w:tc>
        <w:tc>
          <w:tcPr>
            <w:tcW w:w="1578" w:type="pct"/>
            <w:shd w:val="clear" w:color="auto" w:fill="auto"/>
            <w:vAlign w:val="center"/>
          </w:tcPr>
          <w:p w14:paraId="1B500307">
            <w:pPr>
              <w:spacing w:line="240" w:lineRule="auto"/>
              <w:ind w:left="0" w:leftChars="0" w:firstLine="0" w:firstLineChars="0"/>
              <w:jc w:val="center"/>
              <w:rPr>
                <w:rFonts w:hint="default" w:ascii="Times New Roman" w:hAnsi="Times New Roman" w:eastAsia="宋体" w:cs="Times New Roman"/>
                <w:sz w:val="21"/>
                <w:szCs w:val="21"/>
                <w:highlight w:val="none"/>
                <w:u w:val="none"/>
                <w:lang w:val="en-US" w:eastAsia="zh-CN"/>
              </w:rPr>
            </w:pPr>
            <w:r>
              <w:rPr>
                <w:rFonts w:hint="eastAsia"/>
                <w:sz w:val="21"/>
                <w:szCs w:val="21"/>
                <w:highlight w:val="none"/>
                <w:u w:val="none"/>
                <w:lang w:val="en-US" w:eastAsia="zh-CN"/>
              </w:rPr>
              <w:t>本项目为采取填埋方式对固体废物进行治理的项目，不属于左述禁止项目。</w:t>
            </w:r>
          </w:p>
        </w:tc>
        <w:tc>
          <w:tcPr>
            <w:tcW w:w="465" w:type="pct"/>
            <w:shd w:val="clear" w:color="auto" w:fill="auto"/>
            <w:vAlign w:val="center"/>
          </w:tcPr>
          <w:p w14:paraId="1258011E">
            <w:pPr>
              <w:spacing w:line="240" w:lineRule="auto"/>
              <w:ind w:left="0" w:leftChars="0" w:firstLine="0" w:firstLineChars="0"/>
              <w:jc w:val="center"/>
              <w:rPr>
                <w:rFonts w:hint="eastAsia" w:ascii="Times New Roman" w:hAnsi="Times New Roman" w:eastAsia="宋体" w:cs="Times New Roman"/>
                <w:sz w:val="21"/>
                <w:szCs w:val="21"/>
                <w:highlight w:val="none"/>
                <w:u w:val="none"/>
                <w:lang w:val="en-US" w:eastAsia="zh-CN"/>
              </w:rPr>
            </w:pPr>
            <w:r>
              <w:rPr>
                <w:rFonts w:hint="eastAsia" w:ascii="Times New Roman" w:hAnsi="Times New Roman" w:eastAsia="宋体" w:cs="Times New Roman"/>
                <w:sz w:val="21"/>
                <w:szCs w:val="21"/>
                <w:highlight w:val="none"/>
                <w:u w:val="none"/>
                <w:lang w:val="en-US" w:eastAsia="zh-CN"/>
              </w:rPr>
              <w:t>符合</w:t>
            </w:r>
          </w:p>
        </w:tc>
      </w:tr>
    </w:tbl>
    <w:p w14:paraId="43073CE9">
      <w:pPr>
        <w:ind w:firstLine="0" w:firstLineChars="0"/>
        <w:outlineLvl w:val="3"/>
        <w:rPr>
          <w:b/>
          <w:color w:val="auto"/>
          <w:sz w:val="24"/>
          <w:szCs w:val="24"/>
          <w:u w:val="none" w:color="auto"/>
        </w:rPr>
      </w:pPr>
      <w:r>
        <w:rPr>
          <w:rFonts w:hint="eastAsia"/>
          <w:b/>
          <w:color w:val="auto"/>
          <w:sz w:val="24"/>
          <w:szCs w:val="24"/>
          <w:u w:val="none" w:color="auto"/>
        </w:rPr>
        <w:t>1.4.</w:t>
      </w:r>
      <w:r>
        <w:rPr>
          <w:rFonts w:hint="eastAsia"/>
          <w:b/>
          <w:color w:val="auto"/>
          <w:sz w:val="24"/>
          <w:szCs w:val="24"/>
          <w:u w:val="none" w:color="auto"/>
          <w:lang w:val="en-US" w:eastAsia="zh-CN"/>
        </w:rPr>
        <w:t>5</w:t>
      </w:r>
      <w:r>
        <w:rPr>
          <w:rFonts w:hint="eastAsia"/>
          <w:b/>
          <w:color w:val="auto"/>
          <w:sz w:val="24"/>
          <w:szCs w:val="24"/>
          <w:u w:val="none" w:color="auto"/>
        </w:rPr>
        <w:t>.</w:t>
      </w:r>
      <w:r>
        <w:rPr>
          <w:rFonts w:hint="eastAsia"/>
          <w:b/>
          <w:color w:val="auto"/>
          <w:sz w:val="24"/>
          <w:szCs w:val="24"/>
          <w:u w:val="none" w:color="auto"/>
          <w:lang w:val="en-US" w:eastAsia="zh-CN"/>
        </w:rPr>
        <w:t>2</w:t>
      </w:r>
      <w:r>
        <w:rPr>
          <w:b/>
          <w:color w:val="auto"/>
          <w:sz w:val="24"/>
          <w:szCs w:val="24"/>
          <w:u w:val="none" w:color="auto"/>
        </w:rPr>
        <w:t>与</w:t>
      </w:r>
      <w:r>
        <w:rPr>
          <w:rFonts w:hint="eastAsia"/>
          <w:b/>
          <w:color w:val="auto"/>
          <w:sz w:val="24"/>
          <w:szCs w:val="24"/>
          <w:u w:val="none" w:color="auto"/>
        </w:rPr>
        <w:t>《土壤污染防治行动计划》（国发〔2016〕31号）符合性分析</w:t>
      </w:r>
    </w:p>
    <w:p w14:paraId="22848773">
      <w:pPr>
        <w:ind w:firstLine="480"/>
        <w:rPr>
          <w:color w:val="auto"/>
          <w:kern w:val="0"/>
          <w:sz w:val="24"/>
          <w:szCs w:val="24"/>
          <w:u w:val="none" w:color="auto"/>
        </w:rPr>
      </w:pPr>
      <w:r>
        <w:rPr>
          <w:rFonts w:hint="eastAsia"/>
          <w:color w:val="auto"/>
          <w:kern w:val="0"/>
          <w:sz w:val="24"/>
          <w:szCs w:val="24"/>
          <w:u w:val="none" w:color="auto"/>
        </w:rPr>
        <w:t>本项目与《土壤污染防治行动计划》（国发〔2016〕31号）</w:t>
      </w:r>
      <w:r>
        <w:rPr>
          <w:color w:val="auto"/>
          <w:kern w:val="0"/>
          <w:sz w:val="24"/>
          <w:szCs w:val="24"/>
          <w:u w:val="none" w:color="auto"/>
        </w:rPr>
        <w:t>符合性见</w:t>
      </w:r>
      <w:r>
        <w:rPr>
          <w:rFonts w:hint="eastAsia"/>
          <w:color w:val="auto"/>
          <w:kern w:val="0"/>
          <w:sz w:val="24"/>
          <w:szCs w:val="24"/>
          <w:u w:val="none" w:color="auto"/>
          <w:lang w:val="en-US" w:eastAsia="zh-CN"/>
        </w:rPr>
        <w:t>下</w:t>
      </w:r>
      <w:r>
        <w:rPr>
          <w:color w:val="auto"/>
          <w:kern w:val="0"/>
          <w:sz w:val="24"/>
          <w:szCs w:val="24"/>
          <w:u w:val="none" w:color="auto"/>
        </w:rPr>
        <w:t>表</w:t>
      </w:r>
      <w:r>
        <w:rPr>
          <w:rFonts w:hint="eastAsia"/>
          <w:color w:val="auto"/>
          <w:kern w:val="0"/>
          <w:sz w:val="24"/>
          <w:szCs w:val="24"/>
          <w:u w:val="none" w:color="auto"/>
        </w:rPr>
        <w:t>。</w:t>
      </w:r>
    </w:p>
    <w:p w14:paraId="01AD6AB7">
      <w:pPr>
        <w:spacing w:line="300" w:lineRule="exact"/>
        <w:ind w:firstLine="0" w:firstLineChars="0"/>
        <w:jc w:val="center"/>
        <w:rPr>
          <w:b/>
          <w:color w:val="auto"/>
          <w:sz w:val="21"/>
          <w:szCs w:val="21"/>
          <w:u w:val="none" w:color="auto"/>
        </w:rPr>
      </w:pPr>
      <w:r>
        <w:rPr>
          <w:b/>
          <w:color w:val="auto"/>
          <w:sz w:val="21"/>
          <w:szCs w:val="21"/>
          <w:u w:val="none" w:color="auto"/>
        </w:rPr>
        <w:t>表</w:t>
      </w:r>
      <w:r>
        <w:rPr>
          <w:rFonts w:hint="eastAsia"/>
          <w:b/>
          <w:color w:val="auto"/>
          <w:sz w:val="21"/>
          <w:szCs w:val="21"/>
          <w:u w:val="none" w:color="auto"/>
        </w:rPr>
        <w:t>1.4-</w:t>
      </w:r>
      <w:r>
        <w:rPr>
          <w:rFonts w:hint="eastAsia"/>
          <w:b/>
          <w:color w:val="auto"/>
          <w:sz w:val="21"/>
          <w:szCs w:val="21"/>
          <w:u w:val="none" w:color="auto"/>
          <w:lang w:val="en-US" w:eastAsia="zh-CN"/>
        </w:rPr>
        <w:t xml:space="preserve">5  </w:t>
      </w:r>
      <w:r>
        <w:rPr>
          <w:b/>
          <w:color w:val="auto"/>
          <w:sz w:val="21"/>
          <w:szCs w:val="21"/>
          <w:u w:val="none" w:color="auto"/>
        </w:rPr>
        <w:t>与</w:t>
      </w:r>
      <w:r>
        <w:rPr>
          <w:rFonts w:hint="eastAsia"/>
          <w:b/>
          <w:color w:val="auto"/>
          <w:sz w:val="21"/>
          <w:szCs w:val="21"/>
          <w:u w:val="none" w:color="auto"/>
        </w:rPr>
        <w:t>《土壤污染防治行动计划》（国发〔2016〕31号）</w:t>
      </w:r>
      <w:r>
        <w:rPr>
          <w:b/>
          <w:color w:val="auto"/>
          <w:sz w:val="21"/>
          <w:szCs w:val="21"/>
          <w:u w:val="none" w:color="auto"/>
        </w:rPr>
        <w:t>的相符性一览表</w:t>
      </w:r>
    </w:p>
    <w:tbl>
      <w:tblPr>
        <w:tblStyle w:val="111"/>
        <w:tblW w:w="5078" w:type="pct"/>
        <w:tblInd w:w="0" w:type="dxa"/>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autofit"/>
        <w:tblCellMar>
          <w:top w:w="0" w:type="dxa"/>
          <w:left w:w="0" w:type="dxa"/>
          <w:bottom w:w="0" w:type="dxa"/>
          <w:right w:w="0" w:type="dxa"/>
        </w:tblCellMar>
      </w:tblPr>
      <w:tblGrid>
        <w:gridCol w:w="629"/>
        <w:gridCol w:w="6088"/>
        <w:gridCol w:w="1667"/>
        <w:gridCol w:w="864"/>
      </w:tblGrid>
      <w:tr w14:paraId="38CDE2BF">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blHeader/>
        </w:trPr>
        <w:tc>
          <w:tcPr>
            <w:tcW w:w="340" w:type="pct"/>
            <w:vAlign w:val="center"/>
          </w:tcPr>
          <w:p w14:paraId="0A328D58">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序号</w:t>
            </w:r>
          </w:p>
        </w:tc>
        <w:tc>
          <w:tcPr>
            <w:tcW w:w="3290" w:type="pct"/>
            <w:vAlign w:val="center"/>
          </w:tcPr>
          <w:p w14:paraId="5657BE93">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文件要求</w:t>
            </w:r>
          </w:p>
        </w:tc>
        <w:tc>
          <w:tcPr>
            <w:tcW w:w="901" w:type="pct"/>
            <w:vAlign w:val="center"/>
          </w:tcPr>
          <w:p w14:paraId="2E7292B6">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拟建项目情况</w:t>
            </w:r>
          </w:p>
        </w:tc>
        <w:tc>
          <w:tcPr>
            <w:tcW w:w="467" w:type="pct"/>
            <w:vAlign w:val="center"/>
          </w:tcPr>
          <w:p w14:paraId="4866AC42">
            <w:pPr>
              <w:spacing w:line="36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符合性</w:t>
            </w:r>
          </w:p>
        </w:tc>
      </w:tr>
      <w:tr w14:paraId="11884A62">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0" w:type="pct"/>
            <w:vAlign w:val="center"/>
          </w:tcPr>
          <w:p w14:paraId="798FB067">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1</w:t>
            </w:r>
          </w:p>
        </w:tc>
        <w:tc>
          <w:tcPr>
            <w:tcW w:w="3290" w:type="pct"/>
            <w:vAlign w:val="center"/>
          </w:tcPr>
          <w:p w14:paraId="126C5430">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加强工业废物处理处置。全面整治尾矿、煤矸石、工业副产石膏、粉煤灰、赤泥、冶炼渣、电石渣、铬渣、砷渣以及脱硫、脱硝、除尘产生固体废物的堆存场所，完善防扬散、防流失、防渗漏等设施，制定整治方案并有序实施。</w:t>
            </w:r>
          </w:p>
        </w:tc>
        <w:tc>
          <w:tcPr>
            <w:tcW w:w="901" w:type="pct"/>
            <w:vMerge w:val="restart"/>
            <w:vAlign w:val="center"/>
          </w:tcPr>
          <w:p w14:paraId="2130DF85">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本项目作为历史遗留重金属废渣整治项目，能有效解决历史遗留污染问题。</w:t>
            </w:r>
          </w:p>
        </w:tc>
        <w:tc>
          <w:tcPr>
            <w:tcW w:w="467" w:type="pct"/>
            <w:vAlign w:val="center"/>
          </w:tcPr>
          <w:p w14:paraId="5C03488B">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10ED909E">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0" w:type="pct"/>
            <w:vAlign w:val="center"/>
          </w:tcPr>
          <w:p w14:paraId="4AE89433">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2</w:t>
            </w:r>
          </w:p>
        </w:tc>
        <w:tc>
          <w:tcPr>
            <w:tcW w:w="3290" w:type="pct"/>
            <w:vAlign w:val="center"/>
          </w:tcPr>
          <w:p w14:paraId="2D7965FA">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强化治理与修复工程监管。治理与修复工程原则上在原址进行，并采取必要措施防止污染土壤挖掘、堆存等造成二次污染；需要转运污染土壤的，有关责任单位要将运输时间、方式、线路和污染土壤数量、去向、最终处置措施等，提前向所在地和接收地环境保护部门报告。工程施工期间，责任单位要设立公告牌，公开工程基本情况、环境影响及其防范措施；所在地环境保护部门要对各项环境保护措施落实情况进行检查。工程完工后，责任单位要委托第三方机构对治理与修复效果进行评估，结果向社会公开。</w:t>
            </w:r>
          </w:p>
          <w:p w14:paraId="6175AE17">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实行土壤污染治理与修复终身责任制，2017年底前，出台有关责任追究办法。</w:t>
            </w:r>
          </w:p>
        </w:tc>
        <w:tc>
          <w:tcPr>
            <w:tcW w:w="901" w:type="pct"/>
            <w:vMerge w:val="continue"/>
            <w:vAlign w:val="center"/>
          </w:tcPr>
          <w:p w14:paraId="31408A00">
            <w:pPr>
              <w:spacing w:line="240" w:lineRule="auto"/>
              <w:ind w:left="0" w:leftChars="0" w:firstLine="0" w:firstLineChars="0"/>
              <w:jc w:val="center"/>
              <w:rPr>
                <w:rFonts w:hint="eastAsia"/>
                <w:sz w:val="21"/>
                <w:szCs w:val="21"/>
                <w:highlight w:val="none"/>
                <w:u w:val="none"/>
                <w:lang w:val="en-US" w:eastAsia="zh-CN"/>
              </w:rPr>
            </w:pPr>
          </w:p>
        </w:tc>
        <w:tc>
          <w:tcPr>
            <w:tcW w:w="467" w:type="pct"/>
            <w:vAlign w:val="center"/>
          </w:tcPr>
          <w:p w14:paraId="370CC1C1">
            <w:pPr>
              <w:spacing w:line="240" w:lineRule="auto"/>
              <w:ind w:left="0" w:leftChars="0" w:firstLine="0" w:firstLineChars="0"/>
              <w:jc w:val="center"/>
              <w:rPr>
                <w:rFonts w:hint="eastAsia"/>
                <w:sz w:val="21"/>
                <w:szCs w:val="21"/>
                <w:highlight w:val="none"/>
                <w:u w:val="none"/>
                <w:lang w:val="en-US" w:eastAsia="zh-CN"/>
              </w:rPr>
            </w:pPr>
            <w:r>
              <w:rPr>
                <w:rFonts w:hint="eastAsia"/>
                <w:sz w:val="21"/>
                <w:szCs w:val="21"/>
                <w:highlight w:val="none"/>
                <w:u w:val="none"/>
                <w:lang w:val="en-US" w:eastAsia="zh-CN"/>
              </w:rPr>
              <w:t>符合</w:t>
            </w:r>
          </w:p>
        </w:tc>
      </w:tr>
    </w:tbl>
    <w:p w14:paraId="78EA7ADC">
      <w:pPr>
        <w:topLinePunct w:val="0"/>
        <w:ind w:firstLine="0" w:firstLineChars="0"/>
        <w:outlineLvl w:val="3"/>
        <w:rPr>
          <w:rFonts w:hint="eastAsia" w:ascii="Times New Roman" w:hAnsi="Times New Roman" w:eastAsia="宋体" w:cs="Times New Roman"/>
          <w:b/>
          <w:color w:val="auto"/>
          <w:sz w:val="24"/>
          <w:szCs w:val="24"/>
          <w:u w:val="none" w:color="auto"/>
        </w:rPr>
      </w:pPr>
      <w:r>
        <w:rPr>
          <w:rFonts w:hint="eastAsia" w:ascii="Times New Roman" w:hAnsi="Times New Roman" w:eastAsia="宋体" w:cs="Times New Roman"/>
          <w:b/>
          <w:color w:val="auto"/>
          <w:sz w:val="24"/>
          <w:szCs w:val="24"/>
          <w:u w:val="none" w:color="auto"/>
        </w:rPr>
        <w:t>1.4.</w:t>
      </w:r>
      <w:r>
        <w:rPr>
          <w:rFonts w:hint="eastAsia" w:cs="Times New Roman"/>
          <w:b/>
          <w:color w:val="auto"/>
          <w:sz w:val="24"/>
          <w:szCs w:val="24"/>
          <w:u w:val="none" w:color="auto"/>
          <w:lang w:val="en-US" w:eastAsia="zh-CN"/>
        </w:rPr>
        <w:t>5</w:t>
      </w:r>
      <w:r>
        <w:rPr>
          <w:rFonts w:hint="eastAsia" w:ascii="Times New Roman" w:hAnsi="Times New Roman" w:eastAsia="宋体" w:cs="Times New Roman"/>
          <w:b/>
          <w:color w:val="auto"/>
          <w:sz w:val="24"/>
          <w:szCs w:val="24"/>
          <w:u w:val="none" w:color="auto"/>
        </w:rPr>
        <w:t>.</w:t>
      </w:r>
      <w:r>
        <w:rPr>
          <w:rFonts w:hint="eastAsia" w:cs="Times New Roman"/>
          <w:b/>
          <w:color w:val="auto"/>
          <w:sz w:val="24"/>
          <w:szCs w:val="24"/>
          <w:u w:val="none" w:color="auto"/>
          <w:lang w:val="en-US" w:eastAsia="zh-CN"/>
        </w:rPr>
        <w:t>3</w:t>
      </w:r>
      <w:r>
        <w:rPr>
          <w:rFonts w:hint="eastAsia" w:ascii="Times New Roman" w:hAnsi="Times New Roman" w:eastAsia="宋体" w:cs="Times New Roman"/>
          <w:b/>
          <w:color w:val="auto"/>
          <w:sz w:val="24"/>
          <w:szCs w:val="24"/>
          <w:u w:val="none" w:color="auto"/>
        </w:rPr>
        <w:t>与《关于进一步加强重金属污染防控的意见》</w:t>
      </w:r>
      <w:r>
        <w:rPr>
          <w:rFonts w:hint="eastAsia" w:ascii="Times New Roman" w:hAnsi="Times New Roman" w:eastAsia="宋体" w:cs="Times New Roman"/>
          <w:b/>
          <w:color w:val="auto"/>
          <w:sz w:val="24"/>
          <w:szCs w:val="24"/>
          <w:u w:val="none" w:color="auto"/>
          <w:lang w:eastAsia="zh-CN"/>
        </w:rPr>
        <w:t>（</w:t>
      </w:r>
      <w:r>
        <w:rPr>
          <w:rFonts w:hint="eastAsia" w:ascii="Times New Roman" w:hAnsi="Times New Roman" w:eastAsia="宋体" w:cs="Times New Roman"/>
          <w:b/>
          <w:color w:val="auto"/>
          <w:sz w:val="24"/>
          <w:szCs w:val="24"/>
          <w:u w:val="none" w:color="auto"/>
        </w:rPr>
        <w:t>环固体</w:t>
      </w:r>
      <w:r>
        <w:rPr>
          <w:rFonts w:hint="eastAsia" w:ascii="Times New Roman" w:hAnsi="Times New Roman" w:eastAsia="宋体" w:cs="Times New Roman"/>
          <w:b/>
          <w:color w:val="auto"/>
          <w:sz w:val="24"/>
          <w:szCs w:val="24"/>
          <w:u w:val="none" w:color="auto"/>
          <w:lang w:eastAsia="zh-CN"/>
        </w:rPr>
        <w:t>（</w:t>
      </w:r>
      <w:r>
        <w:rPr>
          <w:rFonts w:hint="eastAsia" w:ascii="Times New Roman" w:hAnsi="Times New Roman" w:eastAsia="宋体" w:cs="Times New Roman"/>
          <w:b/>
          <w:color w:val="auto"/>
          <w:sz w:val="24"/>
          <w:szCs w:val="24"/>
          <w:u w:val="none" w:color="auto"/>
        </w:rPr>
        <w:t>2022</w:t>
      </w:r>
      <w:r>
        <w:rPr>
          <w:rFonts w:hint="eastAsia" w:ascii="Times New Roman" w:hAnsi="Times New Roman" w:eastAsia="宋体" w:cs="Times New Roman"/>
          <w:b/>
          <w:color w:val="auto"/>
          <w:sz w:val="24"/>
          <w:szCs w:val="24"/>
          <w:u w:val="none" w:color="auto"/>
          <w:lang w:eastAsia="zh-CN"/>
        </w:rPr>
        <w:t>）</w:t>
      </w:r>
      <w:r>
        <w:rPr>
          <w:rFonts w:hint="eastAsia" w:ascii="Times New Roman" w:hAnsi="Times New Roman" w:eastAsia="宋体" w:cs="Times New Roman"/>
          <w:b/>
          <w:color w:val="auto"/>
          <w:sz w:val="24"/>
          <w:szCs w:val="24"/>
          <w:u w:val="none" w:color="auto"/>
        </w:rPr>
        <w:t>17号</w:t>
      </w:r>
      <w:r>
        <w:rPr>
          <w:rFonts w:hint="eastAsia" w:ascii="Times New Roman" w:hAnsi="Times New Roman" w:eastAsia="宋体" w:cs="Times New Roman"/>
          <w:b/>
          <w:color w:val="auto"/>
          <w:sz w:val="24"/>
          <w:szCs w:val="24"/>
          <w:u w:val="none" w:color="auto"/>
          <w:lang w:eastAsia="zh-CN"/>
        </w:rPr>
        <w:t>）</w:t>
      </w:r>
      <w:r>
        <w:rPr>
          <w:rFonts w:hint="eastAsia" w:ascii="Times New Roman" w:hAnsi="Times New Roman" w:eastAsia="宋体" w:cs="Times New Roman"/>
          <w:b/>
          <w:color w:val="auto"/>
          <w:sz w:val="24"/>
          <w:szCs w:val="24"/>
          <w:u w:val="none" w:color="auto"/>
        </w:rPr>
        <w:t>的相符性分析</w:t>
      </w:r>
    </w:p>
    <w:p w14:paraId="3436C5EC">
      <w:pPr>
        <w:pStyle w:val="214"/>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val="en-US" w:eastAsia="zh-CN"/>
        </w:rPr>
        <w:t>与</w:t>
      </w:r>
      <w:r>
        <w:rPr>
          <w:rFonts w:hint="eastAsia" w:cs="Times New Roman"/>
          <w:color w:val="auto"/>
          <w:sz w:val="24"/>
          <w:szCs w:val="24"/>
          <w:u w:val="none" w:color="auto"/>
        </w:rPr>
        <w:t>《关于进一步加强重金属污染防控的意见》</w:t>
      </w:r>
      <w:r>
        <w:rPr>
          <w:rFonts w:hint="eastAsia" w:cs="Times New Roman"/>
          <w:color w:val="auto"/>
          <w:sz w:val="24"/>
          <w:szCs w:val="24"/>
          <w:u w:val="none" w:color="auto"/>
          <w:lang w:eastAsia="zh-CN"/>
        </w:rPr>
        <w:t>（</w:t>
      </w:r>
      <w:r>
        <w:rPr>
          <w:rFonts w:hint="eastAsia" w:cs="Times New Roman"/>
          <w:color w:val="auto"/>
          <w:sz w:val="24"/>
          <w:szCs w:val="24"/>
          <w:u w:val="none" w:color="auto"/>
        </w:rPr>
        <w:t>环固体</w:t>
      </w:r>
      <w:r>
        <w:rPr>
          <w:rFonts w:hint="eastAsia" w:cs="Times New Roman"/>
          <w:color w:val="auto"/>
          <w:sz w:val="24"/>
          <w:szCs w:val="24"/>
          <w:u w:val="none" w:color="auto"/>
          <w:lang w:eastAsia="zh-CN"/>
        </w:rPr>
        <w:t>（</w:t>
      </w:r>
      <w:r>
        <w:rPr>
          <w:rFonts w:hint="eastAsia" w:cs="Times New Roman"/>
          <w:color w:val="auto"/>
          <w:sz w:val="24"/>
          <w:szCs w:val="24"/>
          <w:u w:val="none" w:color="auto"/>
        </w:rPr>
        <w:t>2022</w:t>
      </w:r>
      <w:r>
        <w:rPr>
          <w:rFonts w:hint="eastAsia" w:cs="Times New Roman"/>
          <w:color w:val="auto"/>
          <w:sz w:val="24"/>
          <w:szCs w:val="24"/>
          <w:u w:val="none" w:color="auto"/>
          <w:lang w:eastAsia="zh-CN"/>
        </w:rPr>
        <w:t>）</w:t>
      </w:r>
      <w:r>
        <w:rPr>
          <w:rFonts w:hint="eastAsia" w:cs="Times New Roman"/>
          <w:color w:val="auto"/>
          <w:sz w:val="24"/>
          <w:szCs w:val="24"/>
          <w:u w:val="none" w:color="auto"/>
        </w:rPr>
        <w:t>17号</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符合性见表1.4</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w:t>
      </w:r>
    </w:p>
    <w:p w14:paraId="161074C8">
      <w:pPr>
        <w:spacing w:line="300" w:lineRule="exact"/>
        <w:ind w:firstLine="0" w:firstLineChars="0"/>
        <w:jc w:val="center"/>
        <w:rPr>
          <w:b/>
          <w:color w:val="auto"/>
          <w:sz w:val="21"/>
          <w:szCs w:val="21"/>
          <w:u w:val="none" w:color="auto"/>
        </w:rPr>
      </w:pPr>
      <w:r>
        <w:rPr>
          <w:b/>
          <w:color w:val="auto"/>
          <w:sz w:val="21"/>
          <w:szCs w:val="21"/>
          <w:u w:val="none" w:color="auto"/>
        </w:rPr>
        <w:t>表</w:t>
      </w:r>
      <w:r>
        <w:rPr>
          <w:rFonts w:hint="eastAsia"/>
          <w:b/>
          <w:color w:val="auto"/>
          <w:sz w:val="21"/>
          <w:szCs w:val="21"/>
          <w:u w:val="none" w:color="auto"/>
        </w:rPr>
        <w:t>1.4-</w:t>
      </w:r>
      <w:r>
        <w:rPr>
          <w:rFonts w:hint="eastAsia"/>
          <w:b/>
          <w:color w:val="auto"/>
          <w:sz w:val="21"/>
          <w:szCs w:val="21"/>
          <w:u w:val="none" w:color="auto"/>
          <w:lang w:val="en-US" w:eastAsia="zh-CN"/>
        </w:rPr>
        <w:t xml:space="preserve">6  </w:t>
      </w:r>
      <w:r>
        <w:rPr>
          <w:b/>
          <w:color w:val="auto"/>
          <w:sz w:val="21"/>
          <w:szCs w:val="21"/>
          <w:u w:val="none" w:color="auto"/>
        </w:rPr>
        <w:t>与《</w:t>
      </w:r>
      <w:r>
        <w:rPr>
          <w:rFonts w:hint="eastAsia"/>
          <w:b/>
          <w:color w:val="auto"/>
          <w:sz w:val="21"/>
          <w:szCs w:val="21"/>
          <w:u w:val="none" w:color="auto"/>
        </w:rPr>
        <w:t>关于进一步加强重金属污染防控的意见</w:t>
      </w:r>
      <w:r>
        <w:rPr>
          <w:b/>
          <w:color w:val="auto"/>
          <w:sz w:val="21"/>
          <w:szCs w:val="21"/>
          <w:u w:val="none" w:color="auto"/>
        </w:rPr>
        <w:t>》符合性分析</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4171"/>
        <w:gridCol w:w="3234"/>
        <w:gridCol w:w="915"/>
      </w:tblGrid>
      <w:tr w14:paraId="1C9AA4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 w:hRule="atLeast"/>
          <w:tblHeader/>
          <w:jc w:val="center"/>
        </w:trPr>
        <w:tc>
          <w:tcPr>
            <w:tcW w:w="2767" w:type="pct"/>
            <w:gridSpan w:val="2"/>
            <w:tcBorders>
              <w:tl2br w:val="nil"/>
              <w:tr2bl w:val="nil"/>
            </w:tcBorders>
            <w:noWrap w:val="0"/>
            <w:vAlign w:val="center"/>
          </w:tcPr>
          <w:p w14:paraId="59473B3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防控要求</w:t>
            </w:r>
          </w:p>
        </w:tc>
        <w:tc>
          <w:tcPr>
            <w:tcW w:w="1740" w:type="pct"/>
            <w:tcBorders>
              <w:tl2br w:val="nil"/>
              <w:tr2bl w:val="nil"/>
            </w:tcBorders>
            <w:noWrap w:val="0"/>
            <w:vAlign w:val="center"/>
          </w:tcPr>
          <w:p w14:paraId="3E384C9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拟建项目情况</w:t>
            </w:r>
          </w:p>
        </w:tc>
        <w:tc>
          <w:tcPr>
            <w:tcW w:w="492" w:type="pct"/>
            <w:tcBorders>
              <w:tl2br w:val="nil"/>
              <w:tr2bl w:val="nil"/>
            </w:tcBorders>
            <w:noWrap w:val="0"/>
            <w:vAlign w:val="center"/>
          </w:tcPr>
          <w:p w14:paraId="1FDC74B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符合性</w:t>
            </w:r>
          </w:p>
        </w:tc>
      </w:tr>
      <w:tr w14:paraId="775AB6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restart"/>
            <w:tcBorders>
              <w:tl2br w:val="nil"/>
              <w:tr2bl w:val="nil"/>
            </w:tcBorders>
            <w:noWrap w:val="0"/>
            <w:vAlign w:val="center"/>
          </w:tcPr>
          <w:p w14:paraId="618814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防控</w:t>
            </w:r>
          </w:p>
          <w:p w14:paraId="3F86CA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重点</w:t>
            </w:r>
          </w:p>
        </w:tc>
        <w:tc>
          <w:tcPr>
            <w:tcW w:w="2244" w:type="pct"/>
            <w:tcBorders>
              <w:tl2br w:val="nil"/>
              <w:tr2bl w:val="nil"/>
            </w:tcBorders>
            <w:noWrap w:val="0"/>
            <w:vAlign w:val="center"/>
          </w:tcPr>
          <w:p w14:paraId="5B8884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重点重金属污染物。重点防控的重金属污染物是铅、汞、镉、铬、砷、铊和锑，并对铅、汞、镉、铬和砷五种重点重金属污染物排放量实施总量控制。</w:t>
            </w:r>
          </w:p>
        </w:tc>
        <w:tc>
          <w:tcPr>
            <w:tcW w:w="1740" w:type="pct"/>
            <w:tcBorders>
              <w:tl2br w:val="nil"/>
              <w:tr2bl w:val="nil"/>
            </w:tcBorders>
            <w:noWrap w:val="0"/>
            <w:vAlign w:val="center"/>
          </w:tcPr>
          <w:p w14:paraId="1A4077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本项目渗滤液含砷、铅等重金属污染物，根据《湖南省主要污染物排污权有偿使用和交易实施细则》（湘环发〔2024〕3号），本项目一般固废填埋场，属于公共基础设施，不纳入排污权有偿使用和交易管理范围。</w:t>
            </w:r>
          </w:p>
        </w:tc>
        <w:tc>
          <w:tcPr>
            <w:tcW w:w="492" w:type="pct"/>
            <w:tcBorders>
              <w:tl2br w:val="nil"/>
              <w:tr2bl w:val="nil"/>
            </w:tcBorders>
            <w:noWrap w:val="0"/>
            <w:vAlign w:val="center"/>
          </w:tcPr>
          <w:p w14:paraId="4E81E3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2C6FFA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443238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2244" w:type="pct"/>
            <w:tcBorders>
              <w:tl2br w:val="nil"/>
              <w:tr2bl w:val="nil"/>
            </w:tcBorders>
            <w:noWrap w:val="0"/>
            <w:vAlign w:val="center"/>
          </w:tcPr>
          <w:p w14:paraId="0FA600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重点行业。包括重有色金属矿采选业（铜、铅锌、镍钴、锡、锑和汞矿采选），重有色金属冶炼业（铜、铅锌、镍钴、锡、锑和汞冶炼），铅蓄电池制造业，电镀行业，化学原料及化学制品制造业（电石法（聚）氯乙烯制造、铬盐制造、以工业固体废物为原料的锌无机化合物工业），皮革鞣制加工业等6个行业。</w:t>
            </w:r>
          </w:p>
        </w:tc>
        <w:tc>
          <w:tcPr>
            <w:tcW w:w="1740" w:type="pct"/>
            <w:tcBorders>
              <w:tl2br w:val="nil"/>
              <w:tr2bl w:val="nil"/>
            </w:tcBorders>
            <w:noWrap w:val="0"/>
            <w:vAlign w:val="center"/>
          </w:tcPr>
          <w:p w14:paraId="124392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本项目固体废物治理项目，不属于重点行业。</w:t>
            </w:r>
          </w:p>
        </w:tc>
        <w:tc>
          <w:tcPr>
            <w:tcW w:w="492" w:type="pct"/>
            <w:tcBorders>
              <w:tl2br w:val="nil"/>
              <w:tr2bl w:val="nil"/>
            </w:tcBorders>
            <w:noWrap w:val="0"/>
            <w:vAlign w:val="center"/>
          </w:tcPr>
          <w:p w14:paraId="58B056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20DF0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77C565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2244" w:type="pct"/>
            <w:tcBorders>
              <w:tl2br w:val="nil"/>
              <w:tr2bl w:val="nil"/>
            </w:tcBorders>
            <w:noWrap w:val="0"/>
            <w:vAlign w:val="center"/>
          </w:tcPr>
          <w:p w14:paraId="37E13D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重点区域。依据重金属污染物排放状况、环境质量改善和环境风险防控需求，划定重金属污染防控重点区域。</w:t>
            </w:r>
          </w:p>
        </w:tc>
        <w:tc>
          <w:tcPr>
            <w:tcW w:w="1740" w:type="pct"/>
            <w:tcBorders>
              <w:tl2br w:val="nil"/>
              <w:tr2bl w:val="nil"/>
            </w:tcBorders>
            <w:noWrap w:val="0"/>
            <w:vAlign w:val="center"/>
          </w:tcPr>
          <w:p w14:paraId="7EE40B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本项目位于岳阳市平江县三阳乡，不属于重点区域。</w:t>
            </w:r>
          </w:p>
        </w:tc>
        <w:tc>
          <w:tcPr>
            <w:tcW w:w="492" w:type="pct"/>
            <w:tcBorders>
              <w:tl2br w:val="nil"/>
              <w:tr2bl w:val="nil"/>
            </w:tcBorders>
            <w:noWrap w:val="0"/>
            <w:vAlign w:val="center"/>
          </w:tcPr>
          <w:p w14:paraId="4BA1DD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499EBA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629A22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2244" w:type="pct"/>
            <w:tcBorders>
              <w:tl2br w:val="nil"/>
              <w:tr2bl w:val="nil"/>
            </w:tcBorders>
            <w:noWrap w:val="0"/>
            <w:vAlign w:val="center"/>
          </w:tcPr>
          <w:p w14:paraId="7E1A12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鼓励地方根据本地生态环境质量改善目标和重金属污染状况，确定上述要求以外的重点重金属污染物、重点行业和重点区域。</w:t>
            </w:r>
          </w:p>
        </w:tc>
        <w:tc>
          <w:tcPr>
            <w:tcW w:w="1740" w:type="pct"/>
            <w:tcBorders>
              <w:tl2br w:val="nil"/>
              <w:tr2bl w:val="nil"/>
            </w:tcBorders>
            <w:noWrap w:val="0"/>
            <w:vAlign w:val="center"/>
          </w:tcPr>
          <w:p w14:paraId="166F54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本项目渗滤液涉及重金属污染物，项目属于固体废物治理，采取了源头防控措施，可以改善本地生态环境质量和减轻项目区域重金属污染状况，削减区域重金属污染物具有良好的环境效益。</w:t>
            </w:r>
          </w:p>
        </w:tc>
        <w:tc>
          <w:tcPr>
            <w:tcW w:w="492" w:type="pct"/>
            <w:tcBorders>
              <w:tl2br w:val="nil"/>
              <w:tr2bl w:val="nil"/>
            </w:tcBorders>
            <w:noWrap w:val="0"/>
            <w:vAlign w:val="center"/>
          </w:tcPr>
          <w:p w14:paraId="17E8ED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08B44A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tcBorders>
              <w:tl2br w:val="nil"/>
              <w:tr2bl w:val="nil"/>
            </w:tcBorders>
            <w:noWrap w:val="0"/>
            <w:vAlign w:val="center"/>
          </w:tcPr>
          <w:p w14:paraId="601448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分类管理，完善重金属污染物排放管理制度</w:t>
            </w:r>
          </w:p>
        </w:tc>
        <w:tc>
          <w:tcPr>
            <w:tcW w:w="2244" w:type="pct"/>
            <w:tcBorders>
              <w:tl2br w:val="nil"/>
              <w:tr2bl w:val="nil"/>
            </w:tcBorders>
            <w:noWrap w:val="0"/>
            <w:vAlign w:val="center"/>
          </w:tcPr>
          <w:p w14:paraId="6D1207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推行企业重金属污染物排放总量控制制度。依法将重点行业企业纳入排污许可管理。对于实施排污许可重点管理的企业，排污许可证应当明确重金属污染物排放种类、许可排放浓度、许可排放量等。各地生态环境部门探索将重点行业减排企业重金属污染物排放总量要求落实到排污许可证，减排企业在执行国家和地方污染物排放标准的同时，应当遵守分解落实到本单位的重金属排放总量控制要求。重点行业企业适用的污染物排放标准、重点污染物总量控制要求发生变化，需要对排污许可证进行变更的，审批部门可以依法对排污许可证相应事项进行变更，并载明削减措施、减排量，作为总量替代来源的还应载明出让量和出让去向。</w:t>
            </w:r>
          </w:p>
        </w:tc>
        <w:tc>
          <w:tcPr>
            <w:tcW w:w="1740" w:type="pct"/>
            <w:tcBorders>
              <w:tl2br w:val="nil"/>
              <w:tr2bl w:val="nil"/>
            </w:tcBorders>
            <w:noWrap w:val="0"/>
            <w:vAlign w:val="center"/>
          </w:tcPr>
          <w:p w14:paraId="412AF2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lang w:val="en-US" w:eastAsia="zh-CN"/>
              </w:rPr>
            </w:pPr>
            <w:r>
              <w:rPr>
                <w:rFonts w:hint="eastAsia"/>
                <w:sz w:val="21"/>
                <w:szCs w:val="21"/>
                <w:highlight w:val="none"/>
                <w:u w:val="none"/>
                <w:lang w:val="en-US" w:eastAsia="zh-CN"/>
              </w:rPr>
              <w:t>项目含重金属废水全部外委处理；填埋场封场后无废气排放。</w:t>
            </w:r>
          </w:p>
        </w:tc>
        <w:tc>
          <w:tcPr>
            <w:tcW w:w="492" w:type="pct"/>
            <w:tcBorders>
              <w:tl2br w:val="nil"/>
              <w:tr2bl w:val="nil"/>
            </w:tcBorders>
            <w:noWrap w:val="0"/>
            <w:vAlign w:val="center"/>
          </w:tcPr>
          <w:p w14:paraId="27A446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符合</w:t>
            </w:r>
          </w:p>
        </w:tc>
      </w:tr>
      <w:tr w14:paraId="5740CC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restart"/>
            <w:tcBorders>
              <w:tl2br w:val="nil"/>
              <w:tr2bl w:val="nil"/>
            </w:tcBorders>
            <w:noWrap w:val="0"/>
            <w:vAlign w:val="center"/>
          </w:tcPr>
          <w:p w14:paraId="3B80FC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严格准入，优化涉重金属产业结构和布局</w:t>
            </w:r>
          </w:p>
        </w:tc>
        <w:tc>
          <w:tcPr>
            <w:tcW w:w="2244" w:type="pct"/>
            <w:tcBorders>
              <w:tl2br w:val="nil"/>
              <w:tr2bl w:val="nil"/>
            </w:tcBorders>
            <w:noWrap w:val="0"/>
            <w:vAlign w:val="center"/>
          </w:tcPr>
          <w:p w14:paraId="52BB88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严格重点行业企业准入管理。新、改、扩建重点行业建设项目应符合“三线一单”、产业政策、区域环评、规划环评和行业环境准入管控要求。重点区域的新、改、扩建重点行业建设项目应遵循重点重金属污染物排放“减量替代”原则，减量替代比例不低于1.2：1；其他区域遵循“等量替代”原则。建设单位在提交环境影响评价文件时应明确重点重金属污染物排放总量及来源。无明确具体总量来源的，各级生态环境部门不得批准相关环境影响评价文件。总量来源原则上应是同一重点行业内企业削减的重点重金属污染物排放量，当同一重点行业内企业削减量无法满足时可从其他重点行业调剂。严格重点行业建设项目环境影响评价审批，审慎下放审批权限，不得以改革试点为名降低审批要求。</w:t>
            </w:r>
          </w:p>
        </w:tc>
        <w:tc>
          <w:tcPr>
            <w:tcW w:w="1740" w:type="pct"/>
            <w:tcBorders>
              <w:tl2br w:val="nil"/>
              <w:tr2bl w:val="nil"/>
            </w:tcBorders>
            <w:noWrap w:val="0"/>
            <w:vAlign w:val="center"/>
          </w:tcPr>
          <w:p w14:paraId="0EB88A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lang w:val="en-US" w:eastAsia="zh-CN"/>
              </w:rPr>
            </w:pPr>
            <w:r>
              <w:rPr>
                <w:rFonts w:hint="eastAsia"/>
                <w:sz w:val="21"/>
                <w:szCs w:val="21"/>
                <w:highlight w:val="none"/>
                <w:u w:val="none"/>
                <w:lang w:val="en-US" w:eastAsia="zh-CN"/>
              </w:rPr>
              <w:t>本项目属于固体废物治理项目，项目符合“三线一单”、产业政策、区域环评、规划环评和行业环境准入管控要求，根据《湖南省主要污染物排污权有偿使用和交易实施细则》（湘环发〔2024〕3号），本项目一般固废填埋场，属于公共基础设施，不纳入排污权有偿使用和交易管理范围。</w:t>
            </w:r>
          </w:p>
        </w:tc>
        <w:tc>
          <w:tcPr>
            <w:tcW w:w="492" w:type="pct"/>
            <w:tcBorders>
              <w:tl2br w:val="nil"/>
              <w:tr2bl w:val="nil"/>
            </w:tcBorders>
            <w:noWrap w:val="0"/>
            <w:vAlign w:val="center"/>
          </w:tcPr>
          <w:p w14:paraId="21A103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lang w:val="en-US" w:eastAsia="zh-CN"/>
              </w:rPr>
            </w:pPr>
            <w:r>
              <w:rPr>
                <w:rFonts w:hint="eastAsia"/>
                <w:sz w:val="21"/>
                <w:szCs w:val="21"/>
                <w:highlight w:val="none"/>
                <w:u w:val="none"/>
                <w:lang w:val="en-US" w:eastAsia="zh-CN"/>
              </w:rPr>
              <w:t>符合</w:t>
            </w:r>
          </w:p>
        </w:tc>
      </w:tr>
      <w:tr w14:paraId="70606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23" w:type="pct"/>
            <w:vMerge w:val="continue"/>
            <w:tcBorders>
              <w:tl2br w:val="nil"/>
              <w:tr2bl w:val="nil"/>
            </w:tcBorders>
            <w:noWrap w:val="0"/>
            <w:vAlign w:val="center"/>
          </w:tcPr>
          <w:p w14:paraId="1BA428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2244" w:type="pct"/>
            <w:tcBorders>
              <w:tl2br w:val="nil"/>
              <w:tr2bl w:val="nil"/>
            </w:tcBorders>
            <w:noWrap w:val="0"/>
            <w:vAlign w:val="center"/>
          </w:tcPr>
          <w:p w14:paraId="2FF60E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优化重点行业企业布局。推动涉重金属产业集中优化发展，禁止低端落后产能向长江、黄河中上游地区转移。禁止新建用汞的电石法（聚）氯乙烯生产工艺。新建、扩建的重有色金属冶炼、电镀、制革企业优先选择布设在依法合规设立并经规划环评的产业园区。</w:t>
            </w:r>
          </w:p>
        </w:tc>
        <w:tc>
          <w:tcPr>
            <w:tcW w:w="1740" w:type="pct"/>
            <w:tcBorders>
              <w:tl2br w:val="nil"/>
              <w:tr2bl w:val="nil"/>
            </w:tcBorders>
            <w:noWrap w:val="0"/>
            <w:vAlign w:val="center"/>
          </w:tcPr>
          <w:p w14:paraId="14722E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本项目属于固体废物治理项目，不属于防控意见中所列的重点行业企业。</w:t>
            </w:r>
          </w:p>
        </w:tc>
        <w:tc>
          <w:tcPr>
            <w:tcW w:w="492" w:type="pct"/>
            <w:tcBorders>
              <w:tl2br w:val="nil"/>
              <w:tr2bl w:val="nil"/>
            </w:tcBorders>
            <w:noWrap w:val="0"/>
            <w:vAlign w:val="center"/>
          </w:tcPr>
          <w:p w14:paraId="7B55A4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符合</w:t>
            </w:r>
          </w:p>
        </w:tc>
      </w:tr>
    </w:tbl>
    <w:p w14:paraId="4B638F89">
      <w:pPr>
        <w:numPr>
          <w:ilvl w:val="-1"/>
          <w:numId w:val="0"/>
        </w:numPr>
        <w:topLinePunct w:val="0"/>
        <w:autoSpaceDE/>
        <w:autoSpaceDN/>
        <w:adjustRightInd/>
        <w:snapToGrid/>
        <w:spacing w:line="360" w:lineRule="auto"/>
        <w:ind w:firstLine="0" w:firstLineChars="0"/>
        <w:outlineLvl w:val="3"/>
        <w:rPr>
          <w:rFonts w:hint="eastAsia" w:ascii="Times New Roman" w:hAnsi="Times New Roman" w:eastAsia="宋体" w:cs="Times New Roman"/>
          <w:b/>
          <w:color w:val="auto"/>
          <w:kern w:val="2"/>
          <w:sz w:val="24"/>
          <w:szCs w:val="24"/>
          <w:u w:val="none" w:color="auto"/>
        </w:rPr>
      </w:pPr>
      <w:r>
        <w:rPr>
          <w:rFonts w:hint="eastAsia" w:ascii="Times New Roman" w:hAnsi="Times New Roman" w:eastAsia="宋体" w:cs="Times New Roman"/>
          <w:b/>
          <w:color w:val="auto"/>
          <w:sz w:val="24"/>
          <w:szCs w:val="24"/>
          <w:u w:val="none" w:color="auto"/>
        </w:rPr>
        <w:t>1.4.</w:t>
      </w:r>
      <w:r>
        <w:rPr>
          <w:rFonts w:hint="eastAsia" w:cs="Times New Roman"/>
          <w:b/>
          <w:color w:val="auto"/>
          <w:sz w:val="24"/>
          <w:szCs w:val="24"/>
          <w:u w:val="none" w:color="auto"/>
          <w:lang w:val="en-US" w:eastAsia="zh-CN"/>
        </w:rPr>
        <w:t>5</w:t>
      </w:r>
      <w:r>
        <w:rPr>
          <w:rFonts w:hint="eastAsia" w:ascii="Times New Roman" w:hAnsi="Times New Roman" w:eastAsia="宋体" w:cs="Times New Roman"/>
          <w:b/>
          <w:color w:val="auto"/>
          <w:sz w:val="24"/>
          <w:szCs w:val="24"/>
          <w:u w:val="none" w:color="auto"/>
        </w:rPr>
        <w:t>.</w:t>
      </w:r>
      <w:r>
        <w:rPr>
          <w:rFonts w:hint="eastAsia" w:ascii="Times New Roman" w:hAnsi="Times New Roman" w:eastAsia="宋体" w:cs="Times New Roman"/>
          <w:b/>
          <w:color w:val="auto"/>
          <w:sz w:val="24"/>
          <w:szCs w:val="24"/>
          <w:u w:val="none" w:color="auto"/>
          <w:lang w:val="en-US" w:eastAsia="zh-CN"/>
        </w:rPr>
        <w:t>4</w:t>
      </w:r>
      <w:r>
        <w:rPr>
          <w:rFonts w:hint="eastAsia" w:ascii="Times New Roman" w:hAnsi="Times New Roman" w:eastAsia="宋体" w:cs="Times New Roman"/>
          <w:b/>
          <w:color w:val="auto"/>
          <w:kern w:val="2"/>
          <w:sz w:val="24"/>
          <w:szCs w:val="24"/>
          <w:u w:val="none" w:color="auto"/>
        </w:rPr>
        <w:t>与《湖南省土壤污染防治工作方案》（湘规划政发〔2017〕4号）符合性分析</w:t>
      </w:r>
    </w:p>
    <w:p w14:paraId="52C9DD58">
      <w:pPr>
        <w:numPr>
          <w:ilvl w:val="-1"/>
          <w:numId w:val="0"/>
        </w:numPr>
        <w:autoSpaceDE w:val="0"/>
        <w:autoSpaceDN w:val="0"/>
        <w:adjustRightInd w:val="0"/>
        <w:snapToGrid w:val="0"/>
        <w:spacing w:line="360" w:lineRule="auto"/>
        <w:ind w:firstLine="480" w:firstLineChars="200"/>
        <w:rPr>
          <w:rFonts w:hint="eastAsia" w:cs="Times New Roman"/>
          <w:b w:val="0"/>
          <w:color w:val="auto"/>
          <w:kern w:val="2"/>
          <w:sz w:val="24"/>
          <w:szCs w:val="24"/>
          <w:u w:val="none"/>
          <w:lang w:val="en-US" w:eastAsia="zh-CN"/>
        </w:rPr>
      </w:pPr>
      <w:r>
        <w:rPr>
          <w:rFonts w:hint="eastAsia" w:cs="Times New Roman"/>
          <w:b w:val="0"/>
          <w:color w:val="auto"/>
          <w:kern w:val="2"/>
          <w:sz w:val="24"/>
          <w:szCs w:val="24"/>
          <w:u w:val="none"/>
          <w:lang w:val="en-US" w:eastAsia="zh-CN"/>
        </w:rPr>
        <w:t>本项目</w:t>
      </w:r>
      <w:r>
        <w:rPr>
          <w:rFonts w:hint="eastAsia"/>
          <w:color w:val="auto"/>
          <w:sz w:val="24"/>
          <w:szCs w:val="24"/>
          <w:u w:val="none"/>
        </w:rPr>
        <w:t>与《湖南省土壤污染防治工作方案》（湘规划政发〔2017〕4号）符合性分析</w:t>
      </w:r>
      <w:r>
        <w:rPr>
          <w:rFonts w:hint="eastAsia"/>
          <w:color w:val="auto"/>
          <w:sz w:val="24"/>
          <w:szCs w:val="24"/>
          <w:u w:val="none"/>
          <w:lang w:val="en-US" w:eastAsia="zh-CN"/>
        </w:rPr>
        <w:t>详见下表。</w:t>
      </w:r>
    </w:p>
    <w:p w14:paraId="5C786349">
      <w:pPr>
        <w:numPr>
          <w:ilvl w:val="-1"/>
          <w:numId w:val="0"/>
        </w:numPr>
        <w:autoSpaceDE/>
        <w:autoSpaceDN/>
        <w:adjustRightInd/>
        <w:snapToGrid/>
        <w:spacing w:line="240" w:lineRule="auto"/>
        <w:ind w:firstLine="0" w:firstLineChars="0"/>
        <w:jc w:val="center"/>
        <w:rPr>
          <w:rFonts w:hint="default"/>
          <w:color w:val="auto"/>
          <w:u w:val="none"/>
          <w:lang w:val="en-US" w:eastAsia="zh-CN"/>
        </w:rPr>
      </w:pPr>
      <w:r>
        <w:rPr>
          <w:b/>
          <w:bCs/>
          <w:sz w:val="24"/>
          <w:szCs w:val="24"/>
          <w:u w:val="none"/>
        </w:rPr>
        <w:t>表</w:t>
      </w:r>
      <w:r>
        <w:rPr>
          <w:rFonts w:hint="eastAsia"/>
          <w:b/>
          <w:color w:val="auto"/>
          <w:sz w:val="24"/>
          <w:szCs w:val="24"/>
          <w:u w:val="none" w:color="auto"/>
        </w:rPr>
        <w:t>1.4-</w:t>
      </w:r>
      <w:r>
        <w:rPr>
          <w:rFonts w:hint="eastAsia"/>
          <w:b/>
          <w:color w:val="auto"/>
          <w:sz w:val="24"/>
          <w:szCs w:val="24"/>
          <w:u w:val="none" w:color="auto"/>
          <w:lang w:val="en-US" w:eastAsia="zh-CN"/>
        </w:rPr>
        <w:t>7</w:t>
      </w:r>
      <w:r>
        <w:rPr>
          <w:b/>
          <w:bCs/>
          <w:sz w:val="24"/>
          <w:szCs w:val="24"/>
          <w:u w:val="none"/>
        </w:rPr>
        <w:t xml:space="preserve">  </w:t>
      </w:r>
      <w:r>
        <w:rPr>
          <w:rFonts w:hint="eastAsia"/>
          <w:b/>
          <w:bCs/>
          <w:sz w:val="24"/>
          <w:szCs w:val="24"/>
          <w:u w:val="none"/>
          <w:lang w:val="en-US" w:eastAsia="zh-CN"/>
        </w:rPr>
        <w:t>与</w:t>
      </w:r>
      <w:r>
        <w:rPr>
          <w:rFonts w:hint="eastAsia"/>
          <w:b/>
          <w:bCs/>
          <w:sz w:val="24"/>
          <w:szCs w:val="24"/>
          <w:u w:val="none"/>
        </w:rPr>
        <w:t>《湖南省土壤污染防治工作方案》（湘规划政发〔2017〕4号）</w:t>
      </w:r>
      <w:r>
        <w:rPr>
          <w:rFonts w:hint="eastAsia"/>
          <w:b/>
          <w:bCs/>
          <w:sz w:val="24"/>
          <w:szCs w:val="24"/>
          <w:u w:val="none"/>
          <w:lang w:val="en-US" w:eastAsia="zh-CN"/>
        </w:rPr>
        <w:t>符合</w:t>
      </w:r>
      <w:r>
        <w:rPr>
          <w:rFonts w:hint="eastAsia"/>
          <w:b/>
          <w:bCs/>
          <w:sz w:val="24"/>
          <w:szCs w:val="24"/>
          <w:u w:val="none"/>
        </w:rPr>
        <w:t>性分析</w:t>
      </w:r>
    </w:p>
    <w:tbl>
      <w:tblPr>
        <w:tblStyle w:val="111"/>
        <w:tblW w:w="5078" w:type="pct"/>
        <w:tblInd w:w="0" w:type="dxa"/>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autofit"/>
        <w:tblCellMar>
          <w:top w:w="0" w:type="dxa"/>
          <w:left w:w="0" w:type="dxa"/>
          <w:bottom w:w="0" w:type="dxa"/>
          <w:right w:w="0" w:type="dxa"/>
        </w:tblCellMar>
      </w:tblPr>
      <w:tblGrid>
        <w:gridCol w:w="631"/>
        <w:gridCol w:w="5660"/>
        <w:gridCol w:w="2097"/>
        <w:gridCol w:w="860"/>
      </w:tblGrid>
      <w:tr w14:paraId="6D38CBD9">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blHeader/>
        </w:trPr>
        <w:tc>
          <w:tcPr>
            <w:tcW w:w="341" w:type="pct"/>
            <w:vAlign w:val="center"/>
          </w:tcPr>
          <w:p w14:paraId="3F46F0B3">
            <w:pPr>
              <w:spacing w:line="36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序号</w:t>
            </w:r>
          </w:p>
        </w:tc>
        <w:tc>
          <w:tcPr>
            <w:tcW w:w="3059" w:type="pct"/>
            <w:vAlign w:val="center"/>
          </w:tcPr>
          <w:p w14:paraId="02745C41">
            <w:pPr>
              <w:spacing w:line="36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文件要求</w:t>
            </w:r>
          </w:p>
        </w:tc>
        <w:tc>
          <w:tcPr>
            <w:tcW w:w="1133" w:type="pct"/>
            <w:vAlign w:val="center"/>
          </w:tcPr>
          <w:p w14:paraId="678601B5">
            <w:pPr>
              <w:spacing w:line="36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拟建项目情况</w:t>
            </w:r>
          </w:p>
        </w:tc>
        <w:tc>
          <w:tcPr>
            <w:tcW w:w="465" w:type="pct"/>
            <w:vAlign w:val="center"/>
          </w:tcPr>
          <w:p w14:paraId="6AF9BBA7">
            <w:pPr>
              <w:spacing w:line="36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符合性</w:t>
            </w:r>
          </w:p>
        </w:tc>
      </w:tr>
      <w:tr w14:paraId="1E218404">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41" w:type="pct"/>
            <w:vAlign w:val="center"/>
          </w:tcPr>
          <w:p w14:paraId="45B083A9">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w:t>
            </w:r>
          </w:p>
        </w:tc>
        <w:tc>
          <w:tcPr>
            <w:tcW w:w="3059" w:type="pct"/>
            <w:vAlign w:val="center"/>
          </w:tcPr>
          <w:p w14:paraId="2361480F">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有序开展治理与修复。确定治理与修复重点。根据城市环境质量提升和发展布局调整，结合污染地块调查及风险等级划分结果，确定修复的优先次序，以拟开发建设居住、商业、学校、医疗、养老机构和公共服务设施等项目的污染地块为重点，开展治理与修复。根据耕地土壤污染程度、环境风险及其影响范围，重点在耕地重金属中轻度污染集中区域开展治理与修复。</w:t>
            </w:r>
          </w:p>
        </w:tc>
        <w:tc>
          <w:tcPr>
            <w:tcW w:w="1133" w:type="pct"/>
            <w:vAlign w:val="center"/>
          </w:tcPr>
          <w:p w14:paraId="6CC7C9BE">
            <w:pPr>
              <w:spacing w:line="240" w:lineRule="auto"/>
              <w:ind w:left="0" w:leftChars="0" w:firstLine="0" w:firstLineChars="0"/>
              <w:jc w:val="center"/>
              <w:rPr>
                <w:rFonts w:hint="default" w:eastAsia="宋体"/>
                <w:sz w:val="21"/>
                <w:szCs w:val="21"/>
                <w:highlight w:val="none"/>
                <w:lang w:val="en-US" w:eastAsia="zh-CN"/>
              </w:rPr>
            </w:pPr>
            <w:r>
              <w:rPr>
                <w:rFonts w:hint="default"/>
                <w:sz w:val="21"/>
                <w:szCs w:val="21"/>
                <w:highlight w:val="none"/>
              </w:rPr>
              <w:t>本项目属于历史遗留环境污染综合治理项目</w:t>
            </w:r>
            <w:r>
              <w:rPr>
                <w:rFonts w:hint="eastAsia"/>
                <w:sz w:val="21"/>
                <w:szCs w:val="21"/>
                <w:highlight w:val="none"/>
                <w:lang w:eastAsia="zh-CN"/>
              </w:rPr>
              <w:t>，</w:t>
            </w:r>
            <w:r>
              <w:rPr>
                <w:rFonts w:hint="eastAsia"/>
                <w:sz w:val="21"/>
                <w:szCs w:val="21"/>
                <w:highlight w:val="none"/>
                <w:lang w:val="en-US" w:eastAsia="zh-CN"/>
              </w:rPr>
              <w:t>本项目实施完成后能有效减少场地污染对周边环境及居民的影响。</w:t>
            </w:r>
          </w:p>
        </w:tc>
        <w:tc>
          <w:tcPr>
            <w:tcW w:w="465" w:type="pct"/>
            <w:vAlign w:val="center"/>
          </w:tcPr>
          <w:p w14:paraId="17AFCEDE">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符合</w:t>
            </w:r>
          </w:p>
        </w:tc>
      </w:tr>
    </w:tbl>
    <w:p w14:paraId="67F26210">
      <w:pPr>
        <w:pStyle w:val="4"/>
        <w:keepNext/>
        <w:keepLines/>
        <w:pageBreakBefore w:val="0"/>
        <w:widowControl/>
        <w:numPr>
          <w:ilvl w:val="2"/>
          <w:numId w:val="0"/>
        </w:numPr>
        <w:kinsoku/>
        <w:wordWrap/>
        <w:overflowPunct/>
        <w:topLinePunct/>
        <w:autoSpaceDE/>
        <w:autoSpaceDN/>
        <w:bidi w:val="0"/>
        <w:adjustRightInd/>
        <w:snapToGrid/>
        <w:spacing w:before="0" w:beforeLines="0" w:after="0" w:afterLines="0"/>
        <w:textAlignment w:val="auto"/>
        <w:rPr>
          <w:rFonts w:hint="default" w:ascii="Times New Roman" w:hAnsi="Times New Roman" w:cs="Times New Roman"/>
          <w:color w:val="auto"/>
          <w:sz w:val="28"/>
          <w:szCs w:val="28"/>
          <w:highlight w:val="none"/>
          <w:u w:val="none" w:color="auto"/>
        </w:rPr>
      </w:pPr>
      <w:bookmarkStart w:id="123" w:name="_Toc26490"/>
      <w:bookmarkStart w:id="124" w:name="_Toc13993"/>
      <w:bookmarkStart w:id="125" w:name="_Toc13125"/>
      <w:bookmarkStart w:id="126" w:name="_Toc3879"/>
      <w:r>
        <w:rPr>
          <w:rFonts w:hint="default" w:ascii="Times New Roman" w:hAnsi="Times New Roman" w:cs="Times New Roman"/>
          <w:color w:val="auto"/>
          <w:sz w:val="28"/>
          <w:szCs w:val="28"/>
          <w:highlight w:val="none"/>
          <w:u w:val="none" w:color="auto"/>
        </w:rPr>
        <w:t>1.4.</w:t>
      </w:r>
      <w:r>
        <w:rPr>
          <w:rFonts w:hint="eastAsia" w:cs="Times New Roman"/>
          <w:color w:val="auto"/>
          <w:sz w:val="28"/>
          <w:szCs w:val="28"/>
          <w:highlight w:val="none"/>
          <w:u w:val="none" w:color="auto"/>
          <w:lang w:val="en-US" w:eastAsia="zh-CN"/>
        </w:rPr>
        <w:t>6</w:t>
      </w:r>
      <w:r>
        <w:rPr>
          <w:rFonts w:hint="default" w:ascii="Times New Roman" w:hAnsi="Times New Roman" w:cs="Times New Roman"/>
          <w:color w:val="auto"/>
          <w:sz w:val="28"/>
          <w:szCs w:val="28"/>
          <w:highlight w:val="none"/>
          <w:u w:val="none" w:color="auto"/>
        </w:rPr>
        <w:t>选址可行性分析</w:t>
      </w:r>
      <w:bookmarkEnd w:id="123"/>
      <w:bookmarkEnd w:id="124"/>
      <w:bookmarkEnd w:id="125"/>
      <w:bookmarkEnd w:id="126"/>
    </w:p>
    <w:p w14:paraId="4D0AC886">
      <w:pPr>
        <w:numPr>
          <w:ilvl w:val="-1"/>
          <w:numId w:val="0"/>
        </w:numPr>
        <w:topLinePunct w:val="0"/>
        <w:autoSpaceDE/>
        <w:autoSpaceDN/>
        <w:adjustRightInd/>
        <w:snapToGrid/>
        <w:spacing w:line="360" w:lineRule="auto"/>
        <w:ind w:firstLine="0" w:firstLineChars="0"/>
        <w:outlineLvl w:val="3"/>
        <w:rPr>
          <w:rFonts w:hint="eastAsia" w:ascii="Times New Roman" w:hAnsi="Times New Roman" w:eastAsia="宋体" w:cs="Times New Roman"/>
          <w:b/>
          <w:color w:val="auto"/>
          <w:kern w:val="2"/>
          <w:sz w:val="24"/>
          <w:szCs w:val="24"/>
          <w:u w:val="none" w:color="auto"/>
        </w:rPr>
      </w:pPr>
      <w:r>
        <w:rPr>
          <w:rFonts w:hint="eastAsia" w:ascii="Times New Roman" w:hAnsi="Times New Roman" w:eastAsia="宋体" w:cs="Times New Roman"/>
          <w:b/>
          <w:color w:val="auto"/>
          <w:sz w:val="24"/>
          <w:szCs w:val="24"/>
          <w:u w:val="none" w:color="auto"/>
        </w:rPr>
        <w:t>1.4.</w:t>
      </w:r>
      <w:r>
        <w:rPr>
          <w:rFonts w:hint="eastAsia" w:cs="Times New Roman"/>
          <w:b/>
          <w:color w:val="auto"/>
          <w:sz w:val="24"/>
          <w:szCs w:val="24"/>
          <w:u w:val="none" w:color="auto"/>
          <w:lang w:val="en-US" w:eastAsia="zh-CN"/>
        </w:rPr>
        <w:t>6.</w:t>
      </w:r>
      <w:r>
        <w:rPr>
          <w:rFonts w:hint="eastAsia" w:ascii="Times New Roman" w:hAnsi="Times New Roman" w:cs="Times New Roman"/>
          <w:b/>
          <w:color w:val="auto"/>
          <w:sz w:val="24"/>
          <w:szCs w:val="24"/>
          <w:u w:val="none" w:color="auto"/>
          <w:lang w:val="en-US" w:eastAsia="zh-CN"/>
        </w:rPr>
        <w:t>1</w:t>
      </w:r>
      <w:r>
        <w:rPr>
          <w:rFonts w:hint="eastAsia" w:ascii="Times New Roman" w:hAnsi="Times New Roman" w:eastAsia="宋体" w:cs="Times New Roman"/>
          <w:b/>
          <w:color w:val="auto"/>
          <w:kern w:val="2"/>
          <w:sz w:val="24"/>
          <w:szCs w:val="24"/>
          <w:u w:val="none" w:color="auto"/>
        </w:rPr>
        <w:t>填埋场选址可行性</w:t>
      </w:r>
    </w:p>
    <w:p w14:paraId="1F96E354">
      <w:pPr>
        <w:topLinePunct w:val="0"/>
        <w:ind w:firstLine="480"/>
        <w:rPr>
          <w:rFonts w:hint="eastAsia" w:cs="Times New Roman"/>
          <w:color w:val="auto"/>
          <w:sz w:val="24"/>
          <w:szCs w:val="24"/>
          <w:highlight w:val="none"/>
          <w:u w:val="none" w:color="auto"/>
          <w:lang w:val="en-US" w:eastAsia="zh-CN"/>
        </w:rPr>
      </w:pPr>
      <w:r>
        <w:rPr>
          <w:rFonts w:hint="eastAsia" w:cs="Times New Roman"/>
          <w:color w:val="auto"/>
          <w:sz w:val="24"/>
          <w:szCs w:val="24"/>
          <w:highlight w:val="none"/>
          <w:u w:val="none" w:color="auto"/>
          <w:lang w:val="en-US" w:eastAsia="zh-CN"/>
        </w:rPr>
        <w:t>本项目第Ⅱ类一般工业固废填埋场与《一般工业固体废物贮存和填埋污染控制标准》（GB18599-2020）中关于场址选择的环境保护要求的符合情况见下表。</w:t>
      </w:r>
    </w:p>
    <w:p w14:paraId="77B8B35B">
      <w:pPr>
        <w:pStyle w:val="21"/>
        <w:spacing w:line="240" w:lineRule="auto"/>
        <w:jc w:val="center"/>
        <w:rPr>
          <w:rFonts w:hint="default" w:ascii="Times New Roman" w:hAnsi="Times New Roman" w:cs="Times New Roman"/>
          <w:color w:val="auto"/>
          <w:sz w:val="21"/>
          <w:szCs w:val="21"/>
          <w:highlight w:val="none"/>
          <w:u w:val="none" w:color="auto"/>
          <w:lang w:val="en-US" w:eastAsia="zh-CN"/>
        </w:rPr>
      </w:pPr>
      <w:r>
        <w:rPr>
          <w:rFonts w:hint="default" w:ascii="Times New Roman" w:hAnsi="Times New Roman" w:cs="Times New Roman"/>
          <w:b/>
          <w:bCs/>
          <w:sz w:val="21"/>
          <w:szCs w:val="21"/>
          <w:u w:val="none"/>
        </w:rPr>
        <w:t>表</w:t>
      </w:r>
      <w:r>
        <w:rPr>
          <w:rFonts w:hint="default" w:ascii="Times New Roman" w:hAnsi="Times New Roman" w:cs="Times New Roman"/>
          <w:b/>
          <w:color w:val="auto"/>
          <w:sz w:val="21"/>
          <w:szCs w:val="21"/>
          <w:u w:val="none" w:color="auto"/>
        </w:rPr>
        <w:t>1.4-</w:t>
      </w:r>
      <w:r>
        <w:rPr>
          <w:rFonts w:hint="default" w:ascii="Times New Roman" w:hAnsi="Times New Roman" w:cs="Times New Roman"/>
          <w:b/>
          <w:color w:val="auto"/>
          <w:sz w:val="21"/>
          <w:szCs w:val="21"/>
          <w:u w:val="none" w:color="auto"/>
          <w:lang w:val="en-US" w:eastAsia="zh-CN"/>
        </w:rPr>
        <w:t>8</w:t>
      </w:r>
      <w:r>
        <w:rPr>
          <w:rFonts w:hint="default" w:ascii="Times New Roman" w:hAnsi="Times New Roman" w:cs="Times New Roman"/>
          <w:b/>
          <w:bCs/>
          <w:sz w:val="21"/>
          <w:szCs w:val="21"/>
          <w:u w:val="none"/>
        </w:rPr>
        <w:t xml:space="preserve">  </w:t>
      </w:r>
      <w:r>
        <w:rPr>
          <w:rFonts w:hint="default" w:ascii="Times New Roman" w:hAnsi="Times New Roman" w:cs="Times New Roman"/>
          <w:b/>
          <w:bCs/>
          <w:color w:val="auto"/>
          <w:sz w:val="21"/>
          <w:szCs w:val="21"/>
          <w:highlight w:val="none"/>
          <w:u w:val="none" w:color="auto"/>
          <w:lang w:val="en-US" w:eastAsia="zh-CN"/>
        </w:rPr>
        <w:t>项目填埋场场址选择与《一般工业固体废物贮存和填埋污染控制标准》（GB18599-2020）中的环境保护要求的符合情况</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4201"/>
        <w:gridCol w:w="3717"/>
        <w:gridCol w:w="680"/>
      </w:tblGrid>
      <w:tr w14:paraId="1F73B3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70" w:type="pct"/>
            <w:noWrap w:val="0"/>
            <w:vAlign w:val="center"/>
          </w:tcPr>
          <w:p w14:paraId="62BCC7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rPr>
            </w:pPr>
            <w:r>
              <w:rPr>
                <w:rFonts w:hint="eastAsia"/>
                <w:b/>
                <w:bCs/>
                <w:sz w:val="21"/>
                <w:szCs w:val="21"/>
                <w:u w:val="none"/>
              </w:rPr>
              <w:t>序号</w:t>
            </w:r>
          </w:p>
        </w:tc>
        <w:tc>
          <w:tcPr>
            <w:tcW w:w="2262" w:type="pct"/>
            <w:noWrap w:val="0"/>
            <w:vAlign w:val="center"/>
          </w:tcPr>
          <w:p w14:paraId="5FB555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rPr>
            </w:pPr>
            <w:r>
              <w:rPr>
                <w:rFonts w:hint="eastAsia"/>
                <w:b/>
                <w:bCs/>
                <w:sz w:val="21"/>
                <w:szCs w:val="21"/>
                <w:u w:val="none"/>
              </w:rPr>
              <w:t>标准要求</w:t>
            </w:r>
          </w:p>
        </w:tc>
        <w:tc>
          <w:tcPr>
            <w:tcW w:w="2001" w:type="pct"/>
            <w:noWrap w:val="0"/>
            <w:vAlign w:val="center"/>
          </w:tcPr>
          <w:p w14:paraId="537C1C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rPr>
            </w:pPr>
            <w:r>
              <w:rPr>
                <w:rFonts w:hint="eastAsia"/>
                <w:b/>
                <w:bCs/>
                <w:sz w:val="21"/>
                <w:szCs w:val="21"/>
                <w:u w:val="none"/>
                <w:lang w:val="en-US" w:eastAsia="zh-CN"/>
              </w:rPr>
              <w:t>本项目填埋场</w:t>
            </w:r>
            <w:r>
              <w:rPr>
                <w:rFonts w:hint="eastAsia"/>
                <w:b/>
                <w:bCs/>
                <w:sz w:val="21"/>
                <w:szCs w:val="21"/>
                <w:u w:val="none"/>
              </w:rPr>
              <w:t>实际情况</w:t>
            </w:r>
          </w:p>
        </w:tc>
        <w:tc>
          <w:tcPr>
            <w:tcW w:w="365" w:type="pct"/>
            <w:noWrap w:val="0"/>
            <w:vAlign w:val="center"/>
          </w:tcPr>
          <w:p w14:paraId="7CD130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rPr>
            </w:pPr>
            <w:r>
              <w:rPr>
                <w:rFonts w:hint="eastAsia"/>
                <w:b/>
                <w:bCs/>
                <w:sz w:val="21"/>
                <w:szCs w:val="21"/>
                <w:u w:val="none"/>
              </w:rPr>
              <w:t>符合情况</w:t>
            </w:r>
          </w:p>
        </w:tc>
      </w:tr>
      <w:tr w14:paraId="120083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2D48A11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一</w:t>
            </w:r>
          </w:p>
        </w:tc>
        <w:tc>
          <w:tcPr>
            <w:tcW w:w="4629" w:type="pct"/>
            <w:gridSpan w:val="3"/>
            <w:noWrap w:val="0"/>
            <w:vAlign w:val="center"/>
          </w:tcPr>
          <w:p w14:paraId="2662160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贮存场和填埋场选址要求</w:t>
            </w:r>
          </w:p>
        </w:tc>
      </w:tr>
      <w:tr w14:paraId="4444A8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1A5263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1</w:t>
            </w:r>
          </w:p>
        </w:tc>
        <w:tc>
          <w:tcPr>
            <w:tcW w:w="2262" w:type="pct"/>
            <w:noWrap w:val="0"/>
            <w:vAlign w:val="center"/>
          </w:tcPr>
          <w:p w14:paraId="2889E5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一般工业固体废物贮存场、填埋场选址应符合环境保护法律法规及相关法定规划要求。</w:t>
            </w:r>
          </w:p>
        </w:tc>
        <w:tc>
          <w:tcPr>
            <w:tcW w:w="2001" w:type="pct"/>
            <w:noWrap w:val="0"/>
            <w:vAlign w:val="center"/>
          </w:tcPr>
          <w:p w14:paraId="2A663E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本项目位于平江县三阳乡，位于建成区和规划区外，集镇规划范围外，满足规划要求。</w:t>
            </w:r>
          </w:p>
        </w:tc>
        <w:tc>
          <w:tcPr>
            <w:tcW w:w="365" w:type="pct"/>
            <w:noWrap w:val="0"/>
            <w:vAlign w:val="center"/>
          </w:tcPr>
          <w:p w14:paraId="4B73CD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4EBA69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561585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2</w:t>
            </w:r>
          </w:p>
        </w:tc>
        <w:tc>
          <w:tcPr>
            <w:tcW w:w="2262" w:type="pct"/>
            <w:noWrap w:val="0"/>
            <w:vAlign w:val="center"/>
          </w:tcPr>
          <w:p w14:paraId="0CB404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贮存场、填埋场的位置与周围居民区的距离应依据环境影响评价文件及审批意见确定。</w:t>
            </w:r>
          </w:p>
        </w:tc>
        <w:tc>
          <w:tcPr>
            <w:tcW w:w="2001" w:type="pct"/>
            <w:noWrap w:val="0"/>
            <w:vAlign w:val="center"/>
          </w:tcPr>
          <w:p w14:paraId="366C6B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本项目为污染治理项目，考虑项目实际情况，无需设置防护距离，厂址选址符合要求。</w:t>
            </w:r>
          </w:p>
        </w:tc>
        <w:tc>
          <w:tcPr>
            <w:tcW w:w="365" w:type="pct"/>
            <w:noWrap w:val="0"/>
            <w:vAlign w:val="center"/>
          </w:tcPr>
          <w:p w14:paraId="52026B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3F189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6CFC92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3</w:t>
            </w:r>
          </w:p>
        </w:tc>
        <w:tc>
          <w:tcPr>
            <w:tcW w:w="2262" w:type="pct"/>
            <w:noWrap w:val="0"/>
            <w:vAlign w:val="center"/>
          </w:tcPr>
          <w:p w14:paraId="06D55D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贮存场、填埋场不得选在生态保护红线区域、永久基本农田集中区域和其他需要特别保护的区域内。</w:t>
            </w:r>
          </w:p>
        </w:tc>
        <w:tc>
          <w:tcPr>
            <w:tcW w:w="2001" w:type="pct"/>
            <w:noWrap w:val="0"/>
            <w:vAlign w:val="center"/>
          </w:tcPr>
          <w:p w14:paraId="75D282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lang w:val="en-US" w:eastAsia="zh-CN"/>
              </w:rPr>
              <w:t>本项目填埋场不</w:t>
            </w:r>
            <w:r>
              <w:rPr>
                <w:rFonts w:hint="eastAsia"/>
                <w:sz w:val="21"/>
                <w:szCs w:val="21"/>
                <w:highlight w:val="none"/>
                <w:u w:val="none"/>
              </w:rPr>
              <w:t>在生态保护红线区域、永久基本农田集中区域和其他需要特别保护的区域内。</w:t>
            </w:r>
          </w:p>
        </w:tc>
        <w:tc>
          <w:tcPr>
            <w:tcW w:w="365" w:type="pct"/>
            <w:noWrap w:val="0"/>
            <w:vAlign w:val="center"/>
          </w:tcPr>
          <w:p w14:paraId="2B72D9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7B0B0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10D01A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4</w:t>
            </w:r>
          </w:p>
        </w:tc>
        <w:tc>
          <w:tcPr>
            <w:tcW w:w="2262" w:type="pct"/>
            <w:noWrap w:val="0"/>
            <w:vAlign w:val="center"/>
          </w:tcPr>
          <w:p w14:paraId="11F30A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贮存场、填埋场应避开活动断层、溶洞区、天然滑坡或泥石流影响区以及湿地等区域。</w:t>
            </w:r>
          </w:p>
        </w:tc>
        <w:tc>
          <w:tcPr>
            <w:tcW w:w="2001" w:type="pct"/>
            <w:noWrap w:val="0"/>
            <w:vAlign w:val="center"/>
          </w:tcPr>
          <w:p w14:paraId="6C479E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根据</w:t>
            </w:r>
            <w:r>
              <w:rPr>
                <w:rFonts w:hint="eastAsia"/>
                <w:sz w:val="21"/>
                <w:szCs w:val="21"/>
                <w:highlight w:val="none"/>
                <w:u w:val="none"/>
                <w:lang w:val="en-US" w:eastAsia="zh-CN"/>
              </w:rPr>
              <w:t>《平江县三阳乡万古村万古水库周边历史遗留重金属废渣整治项目工程详细勘察报告》</w:t>
            </w:r>
            <w:r>
              <w:rPr>
                <w:rFonts w:hint="eastAsia"/>
                <w:sz w:val="21"/>
                <w:szCs w:val="21"/>
                <w:highlight w:val="none"/>
                <w:u w:val="none"/>
              </w:rPr>
              <w:t>可知，选址处未发现断层、断层破碎带，以及天然滑坡或泥石流影响区以及湿地等区域。</w:t>
            </w:r>
          </w:p>
        </w:tc>
        <w:tc>
          <w:tcPr>
            <w:tcW w:w="365" w:type="pct"/>
            <w:noWrap w:val="0"/>
            <w:vAlign w:val="center"/>
          </w:tcPr>
          <w:p w14:paraId="74B8A9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6B9993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304248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5</w:t>
            </w:r>
          </w:p>
        </w:tc>
        <w:tc>
          <w:tcPr>
            <w:tcW w:w="2262" w:type="pct"/>
            <w:noWrap w:val="0"/>
            <w:vAlign w:val="center"/>
          </w:tcPr>
          <w:p w14:paraId="576F39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贮存场、填埋场不得选在江河、湖泊、运河、渠道、水库最高水位线以下的滩地和岸坡，以及国家和地方长远规划中的水库等人工蓄水设施的淹没区和保护区之内。</w:t>
            </w:r>
          </w:p>
        </w:tc>
        <w:tc>
          <w:tcPr>
            <w:tcW w:w="2001" w:type="pct"/>
            <w:noWrap w:val="0"/>
            <w:vAlign w:val="center"/>
          </w:tcPr>
          <w:p w14:paraId="10A536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lang w:val="en-US" w:eastAsia="zh-CN"/>
              </w:rPr>
              <w:t>本项目</w:t>
            </w:r>
            <w:r>
              <w:rPr>
                <w:rFonts w:hint="eastAsia"/>
                <w:sz w:val="21"/>
                <w:szCs w:val="21"/>
                <w:highlight w:val="none"/>
                <w:u w:val="none"/>
              </w:rPr>
              <w:t>未选址在江河、湖泊、水库最高水位线以下的滩地和洪泛区以及国家和地方长远规划中的水库等人工蓄水设施的淹没区和保护区之内。</w:t>
            </w:r>
          </w:p>
        </w:tc>
        <w:tc>
          <w:tcPr>
            <w:tcW w:w="365" w:type="pct"/>
            <w:noWrap w:val="0"/>
            <w:vAlign w:val="center"/>
          </w:tcPr>
          <w:p w14:paraId="1A53C4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5256C1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37F00B8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二</w:t>
            </w:r>
          </w:p>
        </w:tc>
        <w:tc>
          <w:tcPr>
            <w:tcW w:w="4629" w:type="pct"/>
            <w:gridSpan w:val="3"/>
            <w:noWrap w:val="0"/>
            <w:vAlign w:val="center"/>
          </w:tcPr>
          <w:p w14:paraId="438FB82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贮存场和填埋场技术要求</w:t>
            </w:r>
          </w:p>
        </w:tc>
      </w:tr>
      <w:tr w14:paraId="1230A1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223BE6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1</w:t>
            </w:r>
          </w:p>
        </w:tc>
        <w:tc>
          <w:tcPr>
            <w:tcW w:w="2262" w:type="pct"/>
            <w:noWrap w:val="0"/>
            <w:vAlign w:val="center"/>
          </w:tcPr>
          <w:p w14:paraId="0E95D5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贮存场、填埋场的防洪标准应按重现期不小于50年一遇的洪水位设计，国家已有标准提出更高要求的除外</w:t>
            </w:r>
          </w:p>
        </w:tc>
        <w:tc>
          <w:tcPr>
            <w:tcW w:w="2001" w:type="pct"/>
            <w:noWrap w:val="0"/>
            <w:vAlign w:val="center"/>
          </w:tcPr>
          <w:p w14:paraId="7782AE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lang w:val="en-US" w:eastAsia="zh-CN"/>
              </w:rPr>
              <w:t>本项目</w:t>
            </w:r>
            <w:r>
              <w:rPr>
                <w:rFonts w:hint="eastAsia"/>
                <w:sz w:val="21"/>
                <w:szCs w:val="21"/>
                <w:highlight w:val="none"/>
                <w:u w:val="none"/>
              </w:rPr>
              <w:t>设计防洪按照50年一遇进行</w:t>
            </w:r>
            <w:r>
              <w:rPr>
                <w:rFonts w:hint="eastAsia"/>
                <w:sz w:val="21"/>
                <w:szCs w:val="21"/>
                <w:highlight w:val="none"/>
                <w:u w:val="none"/>
                <w:lang w:val="en-US" w:eastAsia="zh-CN"/>
              </w:rPr>
              <w:t>设计及</w:t>
            </w:r>
            <w:r>
              <w:rPr>
                <w:rFonts w:hint="eastAsia"/>
                <w:sz w:val="21"/>
                <w:szCs w:val="21"/>
                <w:highlight w:val="none"/>
                <w:u w:val="none"/>
              </w:rPr>
              <w:t>建设。</w:t>
            </w:r>
          </w:p>
        </w:tc>
        <w:tc>
          <w:tcPr>
            <w:tcW w:w="365" w:type="pct"/>
            <w:noWrap w:val="0"/>
            <w:vAlign w:val="center"/>
          </w:tcPr>
          <w:p w14:paraId="6ECA7F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7AE71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606D33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2</w:t>
            </w:r>
          </w:p>
        </w:tc>
        <w:tc>
          <w:tcPr>
            <w:tcW w:w="2262" w:type="pct"/>
            <w:noWrap w:val="0"/>
            <w:vAlign w:val="center"/>
          </w:tcPr>
          <w:p w14:paraId="786AD9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贮存场和填埋场一般应包括以下单元：</w:t>
            </w:r>
          </w:p>
          <w:p w14:paraId="195C2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a）防渗系统、渗滤液收集和导排系统；</w:t>
            </w:r>
          </w:p>
          <w:p w14:paraId="17E0A0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b）雨污分流系统；</w:t>
            </w:r>
          </w:p>
          <w:p w14:paraId="2FE7F9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c）分析化验与环境监测系统；</w:t>
            </w:r>
          </w:p>
          <w:p w14:paraId="2F5F84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d）公用工程和配套设施；</w:t>
            </w:r>
          </w:p>
          <w:p w14:paraId="54E092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e）地下水导排系统和废水处理系统（根据具体情况选择设置）</w:t>
            </w:r>
          </w:p>
        </w:tc>
        <w:tc>
          <w:tcPr>
            <w:tcW w:w="2001" w:type="pct"/>
            <w:noWrap w:val="0"/>
            <w:vAlign w:val="center"/>
          </w:tcPr>
          <w:p w14:paraId="10DA60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lang w:val="en-US" w:eastAsia="zh-CN"/>
              </w:rPr>
            </w:pPr>
            <w:r>
              <w:rPr>
                <w:rFonts w:hint="eastAsia"/>
                <w:sz w:val="21"/>
                <w:szCs w:val="21"/>
                <w:highlight w:val="none"/>
                <w:u w:val="none"/>
                <w:lang w:val="en-US" w:eastAsia="zh-CN"/>
              </w:rPr>
              <w:t>项目设计有防渗系统、渗滤液收集和导排系统；雨污分流系统。项目委托第三方有资质公司进行监测和化验；渗滤液收集后经槽罐车运输至湖南黄金天岳矿业有限公司垂拱洞尾矿库废水处理站处理处置。</w:t>
            </w:r>
          </w:p>
        </w:tc>
        <w:tc>
          <w:tcPr>
            <w:tcW w:w="365" w:type="pct"/>
            <w:noWrap w:val="0"/>
            <w:vAlign w:val="center"/>
          </w:tcPr>
          <w:p w14:paraId="4AA67B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r w14:paraId="4F8586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27777C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3</w:t>
            </w:r>
          </w:p>
        </w:tc>
        <w:tc>
          <w:tcPr>
            <w:tcW w:w="2262" w:type="pct"/>
            <w:noWrap w:val="0"/>
            <w:vAlign w:val="center"/>
          </w:tcPr>
          <w:p w14:paraId="3E4F18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贮存场及填埋场施工方案中应包括施工质量保证和施工质量控制内容，明确环保条款和责任，作为项目竣工环境保护验收的依据，同时可作为建设环境监理的主要内容。</w:t>
            </w:r>
          </w:p>
        </w:tc>
        <w:tc>
          <w:tcPr>
            <w:tcW w:w="2001" w:type="pct"/>
            <w:noWrap w:val="0"/>
            <w:vAlign w:val="center"/>
          </w:tcPr>
          <w:p w14:paraId="3A1920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项目施工方案中包含施工质量保证和施工质量控制内容。</w:t>
            </w:r>
          </w:p>
        </w:tc>
        <w:tc>
          <w:tcPr>
            <w:tcW w:w="365" w:type="pct"/>
            <w:noWrap w:val="0"/>
            <w:vAlign w:val="center"/>
          </w:tcPr>
          <w:p w14:paraId="227F8F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268697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766B0A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4</w:t>
            </w:r>
          </w:p>
        </w:tc>
        <w:tc>
          <w:tcPr>
            <w:tcW w:w="2262" w:type="pct"/>
            <w:noWrap w:val="0"/>
            <w:vAlign w:val="center"/>
          </w:tcPr>
          <w:p w14:paraId="4C0874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贮存场及填埋场渗滤液收集池的防渗要求应不低于对应贮存场、填埋场的防渗要求。</w:t>
            </w:r>
          </w:p>
        </w:tc>
        <w:tc>
          <w:tcPr>
            <w:tcW w:w="2001" w:type="pct"/>
            <w:noWrap w:val="0"/>
            <w:vAlign w:val="center"/>
          </w:tcPr>
          <w:p w14:paraId="35E309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rPr>
            </w:pPr>
            <w:r>
              <w:rPr>
                <w:rFonts w:hint="default" w:ascii="Times New Roman" w:hAnsi="Times New Roman" w:cs="Times New Roman"/>
                <w:sz w:val="21"/>
                <w:szCs w:val="21"/>
                <w:highlight w:val="none"/>
                <w:u w:val="none"/>
              </w:rPr>
              <w:t>本项目渗滤液收集池防渗要求等效黏土防渗层Mb≥6.0m，K≤1×10</w:t>
            </w:r>
            <w:r>
              <w:rPr>
                <w:rFonts w:hint="default" w:ascii="Times New Roman" w:hAnsi="Times New Roman" w:cs="Times New Roman"/>
                <w:sz w:val="21"/>
                <w:szCs w:val="21"/>
                <w:highlight w:val="none"/>
                <w:u w:val="none"/>
                <w:vertAlign w:val="superscript"/>
              </w:rPr>
              <w:t>-7</w:t>
            </w:r>
            <w:r>
              <w:rPr>
                <w:rFonts w:hint="default" w:ascii="Times New Roman" w:hAnsi="Times New Roman" w:cs="Times New Roman"/>
                <w:sz w:val="21"/>
                <w:szCs w:val="21"/>
                <w:highlight w:val="none"/>
                <w:u w:val="none"/>
              </w:rPr>
              <w:t>cm/s，防渗要求不低于填埋场的防渗要求。</w:t>
            </w:r>
          </w:p>
        </w:tc>
        <w:tc>
          <w:tcPr>
            <w:tcW w:w="365" w:type="pct"/>
            <w:noWrap w:val="0"/>
            <w:vAlign w:val="center"/>
          </w:tcPr>
          <w:p w14:paraId="3BAB54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rPr>
            </w:pPr>
            <w:r>
              <w:rPr>
                <w:rFonts w:hint="default" w:ascii="Times New Roman" w:hAnsi="Times New Roman" w:cs="Times New Roman"/>
                <w:sz w:val="21"/>
                <w:szCs w:val="21"/>
                <w:highlight w:val="none"/>
                <w:u w:val="none"/>
              </w:rPr>
              <w:t>符合</w:t>
            </w:r>
          </w:p>
        </w:tc>
      </w:tr>
      <w:tr w14:paraId="0B485B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vMerge w:val="restart"/>
            <w:noWrap w:val="0"/>
            <w:vAlign w:val="center"/>
          </w:tcPr>
          <w:p w14:paraId="16030C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5</w:t>
            </w:r>
          </w:p>
        </w:tc>
        <w:tc>
          <w:tcPr>
            <w:tcW w:w="2262" w:type="pct"/>
            <w:noWrap w:val="0"/>
            <w:vAlign w:val="center"/>
          </w:tcPr>
          <w:p w14:paraId="218AA9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5.3.1a）人工合成材料应采用高密度聚乙烯膜，厚度不小于1.5mm，并满足GB/T17643规定的技术指标要求。采用其他人工合成材料的，其防渗性能至少相当于1.5mm高密度聚乙烯膜的防渗性能。</w:t>
            </w:r>
          </w:p>
          <w:p w14:paraId="32D3EC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b）粘土衬层厚度应不小于0.75m，且经压实、人工改性等措施处理后的饱和渗透系数不应大于1.0</w:t>
            </w:r>
            <w:r>
              <w:rPr>
                <w:rFonts w:hint="default" w:ascii="Times New Roman" w:hAnsi="Times New Roman" w:cs="Times New Roman"/>
                <w:sz w:val="21"/>
                <w:szCs w:val="21"/>
                <w:u w:val="none"/>
              </w:rPr>
              <w:t>×</w:t>
            </w:r>
            <w:r>
              <w:rPr>
                <w:rFonts w:hint="eastAsia"/>
                <w:sz w:val="21"/>
                <w:szCs w:val="21"/>
                <w:u w:val="none"/>
              </w:rPr>
              <w:t>10</w:t>
            </w:r>
            <w:r>
              <w:rPr>
                <w:rFonts w:hint="eastAsia"/>
                <w:sz w:val="21"/>
                <w:szCs w:val="21"/>
                <w:u w:val="none"/>
                <w:vertAlign w:val="superscript"/>
              </w:rPr>
              <w:t>-7</w:t>
            </w:r>
            <w:r>
              <w:rPr>
                <w:rFonts w:hint="eastAsia"/>
                <w:sz w:val="21"/>
                <w:szCs w:val="21"/>
                <w:u w:val="none"/>
              </w:rPr>
              <w:t>cm/s。使用其他粘土类防渗衬层材料时，应具有同等以上隔水效力。</w:t>
            </w:r>
          </w:p>
        </w:tc>
        <w:tc>
          <w:tcPr>
            <w:tcW w:w="2001" w:type="pct"/>
            <w:noWrap w:val="0"/>
            <w:vAlign w:val="center"/>
          </w:tcPr>
          <w:p w14:paraId="175F86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rPr>
            </w:pPr>
            <w:r>
              <w:rPr>
                <w:rFonts w:hint="eastAsia"/>
                <w:sz w:val="21"/>
                <w:szCs w:val="21"/>
                <w:highlight w:val="none"/>
                <w:u w:val="none"/>
              </w:rPr>
              <w:t>采用无纺布+HDPE膜+GCL层的防渗结构，由下至上结构为：</w:t>
            </w:r>
            <w:r>
              <w:rPr>
                <w:rFonts w:hint="default" w:ascii="Times New Roman" w:hAnsi="Times New Roman" w:cs="Times New Roman"/>
                <w:sz w:val="21"/>
                <w:szCs w:val="21"/>
                <w:highlight w:val="none"/>
                <w:u w:val="none"/>
                <w:lang w:val="en-US" w:eastAsia="zh-CN"/>
              </w:rPr>
              <w:t>200g/m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lang w:val="en-US" w:eastAsia="zh-CN"/>
              </w:rPr>
              <w:t>轻质有纺土工布</w:t>
            </w:r>
            <w:r>
              <w:rPr>
                <w:rFonts w:hint="eastAsia" w:cs="Times New Roman"/>
                <w:sz w:val="21"/>
                <w:szCs w:val="21"/>
                <w:highlight w:val="none"/>
                <w:u w:val="none"/>
                <w:lang w:val="en-US" w:eastAsia="zh-CN"/>
              </w:rPr>
              <w:t>+</w:t>
            </w:r>
            <w:r>
              <w:rPr>
                <w:rFonts w:hint="default" w:ascii="Times New Roman" w:hAnsi="Times New Roman" w:cs="Times New Roman"/>
                <w:sz w:val="21"/>
                <w:szCs w:val="21"/>
                <w:highlight w:val="none"/>
                <w:u w:val="none"/>
                <w:lang w:val="en-US" w:eastAsia="zh-CN"/>
              </w:rPr>
              <w:t>300mm厚卵石</w:t>
            </w:r>
            <w:r>
              <w:rPr>
                <w:rFonts w:hint="eastAsia" w:cs="Times New Roman"/>
                <w:sz w:val="21"/>
                <w:szCs w:val="21"/>
                <w:highlight w:val="none"/>
                <w:u w:val="none"/>
                <w:lang w:val="en-US" w:eastAsia="zh-CN"/>
              </w:rPr>
              <w:t>+</w:t>
            </w:r>
            <w:r>
              <w:rPr>
                <w:rFonts w:hint="default" w:ascii="Times New Roman" w:hAnsi="Times New Roman" w:cs="Times New Roman"/>
                <w:sz w:val="21"/>
                <w:szCs w:val="21"/>
                <w:highlight w:val="none"/>
                <w:u w:val="none"/>
                <w:lang w:val="en-US" w:eastAsia="zh-CN"/>
              </w:rPr>
              <w:t>DN200-300HDPE管</w:t>
            </w:r>
            <w:r>
              <w:rPr>
                <w:rFonts w:hint="eastAsia" w:cs="Times New Roman"/>
                <w:sz w:val="21"/>
                <w:szCs w:val="21"/>
                <w:highlight w:val="none"/>
                <w:u w:val="none"/>
                <w:lang w:val="en-US" w:eastAsia="zh-CN"/>
              </w:rPr>
              <w:t>+</w:t>
            </w:r>
            <w:r>
              <w:rPr>
                <w:rFonts w:hint="default" w:ascii="Times New Roman" w:hAnsi="Times New Roman" w:cs="Times New Roman"/>
                <w:sz w:val="21"/>
                <w:szCs w:val="21"/>
                <w:highlight w:val="none"/>
                <w:u w:val="none"/>
                <w:lang w:val="en-US" w:eastAsia="zh-CN"/>
              </w:rPr>
              <w:t>600g/m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lang w:val="en-US" w:eastAsia="zh-CN"/>
              </w:rPr>
              <w:t>长丝无纺土工布</w:t>
            </w:r>
            <w:r>
              <w:rPr>
                <w:rFonts w:hint="eastAsia" w:cs="Times New Roman"/>
                <w:sz w:val="21"/>
                <w:szCs w:val="21"/>
                <w:highlight w:val="none"/>
                <w:u w:val="none"/>
                <w:lang w:val="en-US" w:eastAsia="zh-CN"/>
              </w:rPr>
              <w:t>+</w:t>
            </w:r>
            <w:r>
              <w:rPr>
                <w:rFonts w:hint="default" w:ascii="Times New Roman" w:hAnsi="Times New Roman" w:cs="Times New Roman"/>
                <w:sz w:val="21"/>
                <w:szCs w:val="21"/>
                <w:highlight w:val="none"/>
                <w:u w:val="none"/>
                <w:lang w:val="en-US" w:eastAsia="zh-CN"/>
              </w:rPr>
              <w:t>1.5mm厚光面HDPE土工膜</w:t>
            </w:r>
            <w:r>
              <w:rPr>
                <w:rFonts w:hint="eastAsia" w:cs="Times New Roman"/>
                <w:sz w:val="21"/>
                <w:szCs w:val="21"/>
                <w:highlight w:val="none"/>
                <w:u w:val="none"/>
                <w:lang w:val="en-US" w:eastAsia="zh-CN"/>
              </w:rPr>
              <w:t>+</w:t>
            </w:r>
            <w:r>
              <w:rPr>
                <w:rFonts w:hint="default" w:ascii="Times New Roman" w:hAnsi="Times New Roman" w:cs="Times New Roman"/>
                <w:sz w:val="21"/>
                <w:szCs w:val="21"/>
                <w:highlight w:val="none"/>
                <w:u w:val="none"/>
                <w:lang w:val="en-US" w:eastAsia="zh-CN"/>
              </w:rPr>
              <w:t>600g/m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lang w:val="en-US" w:eastAsia="zh-CN"/>
              </w:rPr>
              <w:t>长丝无纺土工布</w:t>
            </w:r>
            <w:r>
              <w:rPr>
                <w:rFonts w:hint="eastAsia"/>
                <w:sz w:val="21"/>
                <w:szCs w:val="21"/>
                <w:highlight w:val="none"/>
                <w:u w:val="none"/>
              </w:rPr>
              <w:t>，满足规范的要求。</w:t>
            </w:r>
          </w:p>
        </w:tc>
        <w:tc>
          <w:tcPr>
            <w:tcW w:w="365" w:type="pct"/>
            <w:noWrap w:val="0"/>
            <w:vAlign w:val="center"/>
          </w:tcPr>
          <w:p w14:paraId="362048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r w14:paraId="6025C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vMerge w:val="continue"/>
            <w:noWrap w:val="0"/>
            <w:vAlign w:val="center"/>
          </w:tcPr>
          <w:p w14:paraId="534F2B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p>
        </w:tc>
        <w:tc>
          <w:tcPr>
            <w:tcW w:w="2262" w:type="pct"/>
            <w:noWrap w:val="0"/>
            <w:vAlign w:val="center"/>
          </w:tcPr>
          <w:p w14:paraId="721F9C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5.3.2</w:t>
            </w:r>
            <w:r>
              <w:rPr>
                <w:rFonts w:hint="default" w:ascii="Times New Roman" w:hAnsi="Times New Roman" w:eastAsia="宋体" w:cs="Times New Roman"/>
                <w:sz w:val="21"/>
                <w:szCs w:val="21"/>
                <w:u w:val="none"/>
              </w:rPr>
              <w:t>Ⅱ</w:t>
            </w:r>
            <w:r>
              <w:rPr>
                <w:rFonts w:hint="eastAsia"/>
                <w:sz w:val="21"/>
                <w:szCs w:val="21"/>
                <w:u w:val="none"/>
              </w:rPr>
              <w:t>类场基础层表面应与地下水年最高水位保持1.5m以上的距离。当场区基础层表面与地下水年最高水位距离不足1.5m时，应建设地下水导排系统。地下水导排系统应确保Ⅱ类场运行期地下水水位维持在基础层表面1.5m以下。</w:t>
            </w:r>
          </w:p>
        </w:tc>
        <w:tc>
          <w:tcPr>
            <w:tcW w:w="2001" w:type="pct"/>
            <w:noWrap w:val="0"/>
            <w:vAlign w:val="center"/>
          </w:tcPr>
          <w:p w14:paraId="53C5D4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本项目拟建</w:t>
            </w:r>
            <w:r>
              <w:rPr>
                <w:rFonts w:hint="eastAsia"/>
                <w:sz w:val="21"/>
                <w:szCs w:val="21"/>
                <w:highlight w:val="none"/>
                <w:u w:val="none"/>
                <w:lang w:val="en-US" w:eastAsia="zh-CN"/>
              </w:rPr>
              <w:t>填埋场</w:t>
            </w:r>
            <w:r>
              <w:rPr>
                <w:rFonts w:hint="eastAsia"/>
                <w:sz w:val="21"/>
                <w:szCs w:val="21"/>
                <w:highlight w:val="none"/>
                <w:u w:val="none"/>
              </w:rPr>
              <w:t>位于山地，地势较高，基础层表面与地下水年最高水位保持1.5m以上的距离。</w:t>
            </w:r>
          </w:p>
        </w:tc>
        <w:tc>
          <w:tcPr>
            <w:tcW w:w="365" w:type="pct"/>
            <w:noWrap w:val="0"/>
            <w:vAlign w:val="center"/>
          </w:tcPr>
          <w:p w14:paraId="2BF146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3EB9C0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vMerge w:val="continue"/>
            <w:noWrap w:val="0"/>
            <w:vAlign w:val="center"/>
          </w:tcPr>
          <w:p w14:paraId="01435B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p>
        </w:tc>
        <w:tc>
          <w:tcPr>
            <w:tcW w:w="2262" w:type="pct"/>
            <w:noWrap w:val="0"/>
            <w:vAlign w:val="center"/>
          </w:tcPr>
          <w:p w14:paraId="4B62CD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5.3.3</w:t>
            </w:r>
            <w:r>
              <w:rPr>
                <w:rFonts w:hint="default" w:ascii="Times New Roman" w:hAnsi="Times New Roman" w:eastAsia="宋体" w:cs="Times New Roman"/>
                <w:sz w:val="21"/>
                <w:szCs w:val="21"/>
                <w:u w:val="none"/>
              </w:rPr>
              <w:t>Ⅱ</w:t>
            </w:r>
            <w:r>
              <w:rPr>
                <w:rFonts w:hint="eastAsia"/>
                <w:sz w:val="21"/>
                <w:szCs w:val="21"/>
                <w:u w:val="none"/>
              </w:rPr>
              <w:t>类场应设置渗漏监控系统，监控防渗衬层的完整性。渗漏监控系统的构成包括但不限于防渗衬层渗漏监测设备、地下水监测井。</w:t>
            </w:r>
          </w:p>
        </w:tc>
        <w:tc>
          <w:tcPr>
            <w:tcW w:w="2001" w:type="pct"/>
            <w:noWrap w:val="0"/>
            <w:vAlign w:val="center"/>
          </w:tcPr>
          <w:p w14:paraId="0946BB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rPr>
            </w:pPr>
            <w:r>
              <w:rPr>
                <w:sz w:val="21"/>
                <w:szCs w:val="21"/>
                <w:highlight w:val="none"/>
                <w:u w:val="none"/>
              </w:rPr>
              <w:t>建立完善的地下水监测系统，</w:t>
            </w:r>
            <w:r>
              <w:rPr>
                <w:rFonts w:hint="eastAsia"/>
                <w:sz w:val="21"/>
                <w:szCs w:val="21"/>
                <w:highlight w:val="none"/>
                <w:u w:val="none"/>
                <w:lang w:eastAsia="zh-CN"/>
              </w:rPr>
              <w:t>包括</w:t>
            </w:r>
            <w:r>
              <w:rPr>
                <w:rFonts w:hint="eastAsia"/>
                <w:sz w:val="21"/>
                <w:szCs w:val="21"/>
                <w:highlight w:val="none"/>
                <w:u w:val="none"/>
              </w:rPr>
              <w:t>渗漏监测设备、地下水监测井</w:t>
            </w:r>
            <w:r>
              <w:rPr>
                <w:rFonts w:hint="eastAsia"/>
                <w:sz w:val="21"/>
                <w:szCs w:val="21"/>
                <w:highlight w:val="none"/>
                <w:u w:val="none"/>
                <w:lang w:eastAsia="zh-CN"/>
              </w:rPr>
              <w:t>等。</w:t>
            </w:r>
            <w:r>
              <w:rPr>
                <w:sz w:val="21"/>
                <w:szCs w:val="21"/>
                <w:highlight w:val="none"/>
                <w:u w:val="none"/>
              </w:rPr>
              <w:t>项目</w:t>
            </w:r>
            <w:r>
              <w:rPr>
                <w:rFonts w:hint="eastAsia"/>
                <w:sz w:val="21"/>
                <w:szCs w:val="21"/>
                <w:highlight w:val="none"/>
                <w:u w:val="none"/>
              </w:rPr>
              <w:t>设地下水监测井</w:t>
            </w:r>
            <w:r>
              <w:rPr>
                <w:rFonts w:hint="eastAsia"/>
                <w:sz w:val="21"/>
                <w:szCs w:val="21"/>
                <w:highlight w:val="none"/>
                <w:u w:val="none"/>
                <w:lang w:val="en-US" w:eastAsia="zh-CN"/>
              </w:rPr>
              <w:t>8</w:t>
            </w:r>
            <w:r>
              <w:rPr>
                <w:rFonts w:hint="eastAsia"/>
                <w:sz w:val="21"/>
                <w:szCs w:val="21"/>
                <w:highlight w:val="none"/>
                <w:u w:val="none"/>
              </w:rPr>
              <w:t>口</w:t>
            </w:r>
            <w:r>
              <w:rPr>
                <w:rFonts w:hint="eastAsia"/>
                <w:sz w:val="21"/>
                <w:szCs w:val="21"/>
                <w:highlight w:val="none"/>
                <w:u w:val="none"/>
                <w:lang w:eastAsia="zh-CN"/>
              </w:rPr>
              <w:t>，</w:t>
            </w:r>
            <w:r>
              <w:rPr>
                <w:rFonts w:hint="eastAsia"/>
                <w:sz w:val="21"/>
                <w:szCs w:val="21"/>
                <w:highlight w:val="none"/>
                <w:u w:val="none"/>
              </w:rPr>
              <w:t>其中一个作为背景值的监测井1#设置在填埋场的上游（北侧），另一个布设在填埋场的南侧（地下水下游）4#，另外两个布置在与场址地下水同一等值线上，填埋场西侧可能出现污染扩散的区域2#、3#，此外1#渣堆、2#渣堆、万古水库3A/3B渣堆区域地下水流向的下游分别设置1座</w:t>
            </w:r>
          </w:p>
        </w:tc>
        <w:tc>
          <w:tcPr>
            <w:tcW w:w="365" w:type="pct"/>
            <w:noWrap w:val="0"/>
            <w:vAlign w:val="center"/>
          </w:tcPr>
          <w:p w14:paraId="695773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09BDCA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vMerge w:val="continue"/>
            <w:noWrap w:val="0"/>
            <w:vAlign w:val="center"/>
          </w:tcPr>
          <w:p w14:paraId="6D85E6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p>
        </w:tc>
        <w:tc>
          <w:tcPr>
            <w:tcW w:w="2262" w:type="pct"/>
            <w:noWrap w:val="0"/>
            <w:vAlign w:val="center"/>
          </w:tcPr>
          <w:p w14:paraId="28AB31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5.3.4人工合成材料衬层、渗滤液收集和导排系统的施工不应对粘土衬层造成破坏。</w:t>
            </w:r>
          </w:p>
        </w:tc>
        <w:tc>
          <w:tcPr>
            <w:tcW w:w="2001" w:type="pct"/>
            <w:noWrap w:val="0"/>
            <w:vAlign w:val="center"/>
          </w:tcPr>
          <w:p w14:paraId="4C409A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本项目严格按照要求施工，禁止对粘土衬层造成破坏。</w:t>
            </w:r>
          </w:p>
        </w:tc>
        <w:tc>
          <w:tcPr>
            <w:tcW w:w="365" w:type="pct"/>
            <w:noWrap w:val="0"/>
            <w:vAlign w:val="center"/>
          </w:tcPr>
          <w:p w14:paraId="3008F2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符合</w:t>
            </w:r>
          </w:p>
        </w:tc>
      </w:tr>
      <w:tr w14:paraId="733BAE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6379C6A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三</w:t>
            </w:r>
          </w:p>
        </w:tc>
        <w:tc>
          <w:tcPr>
            <w:tcW w:w="4629" w:type="pct"/>
            <w:gridSpan w:val="3"/>
            <w:noWrap w:val="0"/>
            <w:vAlign w:val="center"/>
          </w:tcPr>
          <w:p w14:paraId="5A24C50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封场及土地复垦要求</w:t>
            </w:r>
          </w:p>
        </w:tc>
      </w:tr>
      <w:tr w14:paraId="211291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72CB8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1</w:t>
            </w:r>
          </w:p>
        </w:tc>
        <w:tc>
          <w:tcPr>
            <w:tcW w:w="2262" w:type="pct"/>
            <w:noWrap w:val="0"/>
            <w:vAlign w:val="center"/>
          </w:tcPr>
          <w:p w14:paraId="12D8ED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当贮存场、填埋场服务期满或不再承担新的贮存、填埋任务时，应在2年内启动封场作业，并采取相应的污染防治措施，防止造成环境污染和生态破坏。封场计划可分期实施。</w:t>
            </w:r>
          </w:p>
          <w:p w14:paraId="5AEB35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贮存场、填埋场封场时应控制封场坡度，防止雨水侵蚀。</w:t>
            </w:r>
          </w:p>
          <w:p w14:paraId="48D8AC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default" w:ascii="Times New Roman" w:hAnsi="Times New Roman" w:cs="Times New Roman"/>
                <w:sz w:val="21"/>
                <w:szCs w:val="21"/>
                <w:u w:val="none"/>
              </w:rPr>
              <w:t>Ⅱ</w:t>
            </w:r>
            <w:r>
              <w:rPr>
                <w:rFonts w:hint="eastAsia"/>
                <w:sz w:val="21"/>
                <w:szCs w:val="21"/>
                <w:u w:val="none"/>
              </w:rPr>
              <w:t>类场的封场结构应包括阻隔层、雨水导排层、覆盖土层。覆盖土层的厚度视拟种植物种类及其对阻隔层可能产生的损坏确定。</w:t>
            </w:r>
          </w:p>
          <w:p w14:paraId="3E4DE4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固体废物的颗粒度大小和拟种植物种类确定，封场后，仍需对覆盖层进行维护管理，防止覆盖层不均匀沉降、开裂。</w:t>
            </w:r>
          </w:p>
          <w:p w14:paraId="6CF348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封场后的贮存场、填埋场应设置标志物，注明封场时间以及使用该土地时应注意的事项。</w:t>
            </w:r>
          </w:p>
          <w:p w14:paraId="2EECFA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封场后渗滤液处理系统、废水排放监测系统应继续正常运行，直到连续2年内没有渗滤液产生或产生的渗滤液未经处理即可稳定达标排放。</w:t>
            </w:r>
          </w:p>
          <w:p w14:paraId="716155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封场后如需对一般工业固体废物进行开采再利用，应进行环境影响评价。</w:t>
            </w:r>
          </w:p>
          <w:p w14:paraId="666E26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封场完成后，可依据当地地形条件、水资源及表土资源等自然环境条件和社会发展需求并按照相关规定进行土地复垦。土地复垦实施过程应满足TD/T1036规定的相关土地复垦质量控制要求。土地复垦后用作建设用地的，还应满足GB36600的要求；用作农用地的，还应满足GB15618的要求。</w:t>
            </w:r>
          </w:p>
          <w:p w14:paraId="32F945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历史堆存一般工业固体废物场地经评估确保环境风险可以接受时，可进行封场或土地复垦作业。</w:t>
            </w:r>
          </w:p>
        </w:tc>
        <w:tc>
          <w:tcPr>
            <w:tcW w:w="2001" w:type="pct"/>
            <w:noWrap w:val="0"/>
            <w:vAlign w:val="center"/>
          </w:tcPr>
          <w:p w14:paraId="5DDE3F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rPr>
            </w:pPr>
            <w:r>
              <w:rPr>
                <w:rFonts w:hint="eastAsia"/>
                <w:sz w:val="21"/>
                <w:szCs w:val="21"/>
                <w:highlight w:val="none"/>
                <w:u w:val="none"/>
              </w:rPr>
              <w:t>项目封场后严格执行封场管理，封场后覆盖土层，封场后设置标志物，注明封场时间以及使用该土地时应注意的事项，封场后的渗滤液收集池正常运行，渗滤液经收集池收集后由槽罐车运送至</w:t>
            </w:r>
            <w:r>
              <w:rPr>
                <w:rFonts w:hint="eastAsia"/>
                <w:sz w:val="21"/>
                <w:szCs w:val="21"/>
                <w:highlight w:val="none"/>
                <w:u w:val="none"/>
                <w:lang w:val="en-US" w:eastAsia="zh-CN"/>
              </w:rPr>
              <w:t>湖南黄金天岳矿业有限公司垂拱洞尾矿库废水处理站</w:t>
            </w:r>
            <w:r>
              <w:rPr>
                <w:rFonts w:hint="eastAsia"/>
                <w:sz w:val="21"/>
                <w:szCs w:val="21"/>
                <w:highlight w:val="none"/>
                <w:u w:val="none"/>
              </w:rPr>
              <w:t>进行处理。</w:t>
            </w:r>
          </w:p>
        </w:tc>
        <w:tc>
          <w:tcPr>
            <w:tcW w:w="365" w:type="pct"/>
            <w:noWrap w:val="0"/>
            <w:vAlign w:val="center"/>
          </w:tcPr>
          <w:p w14:paraId="602842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r w14:paraId="67E22D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352FA02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四</w:t>
            </w:r>
          </w:p>
        </w:tc>
        <w:tc>
          <w:tcPr>
            <w:tcW w:w="4629" w:type="pct"/>
            <w:gridSpan w:val="3"/>
            <w:noWrap w:val="0"/>
            <w:vAlign w:val="center"/>
          </w:tcPr>
          <w:p w14:paraId="4E59B3F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sz w:val="21"/>
                <w:szCs w:val="21"/>
                <w:u w:val="none"/>
              </w:rPr>
            </w:pPr>
            <w:r>
              <w:rPr>
                <w:rFonts w:hint="eastAsia"/>
                <w:b/>
                <w:bCs/>
                <w:sz w:val="21"/>
                <w:szCs w:val="21"/>
                <w:u w:val="none"/>
              </w:rPr>
              <w:t>污染物监测要求</w:t>
            </w:r>
          </w:p>
        </w:tc>
      </w:tr>
      <w:tr w14:paraId="1069B0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45CF2A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1</w:t>
            </w:r>
          </w:p>
        </w:tc>
        <w:tc>
          <w:tcPr>
            <w:tcW w:w="2262" w:type="pct"/>
            <w:noWrap w:val="0"/>
            <w:vAlign w:val="center"/>
          </w:tcPr>
          <w:p w14:paraId="3D9ADF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废水污染物监测要求</w:t>
            </w:r>
          </w:p>
          <w:p w14:paraId="35A17A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采样点的设置与采样方法，按HJ91.1的规定执行。</w:t>
            </w:r>
          </w:p>
          <w:p w14:paraId="65F098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渗滤液及其处理后排放废水污染物的监测频次，应根据废物特性、覆盖层和降水等条件加以确定，至少每月1次。废水污染物的监测分析方法按照GB8978的规定执行。</w:t>
            </w:r>
          </w:p>
        </w:tc>
        <w:tc>
          <w:tcPr>
            <w:tcW w:w="2001" w:type="pct"/>
            <w:noWrap w:val="0"/>
            <w:vAlign w:val="center"/>
          </w:tcPr>
          <w:p w14:paraId="0DE17A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废水监测：项目采取雨污分流，渗滤液</w:t>
            </w:r>
            <w:r>
              <w:rPr>
                <w:rFonts w:hint="eastAsia"/>
                <w:sz w:val="21"/>
                <w:szCs w:val="21"/>
                <w:highlight w:val="none"/>
                <w:u w:val="none"/>
                <w:lang w:val="en-US" w:eastAsia="zh-CN"/>
              </w:rPr>
              <w:t>及淋溶水经处理后</w:t>
            </w:r>
            <w:r>
              <w:rPr>
                <w:rFonts w:hint="eastAsia"/>
                <w:sz w:val="21"/>
                <w:szCs w:val="21"/>
                <w:highlight w:val="none"/>
                <w:u w:val="none"/>
              </w:rPr>
              <w:t>送至</w:t>
            </w:r>
            <w:r>
              <w:rPr>
                <w:rFonts w:hint="eastAsia"/>
                <w:sz w:val="21"/>
                <w:szCs w:val="21"/>
                <w:highlight w:val="none"/>
                <w:u w:val="none"/>
                <w:lang w:val="en-US" w:eastAsia="zh-CN"/>
              </w:rPr>
              <w:t>湖南黄金天岳矿业有限公司垂拱洞尾矿库废水处理站</w:t>
            </w:r>
            <w:r>
              <w:rPr>
                <w:rFonts w:hint="eastAsia"/>
                <w:sz w:val="21"/>
                <w:szCs w:val="21"/>
                <w:highlight w:val="none"/>
                <w:u w:val="none"/>
              </w:rPr>
              <w:t>进行处理。</w:t>
            </w:r>
          </w:p>
        </w:tc>
        <w:tc>
          <w:tcPr>
            <w:tcW w:w="365" w:type="pct"/>
            <w:noWrap w:val="0"/>
            <w:vAlign w:val="center"/>
          </w:tcPr>
          <w:p w14:paraId="047D4E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r w14:paraId="6DBD4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1959B8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2</w:t>
            </w:r>
          </w:p>
        </w:tc>
        <w:tc>
          <w:tcPr>
            <w:tcW w:w="2262" w:type="pct"/>
            <w:noWrap w:val="0"/>
            <w:vAlign w:val="center"/>
          </w:tcPr>
          <w:p w14:paraId="64D5B7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地下水监测要求</w:t>
            </w:r>
          </w:p>
          <w:p w14:paraId="1B2704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贮存场、填埋场投入使用之前，企业应监测地下水本底水平。</w:t>
            </w:r>
          </w:p>
          <w:p w14:paraId="216908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地下水监测井的布置应符合以下要求：</w:t>
            </w:r>
          </w:p>
          <w:p w14:paraId="45C5D5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在地下水流场上游应布置1个监测井，在下游至少应布置1个监测井，在可能出现污染扩散区域至少应布置1个监测井。设置有地下水导排系统的，应在地下水主管出口处至少布置1个监测井，用以监测地下水导排系统排水的水质；</w:t>
            </w:r>
          </w:p>
          <w:p w14:paraId="62DC30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贮存场、填埋场地下水监测频次应符合以下要求：</w:t>
            </w:r>
          </w:p>
          <w:p w14:paraId="24A4CE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运行期间，企业自行监测频次至少每季度1次，每两次监测之间间隔不少于1个月，国家另有规定的除外；如周边有环境敏感区应增加监测频次，具体监测点位和频次依据环境影响评价结论确定。当发现地下水水质有被污染的迹象时，应及时查找原因并采取补救措施，防止污染进一步扩散；</w:t>
            </w:r>
          </w:p>
          <w:p w14:paraId="175501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封场后，地下水监测系统应继续正常运行，监测频次至少每半年1次，直到地下水水质连续2年不超出地下水本底水平。</w:t>
            </w:r>
          </w:p>
          <w:p w14:paraId="0DD499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地下水监测因子由企业根据贮存及填埋废物的特性提出，必须具有代表性且能表征固体废物特性。常规测定项目应至少包括：浑浊度、pH、溶解性总固体、氯化物、硝酸盐（以N计）、亚硝酸盐（以N计）。地下水监测因子分析方法按照GB/T14848执行。</w:t>
            </w:r>
          </w:p>
        </w:tc>
        <w:tc>
          <w:tcPr>
            <w:tcW w:w="2001" w:type="pct"/>
            <w:noWrap w:val="0"/>
            <w:vAlign w:val="center"/>
          </w:tcPr>
          <w:p w14:paraId="743923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sz w:val="21"/>
                <w:szCs w:val="21"/>
                <w:highlight w:val="none"/>
                <w:u w:val="none"/>
              </w:rPr>
              <w:t>建立完善的地下水监测系统，项目</w:t>
            </w:r>
            <w:r>
              <w:rPr>
                <w:rFonts w:hint="eastAsia"/>
                <w:sz w:val="21"/>
                <w:szCs w:val="21"/>
                <w:highlight w:val="none"/>
                <w:u w:val="none"/>
              </w:rPr>
              <w:t>设地下水监测井</w:t>
            </w:r>
            <w:r>
              <w:rPr>
                <w:rFonts w:hint="eastAsia"/>
                <w:sz w:val="21"/>
                <w:szCs w:val="21"/>
                <w:highlight w:val="none"/>
                <w:u w:val="none"/>
                <w:lang w:val="en-US" w:eastAsia="zh-CN"/>
              </w:rPr>
              <w:t>8</w:t>
            </w:r>
            <w:r>
              <w:rPr>
                <w:rFonts w:hint="eastAsia"/>
                <w:sz w:val="21"/>
                <w:szCs w:val="21"/>
                <w:highlight w:val="none"/>
                <w:u w:val="none"/>
              </w:rPr>
              <w:t>口</w:t>
            </w:r>
            <w:r>
              <w:rPr>
                <w:rFonts w:hint="eastAsia"/>
                <w:sz w:val="21"/>
                <w:szCs w:val="21"/>
                <w:highlight w:val="none"/>
                <w:u w:val="none"/>
                <w:lang w:eastAsia="zh-CN"/>
              </w:rPr>
              <w:t>，</w:t>
            </w:r>
            <w:r>
              <w:rPr>
                <w:rFonts w:hint="eastAsia"/>
                <w:sz w:val="21"/>
                <w:szCs w:val="21"/>
                <w:highlight w:val="none"/>
                <w:u w:val="none"/>
              </w:rPr>
              <w:t>其中一个作为背景值的监测井1#设置在填埋场的上游（北侧），另一个布设在填埋场的南侧（地下水下游）4#，另外两个布置在与场址地下水同一等值线上，填埋场西侧可能出现污染扩散的区域2#、3#，此外1#渣堆、2#渣堆、万古水库3A/3B渣堆区域地下水流向的下游分别设置1座</w:t>
            </w:r>
          </w:p>
          <w:p w14:paraId="6D8544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监测频次：运行期每季度监测一次。封场后每半年监测一次直至地下水连续两年不超出地下水本底水平。</w:t>
            </w:r>
          </w:p>
          <w:p w14:paraId="179323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rPr>
            </w:pPr>
            <w:r>
              <w:rPr>
                <w:rFonts w:hint="eastAsia"/>
                <w:sz w:val="21"/>
                <w:szCs w:val="21"/>
                <w:highlight w:val="none"/>
                <w:u w:val="none"/>
              </w:rPr>
              <w:t>监测因子：水位、pH、溶解性总固体、硝酸盐、氯化物、亚硝酸盐、氨氮、硫化物、氟化物、镉、汞、砷</w:t>
            </w:r>
            <w:r>
              <w:rPr>
                <w:rFonts w:hint="eastAsia"/>
                <w:sz w:val="21"/>
                <w:szCs w:val="21"/>
                <w:highlight w:val="none"/>
                <w:u w:val="none"/>
                <w:lang w:eastAsia="zh-CN"/>
              </w:rPr>
              <w:t>、</w:t>
            </w:r>
            <w:r>
              <w:rPr>
                <w:rFonts w:hint="eastAsia"/>
                <w:sz w:val="21"/>
                <w:szCs w:val="21"/>
                <w:highlight w:val="none"/>
                <w:u w:val="none"/>
              </w:rPr>
              <w:t>铅、</w:t>
            </w:r>
            <w:r>
              <w:rPr>
                <w:rFonts w:hint="eastAsia"/>
                <w:sz w:val="21"/>
                <w:szCs w:val="21"/>
                <w:highlight w:val="none"/>
                <w:u w:val="none"/>
                <w:lang w:val="en-US" w:eastAsia="zh-CN"/>
              </w:rPr>
              <w:t>总</w:t>
            </w:r>
            <w:r>
              <w:rPr>
                <w:rFonts w:hint="eastAsia"/>
                <w:sz w:val="21"/>
                <w:szCs w:val="21"/>
                <w:highlight w:val="none"/>
                <w:u w:val="none"/>
                <w:lang w:eastAsia="zh-CN"/>
              </w:rPr>
              <w:t>铬</w:t>
            </w:r>
            <w:r>
              <w:rPr>
                <w:rFonts w:hint="eastAsia"/>
                <w:sz w:val="21"/>
                <w:szCs w:val="21"/>
                <w:highlight w:val="none"/>
                <w:u w:val="none"/>
              </w:rPr>
              <w:t>、铜</w:t>
            </w:r>
            <w:r>
              <w:rPr>
                <w:rFonts w:hint="eastAsia"/>
                <w:sz w:val="21"/>
                <w:szCs w:val="21"/>
                <w:highlight w:val="none"/>
                <w:u w:val="none"/>
                <w:lang w:eastAsia="zh-CN"/>
              </w:rPr>
              <w:t>、镍</w:t>
            </w:r>
            <w:r>
              <w:rPr>
                <w:rFonts w:hint="eastAsia"/>
                <w:sz w:val="21"/>
                <w:szCs w:val="21"/>
                <w:highlight w:val="none"/>
                <w:u w:val="none"/>
              </w:rPr>
              <w:t>、锌</w:t>
            </w:r>
            <w:r>
              <w:rPr>
                <w:rFonts w:hint="eastAsia"/>
                <w:sz w:val="21"/>
                <w:szCs w:val="21"/>
                <w:highlight w:val="none"/>
                <w:u w:val="none"/>
                <w:lang w:eastAsia="zh-CN"/>
              </w:rPr>
              <w:t>、</w:t>
            </w:r>
            <w:r>
              <w:rPr>
                <w:rFonts w:hint="eastAsia"/>
                <w:sz w:val="21"/>
                <w:szCs w:val="21"/>
                <w:highlight w:val="none"/>
                <w:u w:val="none"/>
                <w:lang w:val="en-US" w:eastAsia="zh-CN"/>
              </w:rPr>
              <w:t>六价铬、氰化物</w:t>
            </w:r>
            <w:r>
              <w:rPr>
                <w:rFonts w:hint="eastAsia"/>
                <w:sz w:val="21"/>
                <w:szCs w:val="21"/>
                <w:highlight w:val="none"/>
                <w:u w:val="none"/>
                <w:lang w:eastAsia="zh-CN"/>
              </w:rPr>
              <w:t>等</w:t>
            </w:r>
            <w:r>
              <w:rPr>
                <w:rFonts w:hint="eastAsia"/>
                <w:sz w:val="21"/>
                <w:szCs w:val="21"/>
                <w:highlight w:val="none"/>
                <w:u w:val="none"/>
              </w:rPr>
              <w:t>。</w:t>
            </w:r>
          </w:p>
        </w:tc>
        <w:tc>
          <w:tcPr>
            <w:tcW w:w="365" w:type="pct"/>
            <w:noWrap w:val="0"/>
            <w:vAlign w:val="center"/>
          </w:tcPr>
          <w:p w14:paraId="7D0F6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r w14:paraId="328249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692B60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3</w:t>
            </w:r>
          </w:p>
        </w:tc>
        <w:tc>
          <w:tcPr>
            <w:tcW w:w="2262" w:type="pct"/>
            <w:noWrap w:val="0"/>
            <w:vAlign w:val="center"/>
          </w:tcPr>
          <w:p w14:paraId="43EAF5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大气监测要求</w:t>
            </w:r>
          </w:p>
          <w:p w14:paraId="24D41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无组织气体排放的监测因子由企业根据贮存及填埋废物的特性提出，必须具有代表性且能表征固体废物特性。采样点布设、采样及监测方法按GB16297的规定执行，污染源下风方向应为主要监测范围。</w:t>
            </w:r>
          </w:p>
          <w:p w14:paraId="288D19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运行期间，企业自行监测频次至少每季度1次。如监测结果出现异常，应及时进行重新监测，间隔时间不得超过1周。</w:t>
            </w:r>
          </w:p>
        </w:tc>
        <w:tc>
          <w:tcPr>
            <w:tcW w:w="2001" w:type="pct"/>
            <w:noWrap w:val="0"/>
            <w:vAlign w:val="center"/>
          </w:tcPr>
          <w:p w14:paraId="7EA997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yellow"/>
                <w:u w:val="none"/>
              </w:rPr>
            </w:pPr>
            <w:r>
              <w:rPr>
                <w:rFonts w:hint="eastAsia"/>
                <w:sz w:val="21"/>
                <w:szCs w:val="21"/>
                <w:highlight w:val="none"/>
                <w:u w:val="none"/>
                <w:lang w:val="en-US" w:eastAsia="zh-CN"/>
              </w:rPr>
              <w:t>填埋场</w:t>
            </w:r>
            <w:r>
              <w:rPr>
                <w:rFonts w:hint="eastAsia"/>
                <w:sz w:val="21"/>
                <w:szCs w:val="21"/>
                <w:highlight w:val="none"/>
                <w:u w:val="none"/>
                <w:lang w:eastAsia="zh-CN"/>
              </w:rPr>
              <w:t>施工填埋期间</w:t>
            </w:r>
            <w:r>
              <w:rPr>
                <w:rFonts w:hint="eastAsia"/>
                <w:sz w:val="21"/>
                <w:szCs w:val="21"/>
                <w:highlight w:val="none"/>
                <w:u w:val="none"/>
              </w:rPr>
              <w:t>大气监测按照每季度1次进行监测。</w:t>
            </w:r>
          </w:p>
        </w:tc>
        <w:tc>
          <w:tcPr>
            <w:tcW w:w="365" w:type="pct"/>
            <w:noWrap w:val="0"/>
            <w:vAlign w:val="center"/>
          </w:tcPr>
          <w:p w14:paraId="4F4240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r w14:paraId="4F4945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70" w:type="pct"/>
            <w:noWrap w:val="0"/>
            <w:vAlign w:val="center"/>
          </w:tcPr>
          <w:p w14:paraId="29A358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4</w:t>
            </w:r>
          </w:p>
        </w:tc>
        <w:tc>
          <w:tcPr>
            <w:tcW w:w="2262" w:type="pct"/>
            <w:noWrap w:val="0"/>
            <w:vAlign w:val="center"/>
          </w:tcPr>
          <w:p w14:paraId="151E16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土壤监测要求：</w:t>
            </w:r>
          </w:p>
          <w:p w14:paraId="6A9394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贮存场、填埋场投入使用之前，企业应监测土壤本底水平。</w:t>
            </w:r>
          </w:p>
          <w:p w14:paraId="4EB19E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应布设1个土壤监测对照点，对照点应尽量保证不受企业生产过程影响，对照点作为土壤背景值。</w:t>
            </w:r>
          </w:p>
          <w:p w14:paraId="70640B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依据地形特征、主导风向和地表径流方向，在可能产生影响的土壤环境敏感目标处布设土壤监测点。</w:t>
            </w:r>
          </w:p>
          <w:p w14:paraId="276E8C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运行期间，土壤监测点的自行监测频次一般每3年1次，采样深度根据可能影响的深度适当调整，以表层土壤为重点采样层。</w:t>
            </w:r>
          </w:p>
          <w:p w14:paraId="78E762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土壤监测因子由企业根据贮存及填埋废物的特性提出，必须具有代表性且能表征固体废物特性。土壤监测因子的分析方法按照GB36600的规定执行。</w:t>
            </w:r>
          </w:p>
        </w:tc>
        <w:tc>
          <w:tcPr>
            <w:tcW w:w="2001" w:type="pct"/>
            <w:noWrap w:val="0"/>
            <w:vAlign w:val="center"/>
          </w:tcPr>
          <w:p w14:paraId="0B4CCB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rPr>
            </w:pPr>
            <w:r>
              <w:rPr>
                <w:rFonts w:hint="eastAsia"/>
                <w:sz w:val="21"/>
                <w:szCs w:val="21"/>
                <w:highlight w:val="none"/>
                <w:u w:val="none"/>
                <w:lang w:val="en-US" w:eastAsia="zh-CN"/>
              </w:rPr>
              <w:t>填埋场</w:t>
            </w:r>
            <w:r>
              <w:rPr>
                <w:rFonts w:hint="eastAsia"/>
                <w:sz w:val="21"/>
                <w:szCs w:val="21"/>
                <w:highlight w:val="none"/>
                <w:u w:val="none"/>
              </w:rPr>
              <w:t>在投入使用前，应监测土壤本底值，设置1个土壤监测对照点，项目施工结束后就进行封场，土壤监测按照每</w:t>
            </w:r>
            <w:r>
              <w:rPr>
                <w:rFonts w:hint="eastAsia"/>
                <w:sz w:val="21"/>
                <w:szCs w:val="21"/>
                <w:highlight w:val="none"/>
                <w:u w:val="none"/>
                <w:lang w:val="en-US" w:eastAsia="zh-CN"/>
              </w:rPr>
              <w:t>3</w:t>
            </w:r>
            <w:r>
              <w:rPr>
                <w:rFonts w:hint="eastAsia"/>
                <w:sz w:val="21"/>
                <w:szCs w:val="21"/>
                <w:highlight w:val="none"/>
                <w:u w:val="none"/>
              </w:rPr>
              <w:t>年一次，监测因子</w:t>
            </w:r>
            <w:r>
              <w:rPr>
                <w:rFonts w:hint="eastAsia"/>
                <w:sz w:val="21"/>
                <w:szCs w:val="21"/>
                <w:highlight w:val="none"/>
                <w:u w:val="none"/>
                <w:lang w:val="en-US" w:eastAsia="zh-CN"/>
              </w:rPr>
              <w:t>pH、</w:t>
            </w:r>
            <w:r>
              <w:rPr>
                <w:rFonts w:hint="eastAsia"/>
                <w:sz w:val="21"/>
                <w:szCs w:val="21"/>
                <w:highlight w:val="none"/>
                <w:u w:val="none"/>
              </w:rPr>
              <w:t>镉、汞、砷</w:t>
            </w:r>
            <w:r>
              <w:rPr>
                <w:rFonts w:hint="eastAsia"/>
                <w:sz w:val="21"/>
                <w:szCs w:val="21"/>
                <w:highlight w:val="none"/>
                <w:u w:val="none"/>
                <w:lang w:eastAsia="zh-CN"/>
              </w:rPr>
              <w:t>、</w:t>
            </w:r>
            <w:r>
              <w:rPr>
                <w:rFonts w:hint="eastAsia"/>
                <w:sz w:val="21"/>
                <w:szCs w:val="21"/>
                <w:highlight w:val="none"/>
                <w:u w:val="none"/>
              </w:rPr>
              <w:t>铅、</w:t>
            </w:r>
            <w:r>
              <w:rPr>
                <w:rFonts w:hint="eastAsia"/>
                <w:sz w:val="21"/>
                <w:szCs w:val="21"/>
                <w:highlight w:val="none"/>
                <w:u w:val="none"/>
                <w:lang w:val="en-US" w:eastAsia="zh-CN"/>
              </w:rPr>
              <w:t>总</w:t>
            </w:r>
            <w:r>
              <w:rPr>
                <w:rFonts w:hint="eastAsia"/>
                <w:sz w:val="21"/>
                <w:szCs w:val="21"/>
                <w:highlight w:val="none"/>
                <w:u w:val="none"/>
                <w:lang w:eastAsia="zh-CN"/>
              </w:rPr>
              <w:t>铬</w:t>
            </w:r>
            <w:r>
              <w:rPr>
                <w:rFonts w:hint="eastAsia"/>
                <w:sz w:val="21"/>
                <w:szCs w:val="21"/>
                <w:highlight w:val="none"/>
                <w:u w:val="none"/>
              </w:rPr>
              <w:t>、铜</w:t>
            </w:r>
            <w:r>
              <w:rPr>
                <w:rFonts w:hint="eastAsia"/>
                <w:sz w:val="21"/>
                <w:szCs w:val="21"/>
                <w:highlight w:val="none"/>
                <w:u w:val="none"/>
                <w:lang w:eastAsia="zh-CN"/>
              </w:rPr>
              <w:t>、镍</w:t>
            </w:r>
            <w:r>
              <w:rPr>
                <w:rFonts w:hint="eastAsia"/>
                <w:sz w:val="21"/>
                <w:szCs w:val="21"/>
                <w:highlight w:val="none"/>
                <w:u w:val="none"/>
              </w:rPr>
              <w:t>、锌</w:t>
            </w:r>
            <w:r>
              <w:rPr>
                <w:rFonts w:hint="eastAsia"/>
                <w:sz w:val="21"/>
                <w:szCs w:val="21"/>
                <w:highlight w:val="none"/>
                <w:u w:val="none"/>
                <w:lang w:eastAsia="zh-CN"/>
              </w:rPr>
              <w:t>、</w:t>
            </w:r>
            <w:r>
              <w:rPr>
                <w:rFonts w:hint="eastAsia"/>
                <w:sz w:val="21"/>
                <w:szCs w:val="21"/>
                <w:highlight w:val="none"/>
                <w:u w:val="none"/>
                <w:lang w:val="en-US" w:eastAsia="zh-CN"/>
              </w:rPr>
              <w:t>六价铬、氰化物</w:t>
            </w:r>
            <w:r>
              <w:rPr>
                <w:rFonts w:hint="eastAsia"/>
                <w:sz w:val="21"/>
                <w:szCs w:val="21"/>
                <w:highlight w:val="none"/>
                <w:u w:val="none"/>
                <w:lang w:eastAsia="zh-CN"/>
              </w:rPr>
              <w:t>等</w:t>
            </w:r>
            <w:r>
              <w:rPr>
                <w:rFonts w:hint="eastAsia"/>
                <w:sz w:val="21"/>
                <w:szCs w:val="21"/>
                <w:highlight w:val="none"/>
                <w:u w:val="none"/>
              </w:rPr>
              <w:t>。</w:t>
            </w:r>
          </w:p>
        </w:tc>
        <w:tc>
          <w:tcPr>
            <w:tcW w:w="365" w:type="pct"/>
            <w:noWrap w:val="0"/>
            <w:vAlign w:val="center"/>
          </w:tcPr>
          <w:p w14:paraId="59D007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符合</w:t>
            </w:r>
          </w:p>
        </w:tc>
      </w:tr>
    </w:tbl>
    <w:p w14:paraId="5C1433B6">
      <w:pPr>
        <w:numPr>
          <w:ilvl w:val="-1"/>
          <w:numId w:val="0"/>
        </w:numPr>
        <w:topLinePunct w:val="0"/>
        <w:autoSpaceDE/>
        <w:autoSpaceDN/>
        <w:adjustRightInd/>
        <w:snapToGrid/>
        <w:spacing w:line="360" w:lineRule="auto"/>
        <w:ind w:firstLine="0" w:firstLineChars="0"/>
        <w:outlineLvl w:val="3"/>
        <w:rPr>
          <w:rFonts w:hint="eastAsia" w:ascii="Times New Roman" w:hAnsi="Times New Roman" w:eastAsia="宋体" w:cs="Times New Roman"/>
          <w:b/>
          <w:color w:val="auto"/>
          <w:kern w:val="2"/>
          <w:sz w:val="24"/>
          <w:szCs w:val="24"/>
          <w:u w:val="none" w:color="auto"/>
        </w:rPr>
      </w:pPr>
      <w:r>
        <w:rPr>
          <w:rFonts w:hint="eastAsia" w:ascii="Times New Roman" w:hAnsi="Times New Roman" w:eastAsia="宋体" w:cs="Times New Roman"/>
          <w:b/>
          <w:color w:val="auto"/>
          <w:sz w:val="24"/>
          <w:szCs w:val="24"/>
          <w:u w:val="none" w:color="auto"/>
        </w:rPr>
        <w:t>1.4.</w:t>
      </w:r>
      <w:r>
        <w:rPr>
          <w:rFonts w:hint="eastAsia" w:cs="Times New Roman"/>
          <w:b/>
          <w:color w:val="auto"/>
          <w:sz w:val="24"/>
          <w:szCs w:val="24"/>
          <w:u w:val="none" w:color="auto"/>
          <w:lang w:val="en-US" w:eastAsia="zh-CN"/>
        </w:rPr>
        <w:t>6</w:t>
      </w:r>
      <w:r>
        <w:rPr>
          <w:rFonts w:hint="eastAsia" w:ascii="Times New Roman" w:hAnsi="Times New Roman" w:eastAsia="宋体" w:cs="Times New Roman"/>
          <w:b/>
          <w:color w:val="auto"/>
          <w:sz w:val="24"/>
          <w:szCs w:val="24"/>
          <w:u w:val="none" w:color="auto"/>
        </w:rPr>
        <w:t>.</w:t>
      </w:r>
      <w:r>
        <w:rPr>
          <w:rFonts w:hint="eastAsia" w:ascii="Times New Roman" w:hAnsi="Times New Roman" w:cs="Times New Roman"/>
          <w:b/>
          <w:color w:val="auto"/>
          <w:sz w:val="24"/>
          <w:szCs w:val="24"/>
          <w:u w:val="none" w:color="auto"/>
          <w:lang w:val="en-US" w:eastAsia="zh-CN"/>
        </w:rPr>
        <w:t>2</w:t>
      </w:r>
      <w:r>
        <w:rPr>
          <w:rFonts w:hint="eastAsia" w:ascii="Times New Roman" w:hAnsi="Times New Roman" w:cs="Times New Roman"/>
          <w:b/>
          <w:color w:val="auto"/>
          <w:kern w:val="2"/>
          <w:sz w:val="24"/>
          <w:szCs w:val="24"/>
          <w:u w:val="none" w:color="auto"/>
          <w:lang w:val="en-US" w:eastAsia="zh-CN"/>
        </w:rPr>
        <w:t>取土</w:t>
      </w:r>
      <w:r>
        <w:rPr>
          <w:rFonts w:hint="eastAsia" w:ascii="Times New Roman" w:hAnsi="Times New Roman" w:eastAsia="宋体" w:cs="Times New Roman"/>
          <w:b/>
          <w:color w:val="auto"/>
          <w:kern w:val="2"/>
          <w:sz w:val="24"/>
          <w:szCs w:val="24"/>
          <w:u w:val="none" w:color="auto"/>
        </w:rPr>
        <w:t>场选址可行性</w:t>
      </w:r>
    </w:p>
    <w:p w14:paraId="1D70821B">
      <w:pPr>
        <w:pStyle w:val="217"/>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本项目设1处取土场，取土场选址位于</w:t>
      </w:r>
      <w:r>
        <w:rPr>
          <w:rFonts w:hint="eastAsia" w:ascii="Times New Roman" w:hAnsi="Times New Roman" w:cs="Times New Roman"/>
          <w:color w:val="auto"/>
          <w:sz w:val="24"/>
          <w:szCs w:val="24"/>
          <w:highlight w:val="none"/>
          <w:u w:val="none" w:color="auto"/>
          <w:lang w:val="en-US" w:eastAsia="zh-CN"/>
        </w:rPr>
        <w:t>填埋场南侧120</w:t>
      </w:r>
      <w:r>
        <w:rPr>
          <w:rFonts w:hint="default" w:ascii="Times New Roman" w:hAnsi="Times New Roman" w:cs="Times New Roman"/>
          <w:color w:val="auto"/>
          <w:sz w:val="24"/>
          <w:szCs w:val="24"/>
          <w:highlight w:val="none"/>
          <w:u w:val="none" w:color="auto"/>
          <w:lang w:val="en-US" w:eastAsia="zh-CN"/>
        </w:rPr>
        <w:t>m</w:t>
      </w:r>
      <w:r>
        <w:rPr>
          <w:rFonts w:hint="eastAsia" w:ascii="Times New Roman" w:hAnsi="Times New Roman" w:cs="Times New Roman"/>
          <w:color w:val="auto"/>
          <w:sz w:val="24"/>
          <w:szCs w:val="24"/>
          <w:highlight w:val="none"/>
          <w:u w:val="none" w:color="auto"/>
          <w:lang w:val="en-US" w:eastAsia="zh-CN"/>
        </w:rPr>
        <w:t>处</w:t>
      </w:r>
      <w:r>
        <w:rPr>
          <w:rFonts w:hint="default" w:ascii="Times New Roman" w:hAnsi="Times New Roman" w:cs="Times New Roman"/>
          <w:color w:val="auto"/>
          <w:sz w:val="24"/>
          <w:szCs w:val="24"/>
          <w:highlight w:val="none"/>
          <w:u w:val="none" w:color="auto"/>
          <w:lang w:val="en-US" w:eastAsia="zh-CN"/>
        </w:rPr>
        <w:t>，临时占地</w:t>
      </w:r>
      <w:r>
        <w:rPr>
          <w:rFonts w:hint="eastAsia" w:ascii="Times New Roman" w:hAnsi="Times New Roman" w:cs="Times New Roman"/>
          <w:color w:val="auto"/>
          <w:sz w:val="24"/>
          <w:szCs w:val="24"/>
          <w:highlight w:val="none"/>
          <w:u w:val="none" w:color="auto"/>
          <w:lang w:val="en-US" w:eastAsia="zh-CN"/>
        </w:rPr>
        <w:t>5000</w:t>
      </w:r>
      <w:r>
        <w:rPr>
          <w:rFonts w:hint="default" w:ascii="Times New Roman" w:hAnsi="Times New Roman" w:cs="Times New Roman"/>
          <w:color w:val="auto"/>
          <w:sz w:val="24"/>
          <w:szCs w:val="24"/>
          <w:highlight w:val="none"/>
          <w:u w:val="none" w:color="auto"/>
          <w:lang w:val="en-US" w:eastAsia="zh-CN"/>
        </w:rPr>
        <w:t>m</w:t>
      </w:r>
      <w:r>
        <w:rPr>
          <w:rFonts w:hint="default" w:ascii="Times New Roman" w:hAnsi="Times New Roman" w:cs="Times New Roman"/>
          <w:color w:val="auto"/>
          <w:sz w:val="24"/>
          <w:szCs w:val="24"/>
          <w:highlight w:val="none"/>
          <w:u w:val="none" w:color="auto"/>
          <w:vertAlign w:val="superscript"/>
          <w:lang w:val="en-US" w:eastAsia="zh-CN"/>
        </w:rPr>
        <w:t>2</w:t>
      </w:r>
      <w:r>
        <w:rPr>
          <w:rFonts w:hint="default" w:ascii="Times New Roman" w:hAnsi="Times New Roman" w:cs="Times New Roman"/>
          <w:color w:val="auto"/>
          <w:sz w:val="24"/>
          <w:szCs w:val="24"/>
          <w:highlight w:val="none"/>
          <w:u w:val="none" w:color="auto"/>
          <w:lang w:val="en-US" w:eastAsia="zh-CN"/>
        </w:rPr>
        <w:t>，取土场占地现状为灌木林地，未占用基本农田和天然保护林及生态公益林，无保护植物分布，也无动物通道分布，没有占用泄洪通道，水利灌溉设施，这样集中取土可以有效地防止多处开挖取土造成的大量的水土流失，取土场选址是合理的；同时通过对取土场容量进行校核计算，取土场容量也满足项目取土需要</w:t>
      </w:r>
      <w:r>
        <w:rPr>
          <w:rFonts w:hint="eastAsia" w:ascii="Times New Roman" w:hAnsi="Times New Roman" w:cs="Times New Roman"/>
          <w:color w:val="auto"/>
          <w:sz w:val="24"/>
          <w:szCs w:val="24"/>
          <w:highlight w:val="none"/>
          <w:u w:val="none" w:color="auto"/>
          <w:lang w:val="en-US" w:eastAsia="zh-CN"/>
        </w:rPr>
        <w:t>。</w:t>
      </w:r>
    </w:p>
    <w:p w14:paraId="25E0E1DD">
      <w:pPr>
        <w:pStyle w:val="217"/>
        <w:rPr>
          <w:rFonts w:hint="default" w:ascii="Times New Roman" w:hAnsi="Times New Roman" w:cs="Times New Roman"/>
          <w:color w:val="auto"/>
          <w:sz w:val="24"/>
          <w:szCs w:val="24"/>
          <w:highlight w:val="none"/>
          <w:u w:val="none" w:color="auto"/>
          <w:lang w:val="en-US" w:eastAsia="zh-CN"/>
        </w:rPr>
      </w:pPr>
      <w:r>
        <w:rPr>
          <w:rFonts w:hint="default" w:ascii="Times New Roman" w:hAnsi="Times New Roman" w:cs="Times New Roman"/>
          <w:color w:val="auto"/>
          <w:sz w:val="24"/>
          <w:szCs w:val="24"/>
          <w:highlight w:val="none"/>
          <w:u w:val="none" w:color="auto"/>
          <w:lang w:val="en-US" w:eastAsia="zh-CN"/>
        </w:rPr>
        <w:t>通过现场调查，取土场周边无珍稀濒危保护动植物分布，也无动物通道分布，无地表水体，为减少取土场开挖取土对</w:t>
      </w:r>
      <w:r>
        <w:rPr>
          <w:rFonts w:hint="eastAsia" w:cs="Times New Roman"/>
          <w:color w:val="auto"/>
          <w:sz w:val="24"/>
          <w:szCs w:val="24"/>
          <w:highlight w:val="none"/>
          <w:u w:val="none" w:color="auto"/>
          <w:lang w:val="en-US" w:eastAsia="zh-CN"/>
        </w:rPr>
        <w:t>南</w:t>
      </w:r>
      <w:r>
        <w:rPr>
          <w:rFonts w:hint="default" w:ascii="Times New Roman" w:hAnsi="Times New Roman" w:cs="Times New Roman"/>
          <w:color w:val="auto"/>
          <w:sz w:val="24"/>
          <w:szCs w:val="24"/>
          <w:highlight w:val="none"/>
          <w:u w:val="none" w:color="auto"/>
          <w:lang w:val="en-US" w:eastAsia="zh-CN"/>
        </w:rPr>
        <w:t>侧</w:t>
      </w:r>
      <w:r>
        <w:rPr>
          <w:rFonts w:hint="eastAsia" w:cs="Times New Roman"/>
          <w:color w:val="auto"/>
          <w:sz w:val="24"/>
          <w:szCs w:val="24"/>
          <w:highlight w:val="none"/>
          <w:u w:val="none" w:color="auto"/>
          <w:lang w:val="en-US" w:eastAsia="zh-CN"/>
        </w:rPr>
        <w:t>下新屋</w:t>
      </w:r>
      <w:r>
        <w:rPr>
          <w:rFonts w:hint="default" w:ascii="Times New Roman" w:hAnsi="Times New Roman" w:cs="Times New Roman"/>
          <w:color w:val="auto"/>
          <w:sz w:val="24"/>
          <w:szCs w:val="24"/>
          <w:highlight w:val="none"/>
          <w:u w:val="none" w:color="auto"/>
          <w:lang w:val="en-US" w:eastAsia="zh-CN"/>
        </w:rPr>
        <w:t>村居民的影响，取土场采取设置围挡、定期洒水抑尘等措施，同时建设单位通过合理安排施工时间，最大程度减少对周边居民的影响，从环境保护角度分析，设置较为合理。取土场取土完毕后进行生态恢复，后续根据相关用地规划另行办理相关用地手续。</w:t>
      </w:r>
    </w:p>
    <w:p w14:paraId="49D4D23A">
      <w:pPr>
        <w:pStyle w:val="217"/>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lang w:val="en-US" w:eastAsia="zh-CN"/>
        </w:rPr>
        <w:t>综上，</w:t>
      </w:r>
      <w:r>
        <w:rPr>
          <w:rFonts w:hint="eastAsia" w:ascii="Times New Roman" w:hAnsi="Times New Roman" w:cs="Times New Roman"/>
          <w:color w:val="auto"/>
          <w:sz w:val="24"/>
          <w:szCs w:val="24"/>
          <w:highlight w:val="none"/>
          <w:u w:val="none" w:color="auto"/>
          <w:lang w:val="en-US" w:eastAsia="zh-CN"/>
        </w:rPr>
        <w:t>本</w:t>
      </w:r>
      <w:r>
        <w:rPr>
          <w:rFonts w:hint="default" w:ascii="Times New Roman" w:hAnsi="Times New Roman" w:cs="Times New Roman"/>
          <w:color w:val="auto"/>
          <w:sz w:val="24"/>
          <w:szCs w:val="24"/>
          <w:highlight w:val="none"/>
          <w:u w:val="none" w:color="auto"/>
          <w:lang w:val="en-US" w:eastAsia="zh-CN"/>
        </w:rPr>
        <w:t>项目选址建设符合相关规划要求，与周边环境相容，污染物经严格的治理措施后对外环境影响甚微，选址合理。</w:t>
      </w:r>
    </w:p>
    <w:p w14:paraId="216A982D">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127" w:name="_Toc3861"/>
      <w:bookmarkStart w:id="128" w:name="_Toc31408"/>
      <w:bookmarkStart w:id="129" w:name="_Toc8231"/>
      <w:bookmarkStart w:id="130" w:name="_Toc14736"/>
      <w:bookmarkStart w:id="131" w:name="_Toc6316"/>
      <w:bookmarkStart w:id="132" w:name="_Toc21898"/>
      <w:bookmarkStart w:id="133" w:name="_Toc6083"/>
      <w:bookmarkStart w:id="134" w:name="_Toc25137"/>
      <w:bookmarkStart w:id="135" w:name="_Toc32129"/>
      <w:bookmarkStart w:id="136" w:name="_Toc25607"/>
      <w:bookmarkStart w:id="137" w:name="_Toc21905"/>
      <w:bookmarkStart w:id="138" w:name="_Toc350"/>
      <w:bookmarkStart w:id="139" w:name="_Toc26006"/>
      <w:r>
        <w:rPr>
          <w:rFonts w:hint="default" w:ascii="Times New Roman" w:hAnsi="Times New Roman" w:eastAsia="宋体" w:cs="Times New Roman"/>
          <w:color w:val="auto"/>
          <w:sz w:val="30"/>
          <w:szCs w:val="30"/>
          <w:highlight w:val="none"/>
          <w:u w:val="none" w:color="auto"/>
          <w:lang w:val="en-US"/>
        </w:rPr>
        <w:t>1.5关注的主要环境问题及环境影响</w:t>
      </w:r>
      <w:bookmarkEnd w:id="127"/>
      <w:bookmarkEnd w:id="128"/>
      <w:bookmarkEnd w:id="129"/>
      <w:bookmarkEnd w:id="130"/>
      <w:bookmarkEnd w:id="131"/>
      <w:bookmarkEnd w:id="132"/>
      <w:bookmarkEnd w:id="133"/>
      <w:bookmarkEnd w:id="134"/>
      <w:bookmarkEnd w:id="135"/>
      <w:bookmarkEnd w:id="136"/>
      <w:bookmarkEnd w:id="137"/>
      <w:bookmarkEnd w:id="138"/>
      <w:bookmarkEnd w:id="139"/>
    </w:p>
    <w:p w14:paraId="6662E488">
      <w:pPr>
        <w:numPr>
          <w:ilvl w:val="0"/>
          <w:numId w:val="7"/>
        </w:numPr>
        <w:topLinePunct w:val="0"/>
        <w:ind w:firstLine="480" w:firstLineChars="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水环境：重点关注事故状态下</w:t>
      </w:r>
      <w:r>
        <w:rPr>
          <w:rFonts w:hint="eastAsia" w:cs="Times New Roman"/>
          <w:color w:val="auto"/>
          <w:sz w:val="24"/>
          <w:szCs w:val="24"/>
          <w:highlight w:val="none"/>
          <w:u w:val="none" w:color="auto"/>
          <w:lang w:val="en-US" w:eastAsia="zh-CN"/>
        </w:rPr>
        <w:t>废水</w:t>
      </w:r>
      <w:r>
        <w:rPr>
          <w:rFonts w:hint="eastAsia" w:ascii="Times New Roman" w:hAnsi="Times New Roman" w:cs="Times New Roman"/>
          <w:color w:val="auto"/>
          <w:sz w:val="24"/>
          <w:szCs w:val="24"/>
          <w:highlight w:val="none"/>
          <w:u w:val="none" w:color="auto"/>
          <w:lang w:val="en-US" w:eastAsia="zh-CN"/>
        </w:rPr>
        <w:t>等</w:t>
      </w:r>
      <w:r>
        <w:rPr>
          <w:rFonts w:hint="default" w:ascii="Times New Roman" w:hAnsi="Times New Roman" w:cs="Times New Roman"/>
          <w:color w:val="auto"/>
          <w:sz w:val="24"/>
          <w:szCs w:val="24"/>
          <w:highlight w:val="none"/>
          <w:u w:val="none" w:color="auto"/>
        </w:rPr>
        <w:t>泄漏对</w:t>
      </w:r>
      <w:r>
        <w:rPr>
          <w:rFonts w:hint="eastAsia" w:ascii="Times New Roman" w:hAnsi="Times New Roman" w:cs="Times New Roman"/>
          <w:color w:val="auto"/>
          <w:sz w:val="24"/>
          <w:szCs w:val="24"/>
          <w:highlight w:val="none"/>
          <w:u w:val="none" w:color="auto"/>
          <w:lang w:val="en-US" w:eastAsia="zh-CN"/>
        </w:rPr>
        <w:t>水</w:t>
      </w:r>
      <w:r>
        <w:rPr>
          <w:rFonts w:hint="default" w:ascii="Times New Roman" w:hAnsi="Times New Roman" w:cs="Times New Roman"/>
          <w:color w:val="auto"/>
          <w:sz w:val="24"/>
          <w:szCs w:val="24"/>
          <w:highlight w:val="none"/>
          <w:u w:val="none" w:color="auto"/>
        </w:rPr>
        <w:t>环境的影响。</w:t>
      </w:r>
    </w:p>
    <w:p w14:paraId="5EB6E091">
      <w:pPr>
        <w:numPr>
          <w:ilvl w:val="0"/>
          <w:numId w:val="7"/>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环境空气：项目</w:t>
      </w:r>
      <w:r>
        <w:rPr>
          <w:rFonts w:hint="eastAsia" w:cs="Times New Roman"/>
          <w:color w:val="auto"/>
          <w:sz w:val="24"/>
          <w:szCs w:val="24"/>
          <w:highlight w:val="none"/>
          <w:u w:val="none" w:color="auto"/>
          <w:lang w:val="en-US" w:eastAsia="zh-CN"/>
        </w:rPr>
        <w:t>施工期</w:t>
      </w:r>
      <w:r>
        <w:rPr>
          <w:rFonts w:hint="default" w:ascii="Times New Roman" w:hAnsi="Times New Roman" w:cs="Times New Roman"/>
          <w:color w:val="auto"/>
          <w:sz w:val="24"/>
          <w:szCs w:val="24"/>
          <w:highlight w:val="none"/>
          <w:u w:val="none" w:color="auto"/>
        </w:rPr>
        <w:t>产生的</w:t>
      </w:r>
      <w:r>
        <w:rPr>
          <w:rFonts w:hint="eastAsia" w:cs="Times New Roman"/>
          <w:color w:val="auto"/>
          <w:sz w:val="24"/>
          <w:szCs w:val="24"/>
          <w:highlight w:val="none"/>
          <w:u w:val="none" w:color="auto"/>
          <w:lang w:val="en-US" w:eastAsia="zh-CN"/>
        </w:rPr>
        <w:t>废气</w:t>
      </w:r>
      <w:r>
        <w:rPr>
          <w:rFonts w:hint="default" w:ascii="Times New Roman" w:hAnsi="Times New Roman" w:cs="Times New Roman"/>
          <w:color w:val="auto"/>
          <w:sz w:val="24"/>
          <w:szCs w:val="24"/>
          <w:highlight w:val="none"/>
          <w:u w:val="none" w:color="auto"/>
        </w:rPr>
        <w:t>排放对区域环境空气质量和周边环境敏感点的影响</w:t>
      </w:r>
      <w:r>
        <w:rPr>
          <w:rFonts w:hint="eastAsia" w:cs="Times New Roman"/>
          <w:color w:val="auto"/>
          <w:sz w:val="24"/>
          <w:szCs w:val="24"/>
          <w:highlight w:val="none"/>
          <w:u w:val="none" w:color="auto"/>
          <w:lang w:eastAsia="zh-CN"/>
        </w:rPr>
        <w:t>。</w:t>
      </w:r>
    </w:p>
    <w:p w14:paraId="7E25CB37">
      <w:pPr>
        <w:keepNext w:val="0"/>
        <w:keepLines w:val="0"/>
        <w:pageBreakBefore w:val="0"/>
        <w:widowControl w:val="0"/>
        <w:numPr>
          <w:ilvl w:val="0"/>
          <w:numId w:val="7"/>
        </w:numPr>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声环境：重点关注项目</w:t>
      </w:r>
      <w:r>
        <w:rPr>
          <w:rFonts w:hint="eastAsia" w:cs="Times New Roman"/>
          <w:color w:val="auto"/>
          <w:sz w:val="24"/>
          <w:szCs w:val="24"/>
          <w:highlight w:val="none"/>
          <w:u w:val="none" w:color="auto"/>
          <w:lang w:val="en-US" w:eastAsia="zh-CN"/>
        </w:rPr>
        <w:t>施工期</w:t>
      </w:r>
      <w:r>
        <w:rPr>
          <w:rFonts w:hint="default" w:ascii="Times New Roman" w:hAnsi="Times New Roman" w:cs="Times New Roman"/>
          <w:color w:val="auto"/>
          <w:sz w:val="24"/>
          <w:szCs w:val="24"/>
          <w:highlight w:val="none"/>
          <w:u w:val="none" w:color="auto"/>
        </w:rPr>
        <w:t>高噪声设备对区域声环境的影响。</w:t>
      </w:r>
    </w:p>
    <w:p w14:paraId="0949FE98">
      <w:pPr>
        <w:keepNext w:val="0"/>
        <w:keepLines w:val="0"/>
        <w:pageBreakBefore w:val="0"/>
        <w:widowControl w:val="0"/>
        <w:numPr>
          <w:ilvl w:val="0"/>
          <w:numId w:val="7"/>
        </w:numPr>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固体废物：一般工业固体废物及危险废物贮存、处置过程中对地下水和土壤环境的影响。</w:t>
      </w:r>
    </w:p>
    <w:p w14:paraId="471C9A2D">
      <w:pPr>
        <w:keepNext w:val="0"/>
        <w:keepLines w:val="0"/>
        <w:pageBreakBefore w:val="0"/>
        <w:widowControl w:val="0"/>
        <w:numPr>
          <w:ilvl w:val="0"/>
          <w:numId w:val="7"/>
        </w:numPr>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土壤环境：重点关注事故状态下</w:t>
      </w:r>
      <w:r>
        <w:rPr>
          <w:rFonts w:hint="eastAsia" w:cs="Times New Roman"/>
          <w:color w:val="auto"/>
          <w:sz w:val="24"/>
          <w:szCs w:val="24"/>
          <w:highlight w:val="none"/>
          <w:u w:val="none" w:color="auto"/>
          <w:lang w:val="en-US" w:eastAsia="zh-CN"/>
        </w:rPr>
        <w:t>废水</w:t>
      </w:r>
      <w:r>
        <w:rPr>
          <w:rFonts w:hint="eastAsia" w:ascii="Times New Roman" w:hAnsi="Times New Roman" w:cs="Times New Roman"/>
          <w:color w:val="auto"/>
          <w:sz w:val="24"/>
          <w:szCs w:val="24"/>
          <w:highlight w:val="none"/>
          <w:u w:val="none" w:color="auto"/>
          <w:lang w:val="en-US" w:eastAsia="zh-CN"/>
        </w:rPr>
        <w:t>等</w:t>
      </w:r>
      <w:r>
        <w:rPr>
          <w:rFonts w:hint="default" w:ascii="Times New Roman" w:hAnsi="Times New Roman" w:cs="Times New Roman"/>
          <w:color w:val="auto"/>
          <w:sz w:val="24"/>
          <w:szCs w:val="24"/>
          <w:highlight w:val="none"/>
          <w:u w:val="none" w:color="auto"/>
        </w:rPr>
        <w:t>泄漏对土壤环境的影响。</w:t>
      </w:r>
    </w:p>
    <w:p w14:paraId="083357EC">
      <w:pPr>
        <w:keepNext w:val="0"/>
        <w:keepLines w:val="0"/>
        <w:pageBreakBefore w:val="0"/>
        <w:widowControl w:val="0"/>
        <w:numPr>
          <w:ilvl w:val="0"/>
          <w:numId w:val="7"/>
        </w:numPr>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地</w:t>
      </w:r>
      <w:r>
        <w:rPr>
          <w:rFonts w:hint="eastAsia" w:ascii="Times New Roman" w:hAnsi="Times New Roman" w:cs="Times New Roman"/>
          <w:color w:val="auto"/>
          <w:sz w:val="24"/>
          <w:szCs w:val="24"/>
          <w:highlight w:val="none"/>
          <w:u w:val="none" w:color="auto"/>
          <w:lang w:val="en-US" w:eastAsia="zh-CN"/>
        </w:rPr>
        <w:t>下</w:t>
      </w:r>
      <w:r>
        <w:rPr>
          <w:rFonts w:hint="default" w:ascii="Times New Roman" w:hAnsi="Times New Roman" w:cs="Times New Roman"/>
          <w:color w:val="auto"/>
          <w:sz w:val="24"/>
          <w:szCs w:val="24"/>
          <w:highlight w:val="none"/>
          <w:u w:val="none" w:color="auto"/>
        </w:rPr>
        <w:t>水环境：重点关注事故状态下</w:t>
      </w:r>
      <w:r>
        <w:rPr>
          <w:rFonts w:hint="eastAsia" w:cs="Times New Roman"/>
          <w:color w:val="auto"/>
          <w:sz w:val="24"/>
          <w:szCs w:val="24"/>
          <w:highlight w:val="none"/>
          <w:u w:val="none" w:color="auto"/>
          <w:lang w:val="en-US" w:eastAsia="zh-CN"/>
        </w:rPr>
        <w:t>废水</w:t>
      </w:r>
      <w:r>
        <w:rPr>
          <w:rFonts w:hint="default" w:ascii="Times New Roman" w:hAnsi="Times New Roman" w:cs="Times New Roman"/>
          <w:color w:val="auto"/>
          <w:sz w:val="24"/>
          <w:szCs w:val="24"/>
          <w:highlight w:val="none"/>
          <w:u w:val="none" w:color="auto"/>
        </w:rPr>
        <w:t>等泄漏对地下水环境的影响。</w:t>
      </w:r>
    </w:p>
    <w:p w14:paraId="08751DAE">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140" w:name="_TOC_250086"/>
      <w:bookmarkEnd w:id="140"/>
      <w:bookmarkStart w:id="141" w:name="_Toc16211"/>
      <w:bookmarkStart w:id="142" w:name="_Toc20410"/>
      <w:bookmarkStart w:id="143" w:name="_Toc2712"/>
      <w:bookmarkStart w:id="144" w:name="_Toc28581"/>
      <w:bookmarkStart w:id="145" w:name="_Toc24102"/>
      <w:bookmarkStart w:id="146" w:name="_Toc23113"/>
      <w:bookmarkStart w:id="147" w:name="_Toc14559"/>
      <w:bookmarkStart w:id="148" w:name="_Toc2267"/>
      <w:bookmarkStart w:id="149" w:name="_Toc26744"/>
      <w:bookmarkStart w:id="150" w:name="_Toc11501"/>
      <w:bookmarkStart w:id="151" w:name="_Toc12163"/>
      <w:bookmarkStart w:id="152" w:name="_Toc14579"/>
      <w:bookmarkStart w:id="153" w:name="_Toc3874"/>
      <w:bookmarkStart w:id="154" w:name="_Toc8946"/>
      <w:r>
        <w:rPr>
          <w:rFonts w:hint="default" w:ascii="Times New Roman" w:hAnsi="Times New Roman" w:eastAsia="宋体" w:cs="Times New Roman"/>
          <w:color w:val="auto"/>
          <w:sz w:val="30"/>
          <w:szCs w:val="30"/>
          <w:highlight w:val="none"/>
          <w:u w:val="none" w:color="auto"/>
          <w:lang w:val="en-US"/>
        </w:rPr>
        <w:t>1.6环境影响评价的主要结论</w:t>
      </w:r>
      <w:bookmarkEnd w:id="141"/>
      <w:bookmarkEnd w:id="142"/>
      <w:bookmarkEnd w:id="143"/>
      <w:bookmarkEnd w:id="144"/>
      <w:bookmarkEnd w:id="145"/>
      <w:bookmarkEnd w:id="146"/>
      <w:bookmarkEnd w:id="147"/>
      <w:bookmarkEnd w:id="148"/>
      <w:bookmarkEnd w:id="149"/>
      <w:bookmarkEnd w:id="150"/>
      <w:bookmarkEnd w:id="151"/>
      <w:bookmarkEnd w:id="152"/>
      <w:bookmarkEnd w:id="153"/>
    </w:p>
    <w:p w14:paraId="1DF1445B">
      <w:pPr>
        <w:keepNext w:val="0"/>
        <w:keepLines w:val="0"/>
        <w:pageBreakBefore w:val="0"/>
        <w:widowControl w:val="0"/>
        <w:kinsoku/>
        <w:wordWrap/>
        <w:overflowPunct/>
        <w:topLinePunct w:val="0"/>
        <w:autoSpaceDE/>
        <w:autoSpaceDN/>
        <w:bidi w:val="0"/>
        <w:adjustRightInd/>
        <w:snapToGrid/>
        <w:ind w:firstLine="480"/>
        <w:jc w:val="left"/>
        <w:textAlignment w:val="auto"/>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lang w:val="en-US" w:eastAsia="zh-CN"/>
        </w:rPr>
        <w:t>位</w:t>
      </w:r>
      <w:r>
        <w:rPr>
          <w:rFonts w:hint="default" w:ascii="Times New Roman" w:hAnsi="Times New Roman" w:cs="Times New Roman"/>
          <w:color w:val="auto"/>
          <w:sz w:val="24"/>
          <w:szCs w:val="24"/>
          <w:highlight w:val="none"/>
          <w:u w:val="none" w:color="auto"/>
        </w:rPr>
        <w:t>于</w:t>
      </w:r>
      <w:r>
        <w:rPr>
          <w:rFonts w:hint="eastAsia" w:cs="Times New Roman"/>
          <w:color w:val="auto"/>
          <w:sz w:val="24"/>
          <w:szCs w:val="24"/>
          <w:highlight w:val="none"/>
          <w:u w:val="none" w:color="auto"/>
          <w:lang w:val="en-US" w:eastAsia="zh-CN"/>
        </w:rPr>
        <w:t>平江县三阳乡</w:t>
      </w:r>
      <w:r>
        <w:rPr>
          <w:rFonts w:hint="default" w:ascii="Times New Roman" w:hAnsi="Times New Roman" w:cs="Times New Roman"/>
          <w:color w:val="auto"/>
          <w:sz w:val="24"/>
          <w:szCs w:val="24"/>
          <w:highlight w:val="none"/>
          <w:u w:val="none" w:color="auto"/>
        </w:rPr>
        <w:t>，属</w:t>
      </w:r>
      <w:r>
        <w:rPr>
          <w:rFonts w:hint="eastAsia" w:cs="Times New Roman"/>
          <w:color w:val="auto"/>
          <w:sz w:val="24"/>
          <w:szCs w:val="24"/>
          <w:highlight w:val="none"/>
          <w:u w:val="none" w:color="auto"/>
          <w:lang w:val="en-US" w:eastAsia="zh-CN"/>
        </w:rPr>
        <w:t>于鼓励</w:t>
      </w:r>
      <w:r>
        <w:rPr>
          <w:rFonts w:hint="default" w:ascii="Times New Roman" w:hAnsi="Times New Roman" w:cs="Times New Roman"/>
          <w:color w:val="auto"/>
          <w:sz w:val="24"/>
          <w:szCs w:val="24"/>
          <w:highlight w:val="none"/>
          <w:u w:val="none" w:color="auto"/>
        </w:rPr>
        <w:t>类项目，符合国家产业政策。项目符合用地性质及产业符合项目所在地的用地及产业规划要求。项目所采取的环保措施技术可靠、经济可行，项目建设符合达标排放的要求。环境影响预测表明项目建设对周围环境影响较小。因此，</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在切实落实各项环保措施的前提下，从环保角度分析，项目建设可行。</w:t>
      </w:r>
    </w:p>
    <w:p w14:paraId="208EE906">
      <w:pPr>
        <w:pStyle w:val="2"/>
        <w:keepNext w:val="0"/>
        <w:keepLines w:val="0"/>
        <w:topLinePunct w:val="0"/>
        <w:ind w:left="431"/>
        <w:rPr>
          <w:rFonts w:hint="default" w:ascii="Times New Roman" w:hAnsi="Times New Roman" w:cs="Times New Roman"/>
          <w:color w:val="auto"/>
          <w:highlight w:val="none"/>
          <w:u w:val="none" w:color="auto"/>
        </w:rPr>
        <w:sectPr>
          <w:footerReference r:id="rId7" w:type="default"/>
          <w:pgSz w:w="11910" w:h="16840"/>
          <w:pgMar w:top="1417" w:right="1417" w:bottom="1417" w:left="1417" w:header="898" w:footer="974" w:gutter="0"/>
          <w:pgBorders>
            <w:top w:val="none" w:sz="0" w:space="0"/>
            <w:left w:val="none" w:sz="0" w:space="0"/>
            <w:bottom w:val="none" w:sz="0" w:space="0"/>
            <w:right w:val="none" w:sz="0" w:space="0"/>
          </w:pgBorders>
          <w:pgNumType w:fmt="decimal" w:start="1"/>
          <w:cols w:space="720" w:num="1"/>
          <w:docGrid w:type="lines" w:linePitch="333" w:charSpace="0"/>
        </w:sectPr>
      </w:pPr>
    </w:p>
    <w:p w14:paraId="4C290192">
      <w:pPr>
        <w:pStyle w:val="2"/>
        <w:keepNext w:val="0"/>
        <w:keepLines w:val="0"/>
        <w:numPr>
          <w:ilvl w:val="0"/>
          <w:numId w:val="0"/>
        </w:numPr>
        <w:topLinePunct w:val="0"/>
        <w:rPr>
          <w:rFonts w:hint="default" w:ascii="Times New Roman" w:hAnsi="Times New Roman" w:cs="Times New Roman"/>
          <w:color w:val="auto"/>
          <w:sz w:val="36"/>
          <w:szCs w:val="36"/>
          <w:highlight w:val="none"/>
          <w:u w:val="none" w:color="auto"/>
        </w:rPr>
      </w:pPr>
      <w:bookmarkStart w:id="155" w:name="_Toc29818"/>
      <w:bookmarkStart w:id="156" w:name="_Toc15063"/>
      <w:bookmarkStart w:id="157" w:name="_Toc11481"/>
      <w:bookmarkStart w:id="158" w:name="_Toc10570"/>
      <w:bookmarkStart w:id="159" w:name="_Toc27447"/>
      <w:bookmarkStart w:id="160" w:name="_Toc25082"/>
      <w:bookmarkStart w:id="161" w:name="_Toc19442"/>
      <w:bookmarkStart w:id="162" w:name="_Toc22176"/>
      <w:bookmarkStart w:id="163" w:name="_Toc28141"/>
      <w:bookmarkStart w:id="164" w:name="_Toc24553"/>
      <w:bookmarkStart w:id="165" w:name="_Toc29286"/>
      <w:bookmarkStart w:id="166" w:name="_Toc31144"/>
      <w:bookmarkStart w:id="167" w:name="_Toc16083"/>
      <w:r>
        <w:rPr>
          <w:rFonts w:hint="default" w:ascii="Times New Roman" w:hAnsi="Times New Roman" w:cs="Times New Roman"/>
          <w:color w:val="auto"/>
          <w:sz w:val="36"/>
          <w:szCs w:val="36"/>
          <w:highlight w:val="none"/>
          <w:u w:val="none" w:color="auto"/>
        </w:rPr>
        <w:t>2 总则</w:t>
      </w:r>
      <w:bookmarkEnd w:id="155"/>
      <w:bookmarkEnd w:id="156"/>
      <w:bookmarkEnd w:id="157"/>
      <w:bookmarkEnd w:id="158"/>
      <w:bookmarkEnd w:id="159"/>
      <w:bookmarkEnd w:id="160"/>
      <w:bookmarkEnd w:id="161"/>
      <w:bookmarkEnd w:id="162"/>
      <w:bookmarkEnd w:id="163"/>
      <w:bookmarkEnd w:id="164"/>
      <w:bookmarkEnd w:id="165"/>
      <w:bookmarkEnd w:id="166"/>
      <w:bookmarkEnd w:id="167"/>
    </w:p>
    <w:bookmarkEnd w:id="154"/>
    <w:p w14:paraId="64E00725">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168" w:name="_Toc28224"/>
      <w:bookmarkStart w:id="169" w:name="_Toc22663"/>
      <w:bookmarkStart w:id="170" w:name="_Toc18683"/>
      <w:bookmarkStart w:id="171" w:name="_Toc11312"/>
      <w:bookmarkStart w:id="172" w:name="_Toc2594"/>
      <w:bookmarkStart w:id="173" w:name="_Toc25812"/>
      <w:bookmarkStart w:id="174" w:name="_Toc11130"/>
      <w:bookmarkStart w:id="175" w:name="_Toc13744"/>
      <w:bookmarkStart w:id="176" w:name="_Toc31775"/>
      <w:bookmarkStart w:id="177" w:name="_Toc13139"/>
      <w:bookmarkStart w:id="178" w:name="_Toc19065"/>
      <w:bookmarkStart w:id="179" w:name="_Toc22259"/>
      <w:bookmarkStart w:id="180" w:name="_Toc15159"/>
      <w:bookmarkStart w:id="181" w:name="_Toc2590"/>
      <w:r>
        <w:rPr>
          <w:rFonts w:hint="default" w:ascii="Times New Roman" w:hAnsi="Times New Roman" w:eastAsia="宋体" w:cs="Times New Roman"/>
          <w:color w:val="auto"/>
          <w:sz w:val="30"/>
          <w:szCs w:val="30"/>
          <w:highlight w:val="none"/>
          <w:u w:val="none" w:color="auto"/>
          <w:lang w:val="en-US"/>
        </w:rPr>
        <w:t>2.1编制依据</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0DCED09F">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182" w:name="_Toc9815"/>
      <w:bookmarkStart w:id="183" w:name="_Toc21314"/>
      <w:bookmarkStart w:id="184" w:name="_Toc29682"/>
      <w:bookmarkStart w:id="185" w:name="_Toc27665"/>
      <w:r>
        <w:rPr>
          <w:rFonts w:hint="default" w:ascii="Times New Roman" w:hAnsi="Times New Roman" w:cs="Times New Roman"/>
          <w:color w:val="auto"/>
          <w:sz w:val="28"/>
          <w:szCs w:val="28"/>
          <w:highlight w:val="none"/>
          <w:u w:val="none" w:color="auto"/>
        </w:rPr>
        <w:t>2.1.1法律、法规、技术政策</w:t>
      </w:r>
      <w:bookmarkEnd w:id="182"/>
      <w:bookmarkEnd w:id="183"/>
      <w:bookmarkEnd w:id="184"/>
      <w:bookmarkEnd w:id="185"/>
    </w:p>
    <w:p w14:paraId="21716198">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（1）《中华人民共和国环境保护法（修订）》（2015年1月1日起施行）；</w:t>
      </w:r>
    </w:p>
    <w:p w14:paraId="41830509">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（2）《中华人民共和国环境影响评价法（修订）》（2018年12月29日起施行）；</w:t>
      </w:r>
    </w:p>
    <w:p w14:paraId="397DE322">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（3）《中华人民共和国水污染防治法（修订）》（2018年1月1日起施行）；</w:t>
      </w:r>
    </w:p>
    <w:p w14:paraId="2AA07A08">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（4）《中华人民共和国大气污染防治法（修订）》（2018年10月26日起施行）；</w:t>
      </w:r>
    </w:p>
    <w:p w14:paraId="3EB415EB">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（5）《中华人民共和国噪声污染防治法（2021年修订）》（2022年6月5日起施行）；</w:t>
      </w:r>
    </w:p>
    <w:p w14:paraId="6F2D69EB">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（6）《中华人民共和国土壤污染防治法》（2019年1月1日起施行）；</w:t>
      </w:r>
    </w:p>
    <w:p w14:paraId="48E7DB3A">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（7）《中华人民共和国固体废物污染环境防治法》（2020年9月1日施行）；</w:t>
      </w:r>
    </w:p>
    <w:p w14:paraId="40265E65">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（8）《建设项目环境保护管理条例（修订）》（2017年10月1日起施行）；</w:t>
      </w:r>
    </w:p>
    <w:p w14:paraId="4B3BF096">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（9）《中华人民共和国循环经济促进法》（2018年10月26日起施行）；</w:t>
      </w:r>
    </w:p>
    <w:p w14:paraId="183447EF">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（10）《中华人民共和国清洁生产促进法》（2012年7月1日起施行）；</w:t>
      </w:r>
    </w:p>
    <w:p w14:paraId="1A15354B">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（11）《建设项目环境影响评价分类管理名录》（2021版），2021年1月1日起施行；</w:t>
      </w:r>
    </w:p>
    <w:p w14:paraId="26F69086">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w:t>
      </w:r>
      <w:r>
        <w:rPr>
          <w:rFonts w:hint="eastAsia"/>
          <w:color w:val="auto"/>
          <w:sz w:val="24"/>
          <w:szCs w:val="24"/>
          <w:highlight w:val="none"/>
          <w:u w:val="none" w:color="auto"/>
          <w:lang w:val="en-US" w:eastAsia="zh-CN"/>
        </w:rPr>
        <w:t>2</w:t>
      </w:r>
      <w:r>
        <w:rPr>
          <w:rFonts w:hint="eastAsia"/>
          <w:color w:val="auto"/>
          <w:sz w:val="24"/>
          <w:szCs w:val="24"/>
          <w:highlight w:val="none"/>
          <w:u w:val="none" w:color="auto"/>
          <w:lang w:eastAsia="zh-CN"/>
        </w:rPr>
        <w:t>）《关于落实大气污染防治行动计划严格环境影响评价准入的通知》（环办〔2014〕30号，2014年3月25日）；</w:t>
      </w:r>
    </w:p>
    <w:p w14:paraId="3145FC31">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w:t>
      </w:r>
      <w:r>
        <w:rPr>
          <w:rFonts w:hint="eastAsia"/>
          <w:color w:val="auto"/>
          <w:sz w:val="24"/>
          <w:szCs w:val="24"/>
          <w:highlight w:val="none"/>
          <w:u w:val="none" w:color="auto"/>
          <w:lang w:val="en-US" w:eastAsia="zh-CN"/>
        </w:rPr>
        <w:t>3</w:t>
      </w:r>
      <w:r>
        <w:rPr>
          <w:rFonts w:hint="eastAsia"/>
          <w:color w:val="auto"/>
          <w:sz w:val="24"/>
          <w:szCs w:val="24"/>
          <w:highlight w:val="none"/>
          <w:u w:val="none" w:color="auto"/>
          <w:lang w:eastAsia="zh-CN"/>
        </w:rPr>
        <w:t>）《环境影响评价公众参与办法》（生态环境部令第4号，2019年1月1日施行）；</w:t>
      </w:r>
    </w:p>
    <w:p w14:paraId="5A8E257D">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w:t>
      </w:r>
      <w:r>
        <w:rPr>
          <w:rFonts w:hint="eastAsia"/>
          <w:color w:val="auto"/>
          <w:sz w:val="24"/>
          <w:szCs w:val="24"/>
          <w:highlight w:val="none"/>
          <w:u w:val="none" w:color="auto"/>
          <w:lang w:val="en-US" w:eastAsia="zh-CN"/>
        </w:rPr>
        <w:t>4</w:t>
      </w:r>
      <w:r>
        <w:rPr>
          <w:rFonts w:hint="eastAsia"/>
          <w:color w:val="auto"/>
          <w:sz w:val="24"/>
          <w:szCs w:val="24"/>
          <w:highlight w:val="none"/>
          <w:u w:val="none" w:color="auto"/>
          <w:lang w:eastAsia="zh-CN"/>
        </w:rPr>
        <w:t>）《关于发布&lt;环境影响评价公众参与办法&gt;配套文件的公告》（生态环境部公告2018年第48号，2019年1月1日实施）；</w:t>
      </w:r>
    </w:p>
    <w:p w14:paraId="7D25901A">
      <w:pPr>
        <w:rPr>
          <w:rFonts w:hint="eastAsia"/>
          <w:color w:val="auto"/>
          <w:sz w:val="24"/>
          <w:szCs w:val="24"/>
          <w:highlight w:val="yellow"/>
          <w:u w:val="none" w:color="auto"/>
          <w:lang w:eastAsia="zh-CN"/>
        </w:rPr>
      </w:pPr>
      <w:r>
        <w:rPr>
          <w:rFonts w:hint="eastAsia"/>
          <w:color w:val="auto"/>
          <w:sz w:val="24"/>
          <w:szCs w:val="24"/>
          <w:highlight w:val="none"/>
          <w:u w:val="none" w:color="auto"/>
          <w:lang w:eastAsia="zh-CN"/>
        </w:rPr>
        <w:t>（1</w:t>
      </w:r>
      <w:r>
        <w:rPr>
          <w:rFonts w:hint="eastAsia"/>
          <w:color w:val="auto"/>
          <w:sz w:val="24"/>
          <w:szCs w:val="24"/>
          <w:highlight w:val="none"/>
          <w:u w:val="none" w:color="auto"/>
          <w:lang w:val="en-US" w:eastAsia="zh-CN"/>
        </w:rPr>
        <w:t>5</w:t>
      </w:r>
      <w:r>
        <w:rPr>
          <w:rFonts w:hint="eastAsia"/>
          <w:color w:val="auto"/>
          <w:sz w:val="24"/>
          <w:szCs w:val="24"/>
          <w:highlight w:val="none"/>
          <w:u w:val="none" w:color="auto"/>
          <w:lang w:eastAsia="zh-CN"/>
        </w:rPr>
        <w:t>）《产业结构调整指导目录（20</w:t>
      </w:r>
      <w:r>
        <w:rPr>
          <w:rFonts w:hint="eastAsia"/>
          <w:color w:val="auto"/>
          <w:sz w:val="24"/>
          <w:szCs w:val="24"/>
          <w:highlight w:val="none"/>
          <w:u w:val="none" w:color="auto"/>
          <w:lang w:val="en-US" w:eastAsia="zh-CN"/>
        </w:rPr>
        <w:t>24</w:t>
      </w:r>
      <w:r>
        <w:rPr>
          <w:rFonts w:hint="eastAsia"/>
          <w:color w:val="auto"/>
          <w:sz w:val="24"/>
          <w:szCs w:val="24"/>
          <w:highlight w:val="none"/>
          <w:u w:val="none" w:color="auto"/>
          <w:lang w:eastAsia="zh-CN"/>
        </w:rPr>
        <w:t>年本）》（国家发展和改革委员会令第</w:t>
      </w:r>
      <w:r>
        <w:rPr>
          <w:rFonts w:hint="eastAsia"/>
          <w:color w:val="auto"/>
          <w:sz w:val="24"/>
          <w:szCs w:val="24"/>
          <w:highlight w:val="none"/>
          <w:u w:val="none" w:color="auto"/>
          <w:lang w:val="en-US" w:eastAsia="zh-CN"/>
        </w:rPr>
        <w:t>7</w:t>
      </w:r>
      <w:r>
        <w:rPr>
          <w:rFonts w:hint="eastAsia"/>
          <w:color w:val="auto"/>
          <w:sz w:val="24"/>
          <w:szCs w:val="24"/>
          <w:highlight w:val="none"/>
          <w:u w:val="none" w:color="auto"/>
          <w:lang w:eastAsia="zh-CN"/>
        </w:rPr>
        <w:t>号），202</w:t>
      </w:r>
      <w:r>
        <w:rPr>
          <w:rFonts w:hint="eastAsia"/>
          <w:color w:val="auto"/>
          <w:sz w:val="24"/>
          <w:szCs w:val="24"/>
          <w:highlight w:val="none"/>
          <w:u w:val="none" w:color="auto"/>
          <w:lang w:val="en-US" w:eastAsia="zh-CN"/>
        </w:rPr>
        <w:t>4</w:t>
      </w:r>
      <w:r>
        <w:rPr>
          <w:rFonts w:hint="eastAsia"/>
          <w:color w:val="auto"/>
          <w:sz w:val="24"/>
          <w:szCs w:val="24"/>
          <w:highlight w:val="none"/>
          <w:u w:val="none" w:color="auto"/>
          <w:lang w:eastAsia="zh-CN"/>
        </w:rPr>
        <w:t>年</w:t>
      </w:r>
      <w:r>
        <w:rPr>
          <w:rFonts w:hint="eastAsia"/>
          <w:color w:val="auto"/>
          <w:sz w:val="24"/>
          <w:szCs w:val="24"/>
          <w:highlight w:val="none"/>
          <w:u w:val="none" w:color="auto"/>
          <w:lang w:val="en-US" w:eastAsia="zh-CN"/>
        </w:rPr>
        <w:t>2</w:t>
      </w:r>
      <w:r>
        <w:rPr>
          <w:rFonts w:hint="eastAsia"/>
          <w:color w:val="auto"/>
          <w:sz w:val="24"/>
          <w:szCs w:val="24"/>
          <w:highlight w:val="none"/>
          <w:u w:val="none" w:color="auto"/>
          <w:lang w:eastAsia="zh-CN"/>
        </w:rPr>
        <w:t>月1日实施；</w:t>
      </w:r>
    </w:p>
    <w:p w14:paraId="20959FAD">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（1</w:t>
      </w:r>
      <w:r>
        <w:rPr>
          <w:rFonts w:hint="eastAsia"/>
          <w:color w:val="auto"/>
          <w:sz w:val="24"/>
          <w:szCs w:val="24"/>
          <w:highlight w:val="none"/>
          <w:u w:val="none" w:color="auto"/>
          <w:lang w:val="en-US" w:eastAsia="zh-CN"/>
        </w:rPr>
        <w:t>6</w:t>
      </w:r>
      <w:r>
        <w:rPr>
          <w:rFonts w:hint="eastAsia"/>
          <w:color w:val="auto"/>
          <w:sz w:val="24"/>
          <w:szCs w:val="24"/>
          <w:highlight w:val="none"/>
          <w:u w:val="none" w:color="auto"/>
          <w:lang w:eastAsia="zh-CN"/>
        </w:rPr>
        <w:t>）《关于印发&lt;企业事业单位突发环境事件应急预案备案管理办法（试行）&gt;的通知》（环发〔2015〕4号，2015年1月8日）；</w:t>
      </w:r>
    </w:p>
    <w:p w14:paraId="355A3977">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17</w:t>
      </w:r>
      <w:r>
        <w:rPr>
          <w:rFonts w:hint="eastAsia"/>
          <w:color w:val="auto"/>
          <w:sz w:val="24"/>
          <w:szCs w:val="24"/>
          <w:highlight w:val="none"/>
          <w:u w:val="none" w:color="auto"/>
          <w:lang w:eastAsia="zh-CN"/>
        </w:rPr>
        <w:t>）《关于进一步加强环境影响评价管理防范环境风险的通知》，环发〔2012〕77号，国家</w:t>
      </w:r>
      <w:r>
        <w:rPr>
          <w:rFonts w:hint="eastAsia"/>
          <w:color w:val="auto"/>
          <w:sz w:val="24"/>
          <w:szCs w:val="24"/>
          <w:highlight w:val="none"/>
          <w:u w:val="none" w:color="auto"/>
          <w:lang w:val="en-US" w:eastAsia="zh-CN"/>
        </w:rPr>
        <w:t>环境保护部</w:t>
      </w:r>
      <w:r>
        <w:rPr>
          <w:rFonts w:hint="eastAsia"/>
          <w:color w:val="auto"/>
          <w:sz w:val="24"/>
          <w:szCs w:val="24"/>
          <w:highlight w:val="none"/>
          <w:u w:val="none" w:color="auto"/>
          <w:lang w:eastAsia="zh-CN"/>
        </w:rPr>
        <w:t>，2012年7月3日；</w:t>
      </w:r>
    </w:p>
    <w:p w14:paraId="4FFE727E">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18</w:t>
      </w:r>
      <w:r>
        <w:rPr>
          <w:rFonts w:hint="eastAsia"/>
          <w:color w:val="auto"/>
          <w:sz w:val="24"/>
          <w:szCs w:val="24"/>
          <w:highlight w:val="none"/>
          <w:u w:val="none" w:color="auto"/>
          <w:lang w:eastAsia="zh-CN"/>
        </w:rPr>
        <w:t>）《关于切实加强风险防范严格环境影响评价管理的通知》，环发〔2012〕98号，2012年8月8日；</w:t>
      </w:r>
    </w:p>
    <w:p w14:paraId="30A3A60B">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19</w:t>
      </w:r>
      <w:r>
        <w:rPr>
          <w:rFonts w:hint="eastAsia"/>
          <w:color w:val="auto"/>
          <w:sz w:val="24"/>
          <w:szCs w:val="24"/>
          <w:highlight w:val="none"/>
          <w:u w:val="none" w:color="auto"/>
          <w:lang w:eastAsia="zh-CN"/>
        </w:rPr>
        <w:t>）《危险化学品安全管理条例》（国务院第591号令，2011年3月）；</w:t>
      </w:r>
    </w:p>
    <w:p w14:paraId="24D4F1CD">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w:t>
      </w:r>
      <w:r>
        <w:rPr>
          <w:rFonts w:hint="eastAsia"/>
          <w:color w:val="auto"/>
          <w:sz w:val="24"/>
          <w:szCs w:val="24"/>
          <w:highlight w:val="none"/>
          <w:u w:val="none" w:color="auto"/>
          <w:lang w:val="en-US" w:eastAsia="zh-CN"/>
        </w:rPr>
        <w:t>0</w:t>
      </w:r>
      <w:r>
        <w:rPr>
          <w:rFonts w:hint="eastAsia"/>
          <w:color w:val="auto"/>
          <w:sz w:val="24"/>
          <w:szCs w:val="24"/>
          <w:highlight w:val="none"/>
          <w:u w:val="none" w:color="auto"/>
          <w:lang w:eastAsia="zh-CN"/>
        </w:rPr>
        <w:t>）《危险化学品目录》（2022版）；</w:t>
      </w:r>
    </w:p>
    <w:p w14:paraId="0469218F">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w:t>
      </w:r>
      <w:r>
        <w:rPr>
          <w:rFonts w:hint="eastAsia"/>
          <w:color w:val="auto"/>
          <w:sz w:val="24"/>
          <w:szCs w:val="24"/>
          <w:highlight w:val="none"/>
          <w:u w:val="none" w:color="auto"/>
          <w:lang w:val="en-US" w:eastAsia="zh-CN"/>
        </w:rPr>
        <w:t>1</w:t>
      </w:r>
      <w:r>
        <w:rPr>
          <w:rFonts w:hint="eastAsia"/>
          <w:color w:val="auto"/>
          <w:sz w:val="24"/>
          <w:szCs w:val="24"/>
          <w:highlight w:val="none"/>
          <w:u w:val="none" w:color="auto"/>
          <w:lang w:eastAsia="zh-CN"/>
        </w:rPr>
        <w:t>）《国家危险废物名录》（202</w:t>
      </w:r>
      <w:r>
        <w:rPr>
          <w:rFonts w:hint="eastAsia"/>
          <w:color w:val="auto"/>
          <w:sz w:val="24"/>
          <w:szCs w:val="24"/>
          <w:highlight w:val="none"/>
          <w:u w:val="none" w:color="auto"/>
          <w:lang w:val="en-US" w:eastAsia="zh-CN"/>
        </w:rPr>
        <w:t>5年</w:t>
      </w:r>
      <w:r>
        <w:rPr>
          <w:rFonts w:hint="eastAsia"/>
          <w:color w:val="auto"/>
          <w:sz w:val="24"/>
          <w:szCs w:val="24"/>
          <w:highlight w:val="none"/>
          <w:u w:val="none" w:color="auto"/>
          <w:lang w:eastAsia="zh-CN"/>
        </w:rPr>
        <w:t>版），202</w:t>
      </w:r>
      <w:r>
        <w:rPr>
          <w:rFonts w:hint="eastAsia"/>
          <w:color w:val="auto"/>
          <w:sz w:val="24"/>
          <w:szCs w:val="24"/>
          <w:highlight w:val="none"/>
          <w:u w:val="none" w:color="auto"/>
          <w:lang w:val="en-US" w:eastAsia="zh-CN"/>
        </w:rPr>
        <w:t>5</w:t>
      </w:r>
      <w:r>
        <w:rPr>
          <w:rFonts w:hint="eastAsia"/>
          <w:color w:val="auto"/>
          <w:sz w:val="24"/>
          <w:szCs w:val="24"/>
          <w:highlight w:val="none"/>
          <w:u w:val="none" w:color="auto"/>
          <w:lang w:eastAsia="zh-CN"/>
        </w:rPr>
        <w:t>年1月1日起施行；</w:t>
      </w:r>
    </w:p>
    <w:p w14:paraId="33BA1A2D">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w:t>
      </w:r>
      <w:r>
        <w:rPr>
          <w:rFonts w:hint="eastAsia"/>
          <w:color w:val="auto"/>
          <w:sz w:val="24"/>
          <w:szCs w:val="24"/>
          <w:highlight w:val="none"/>
          <w:u w:val="none" w:color="auto"/>
          <w:lang w:val="en-US" w:eastAsia="zh-CN"/>
        </w:rPr>
        <w:t>2</w:t>
      </w:r>
      <w:r>
        <w:rPr>
          <w:rFonts w:hint="eastAsia"/>
          <w:color w:val="auto"/>
          <w:sz w:val="24"/>
          <w:szCs w:val="24"/>
          <w:highlight w:val="none"/>
          <w:u w:val="none" w:color="auto"/>
          <w:lang w:eastAsia="zh-CN"/>
        </w:rPr>
        <w:t>）《危险废物转移管理办法》（生态环境部、公安部、交通运输部令第23号，公布自2022年1月1日起施行）；</w:t>
      </w:r>
    </w:p>
    <w:p w14:paraId="26CEC9D3">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w:t>
      </w:r>
      <w:r>
        <w:rPr>
          <w:rFonts w:hint="eastAsia"/>
          <w:color w:val="auto"/>
          <w:sz w:val="24"/>
          <w:szCs w:val="24"/>
          <w:highlight w:val="none"/>
          <w:u w:val="none" w:color="auto"/>
          <w:lang w:val="en-US" w:eastAsia="zh-CN"/>
        </w:rPr>
        <w:t>3</w:t>
      </w:r>
      <w:r>
        <w:rPr>
          <w:rFonts w:hint="eastAsia"/>
          <w:color w:val="auto"/>
          <w:sz w:val="24"/>
          <w:szCs w:val="24"/>
          <w:highlight w:val="none"/>
          <w:u w:val="none" w:color="auto"/>
          <w:lang w:eastAsia="zh-CN"/>
        </w:rPr>
        <w:t>）《部分工业行业淘汰落后生产工艺装备和产品指导目录》（工信部</w:t>
      </w:r>
      <w:r>
        <w:rPr>
          <w:rFonts w:hint="eastAsia" w:ascii="宋体" w:hAnsi="宋体" w:eastAsia="宋体" w:cs="宋体"/>
          <w:color w:val="auto"/>
          <w:sz w:val="24"/>
          <w:szCs w:val="24"/>
          <w:highlight w:val="none"/>
          <w:u w:val="none" w:color="auto"/>
          <w:lang w:eastAsia="zh-CN"/>
        </w:rPr>
        <w:t>〔</w:t>
      </w:r>
      <w:r>
        <w:rPr>
          <w:rFonts w:hint="eastAsia"/>
          <w:color w:val="auto"/>
          <w:sz w:val="24"/>
          <w:szCs w:val="24"/>
          <w:highlight w:val="none"/>
          <w:u w:val="none" w:color="auto"/>
          <w:lang w:eastAsia="zh-CN"/>
        </w:rPr>
        <w:t>2010</w:t>
      </w:r>
      <w:r>
        <w:rPr>
          <w:rFonts w:hint="eastAsia" w:ascii="宋体" w:hAnsi="宋体" w:eastAsia="宋体" w:cs="宋体"/>
          <w:color w:val="auto"/>
          <w:sz w:val="24"/>
          <w:szCs w:val="24"/>
          <w:highlight w:val="none"/>
          <w:u w:val="none" w:color="auto"/>
          <w:lang w:eastAsia="zh-CN"/>
        </w:rPr>
        <w:t>〕</w:t>
      </w:r>
      <w:r>
        <w:rPr>
          <w:rFonts w:hint="eastAsia"/>
          <w:color w:val="auto"/>
          <w:sz w:val="24"/>
          <w:szCs w:val="24"/>
          <w:highlight w:val="none"/>
          <w:u w:val="none" w:color="auto"/>
          <w:lang w:eastAsia="zh-CN"/>
        </w:rPr>
        <w:t>122号）；</w:t>
      </w:r>
    </w:p>
    <w:p w14:paraId="3F8E2371">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w:t>
      </w:r>
      <w:r>
        <w:rPr>
          <w:rFonts w:hint="eastAsia"/>
          <w:color w:val="auto"/>
          <w:sz w:val="24"/>
          <w:szCs w:val="24"/>
          <w:highlight w:val="none"/>
          <w:u w:val="none" w:color="auto"/>
          <w:lang w:val="en-US" w:eastAsia="zh-CN"/>
        </w:rPr>
        <w:t>4</w:t>
      </w:r>
      <w:r>
        <w:rPr>
          <w:rFonts w:hint="eastAsia"/>
          <w:color w:val="auto"/>
          <w:sz w:val="24"/>
          <w:szCs w:val="24"/>
          <w:highlight w:val="none"/>
          <w:u w:val="none" w:color="auto"/>
          <w:lang w:eastAsia="zh-CN"/>
        </w:rPr>
        <w:t>）《关于做好环境影响评价制度与排污许可制衔接相关工作的通知》（环办环评</w:t>
      </w:r>
      <w:r>
        <w:rPr>
          <w:rFonts w:hint="eastAsia" w:ascii="宋体" w:hAnsi="宋体" w:eastAsia="宋体" w:cs="宋体"/>
          <w:color w:val="auto"/>
          <w:sz w:val="24"/>
          <w:szCs w:val="24"/>
          <w:highlight w:val="none"/>
          <w:u w:val="none" w:color="auto"/>
          <w:lang w:eastAsia="zh-CN"/>
        </w:rPr>
        <w:t>〔</w:t>
      </w:r>
      <w:r>
        <w:rPr>
          <w:rFonts w:hint="eastAsia"/>
          <w:color w:val="auto"/>
          <w:sz w:val="24"/>
          <w:szCs w:val="24"/>
          <w:highlight w:val="none"/>
          <w:u w:val="none" w:color="auto"/>
          <w:lang w:eastAsia="zh-CN"/>
        </w:rPr>
        <w:t>2017</w:t>
      </w:r>
      <w:r>
        <w:rPr>
          <w:rFonts w:hint="eastAsia" w:ascii="宋体" w:hAnsi="宋体" w:eastAsia="宋体" w:cs="宋体"/>
          <w:color w:val="auto"/>
          <w:sz w:val="24"/>
          <w:szCs w:val="24"/>
          <w:highlight w:val="none"/>
          <w:u w:val="none" w:color="auto"/>
          <w:lang w:eastAsia="zh-CN"/>
        </w:rPr>
        <w:t>〕</w:t>
      </w:r>
      <w:r>
        <w:rPr>
          <w:rFonts w:hint="eastAsia"/>
          <w:color w:val="auto"/>
          <w:sz w:val="24"/>
          <w:szCs w:val="24"/>
          <w:highlight w:val="none"/>
          <w:u w:val="none" w:color="auto"/>
          <w:lang w:eastAsia="zh-CN"/>
        </w:rPr>
        <w:t>84号）；</w:t>
      </w:r>
    </w:p>
    <w:p w14:paraId="7889BCF1">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（2</w:t>
      </w:r>
      <w:r>
        <w:rPr>
          <w:rFonts w:hint="eastAsia"/>
          <w:color w:val="auto"/>
          <w:sz w:val="24"/>
          <w:szCs w:val="24"/>
          <w:highlight w:val="none"/>
          <w:u w:val="none" w:color="auto"/>
          <w:lang w:val="en-US" w:eastAsia="zh-CN"/>
        </w:rPr>
        <w:t>5</w:t>
      </w:r>
      <w:r>
        <w:rPr>
          <w:rFonts w:hint="eastAsia"/>
          <w:color w:val="auto"/>
          <w:sz w:val="24"/>
          <w:szCs w:val="24"/>
          <w:highlight w:val="none"/>
          <w:u w:val="none" w:color="auto"/>
          <w:lang w:eastAsia="zh-CN"/>
        </w:rPr>
        <w:t>）《排污许可管理办法（试行）》（20</w:t>
      </w:r>
      <w:r>
        <w:rPr>
          <w:rFonts w:hint="eastAsia"/>
          <w:color w:val="auto"/>
          <w:sz w:val="24"/>
          <w:szCs w:val="24"/>
          <w:highlight w:val="none"/>
          <w:u w:val="none" w:color="auto"/>
          <w:lang w:val="en-US" w:eastAsia="zh-CN"/>
        </w:rPr>
        <w:t>24</w:t>
      </w:r>
      <w:r>
        <w:rPr>
          <w:rFonts w:hint="eastAsia"/>
          <w:color w:val="auto"/>
          <w:sz w:val="24"/>
          <w:szCs w:val="24"/>
          <w:highlight w:val="none"/>
          <w:u w:val="none" w:color="auto"/>
          <w:lang w:eastAsia="zh-CN"/>
        </w:rPr>
        <w:t>年</w:t>
      </w:r>
      <w:r>
        <w:rPr>
          <w:rFonts w:hint="eastAsia"/>
          <w:color w:val="auto"/>
          <w:sz w:val="24"/>
          <w:szCs w:val="24"/>
          <w:highlight w:val="none"/>
          <w:u w:val="none" w:color="auto"/>
          <w:lang w:val="en-US" w:eastAsia="zh-CN"/>
        </w:rPr>
        <w:t>4</w:t>
      </w:r>
      <w:r>
        <w:rPr>
          <w:rFonts w:hint="eastAsia"/>
          <w:color w:val="auto"/>
          <w:sz w:val="24"/>
          <w:szCs w:val="24"/>
          <w:highlight w:val="none"/>
          <w:u w:val="none" w:color="auto"/>
          <w:lang w:eastAsia="zh-CN"/>
        </w:rPr>
        <w:t>月1日</w:t>
      </w:r>
      <w:r>
        <w:rPr>
          <w:rFonts w:hint="eastAsia"/>
          <w:color w:val="auto"/>
          <w:sz w:val="24"/>
          <w:szCs w:val="24"/>
          <w:highlight w:val="none"/>
          <w:u w:val="none" w:color="auto"/>
          <w:lang w:val="en-US" w:eastAsia="zh-CN"/>
        </w:rPr>
        <w:t>生态</w:t>
      </w:r>
      <w:r>
        <w:rPr>
          <w:rFonts w:hint="eastAsia"/>
          <w:color w:val="auto"/>
          <w:sz w:val="24"/>
          <w:szCs w:val="24"/>
          <w:highlight w:val="none"/>
          <w:u w:val="none" w:color="auto"/>
          <w:lang w:eastAsia="zh-CN"/>
        </w:rPr>
        <w:t>环境部令第</w:t>
      </w:r>
      <w:r>
        <w:rPr>
          <w:rFonts w:hint="eastAsia"/>
          <w:color w:val="auto"/>
          <w:sz w:val="24"/>
          <w:szCs w:val="24"/>
          <w:highlight w:val="none"/>
          <w:u w:val="none" w:color="auto"/>
          <w:lang w:val="en-US" w:eastAsia="zh-CN"/>
        </w:rPr>
        <w:t>32</w:t>
      </w:r>
      <w:r>
        <w:rPr>
          <w:rFonts w:hint="eastAsia"/>
          <w:color w:val="auto"/>
          <w:sz w:val="24"/>
          <w:szCs w:val="24"/>
          <w:highlight w:val="none"/>
          <w:u w:val="none" w:color="auto"/>
          <w:lang w:eastAsia="zh-CN"/>
        </w:rPr>
        <w:t>号公布，20</w:t>
      </w:r>
      <w:r>
        <w:rPr>
          <w:rFonts w:hint="eastAsia"/>
          <w:color w:val="auto"/>
          <w:sz w:val="24"/>
          <w:szCs w:val="24"/>
          <w:highlight w:val="none"/>
          <w:u w:val="none" w:color="auto"/>
          <w:lang w:val="en-US" w:eastAsia="zh-CN"/>
        </w:rPr>
        <w:t>24</w:t>
      </w:r>
      <w:r>
        <w:rPr>
          <w:rFonts w:hint="eastAsia"/>
          <w:color w:val="auto"/>
          <w:sz w:val="24"/>
          <w:szCs w:val="24"/>
          <w:highlight w:val="none"/>
          <w:u w:val="none" w:color="auto"/>
          <w:lang w:eastAsia="zh-CN"/>
        </w:rPr>
        <w:t>年</w:t>
      </w:r>
      <w:r>
        <w:rPr>
          <w:rFonts w:hint="eastAsia"/>
          <w:color w:val="auto"/>
          <w:sz w:val="24"/>
          <w:szCs w:val="24"/>
          <w:highlight w:val="none"/>
          <w:u w:val="none" w:color="auto"/>
          <w:lang w:val="en-US" w:eastAsia="zh-CN"/>
        </w:rPr>
        <w:t>7</w:t>
      </w:r>
      <w:r>
        <w:rPr>
          <w:rFonts w:hint="eastAsia"/>
          <w:color w:val="auto"/>
          <w:sz w:val="24"/>
          <w:szCs w:val="24"/>
          <w:highlight w:val="none"/>
          <w:u w:val="none" w:color="auto"/>
          <w:lang w:eastAsia="zh-CN"/>
        </w:rPr>
        <w:t>月</w:t>
      </w:r>
      <w:r>
        <w:rPr>
          <w:rFonts w:hint="eastAsia"/>
          <w:color w:val="auto"/>
          <w:sz w:val="24"/>
          <w:szCs w:val="24"/>
          <w:highlight w:val="none"/>
          <w:u w:val="none" w:color="auto"/>
          <w:lang w:val="en-US" w:eastAsia="zh-CN"/>
        </w:rPr>
        <w:t>1</w:t>
      </w:r>
      <w:r>
        <w:rPr>
          <w:rFonts w:hint="eastAsia"/>
          <w:color w:val="auto"/>
          <w:sz w:val="24"/>
          <w:szCs w:val="24"/>
          <w:highlight w:val="none"/>
          <w:u w:val="none" w:color="auto"/>
          <w:lang w:eastAsia="zh-CN"/>
        </w:rPr>
        <w:t>日</w:t>
      </w:r>
      <w:r>
        <w:rPr>
          <w:rFonts w:hint="eastAsia"/>
          <w:color w:val="auto"/>
          <w:sz w:val="24"/>
          <w:szCs w:val="24"/>
          <w:highlight w:val="none"/>
          <w:u w:val="none" w:color="auto"/>
          <w:lang w:val="en-US" w:eastAsia="zh-CN"/>
        </w:rPr>
        <w:t>施行</w:t>
      </w:r>
      <w:r>
        <w:rPr>
          <w:rFonts w:hint="eastAsia"/>
          <w:color w:val="auto"/>
          <w:sz w:val="24"/>
          <w:szCs w:val="24"/>
          <w:highlight w:val="none"/>
          <w:u w:val="none" w:color="auto"/>
          <w:lang w:eastAsia="zh-CN"/>
        </w:rPr>
        <w:t>）；</w:t>
      </w:r>
    </w:p>
    <w:p w14:paraId="3758C7FC">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26</w:t>
      </w:r>
      <w:r>
        <w:rPr>
          <w:rFonts w:hint="eastAsia"/>
          <w:color w:val="auto"/>
          <w:sz w:val="24"/>
          <w:szCs w:val="24"/>
          <w:highlight w:val="none"/>
          <w:u w:val="none" w:color="auto"/>
          <w:lang w:eastAsia="zh-CN"/>
        </w:rPr>
        <w:t>）《危险化学品生产企业安全生产许可证实施办法》（安全监管总局令第41号）；</w:t>
      </w:r>
    </w:p>
    <w:p w14:paraId="1DFAD33F">
      <w:pPr>
        <w:rPr>
          <w:rFonts w:hint="eastAsia"/>
          <w:color w:val="auto"/>
          <w:sz w:val="24"/>
          <w:szCs w:val="24"/>
          <w:highlight w:val="none"/>
          <w:u w:val="none" w:color="auto"/>
          <w:lang w:eastAsia="zh-CN"/>
        </w:rPr>
      </w:pP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27</w:t>
      </w:r>
      <w:r>
        <w:rPr>
          <w:rFonts w:hint="eastAsia"/>
          <w:color w:val="auto"/>
          <w:sz w:val="24"/>
          <w:szCs w:val="24"/>
          <w:highlight w:val="none"/>
          <w:u w:val="none" w:color="auto"/>
          <w:lang w:eastAsia="zh-CN"/>
        </w:rPr>
        <w:t>）《关于加强涉重金属行业污染防控的意见》（环土壤〔2018〕22号，2018年4月16日）；</w:t>
      </w:r>
    </w:p>
    <w:p w14:paraId="709B5AD9">
      <w:pPr>
        <w:rPr>
          <w:rFonts w:hint="default" w:ascii="Times New Roman" w:hAnsi="Times New Roman" w:cs="Times New Roman"/>
          <w:color w:val="auto"/>
          <w:sz w:val="24"/>
          <w:szCs w:val="24"/>
          <w:highlight w:val="none"/>
          <w:u w:val="single" w:color="auto"/>
        </w:rPr>
      </w:pPr>
      <w:r>
        <w:rPr>
          <w:rFonts w:hint="eastAsia"/>
          <w:color w:val="auto"/>
          <w:sz w:val="24"/>
          <w:szCs w:val="24"/>
          <w:highlight w:val="none"/>
          <w:u w:val="none" w:color="auto"/>
          <w:lang w:eastAsia="zh-CN"/>
        </w:rPr>
        <w:t>（</w:t>
      </w:r>
      <w:r>
        <w:rPr>
          <w:rFonts w:hint="eastAsia"/>
          <w:color w:val="auto"/>
          <w:sz w:val="24"/>
          <w:szCs w:val="24"/>
          <w:highlight w:val="none"/>
          <w:u w:val="none" w:color="auto"/>
          <w:lang w:val="en-US" w:eastAsia="zh-CN"/>
        </w:rPr>
        <w:t>28</w:t>
      </w:r>
      <w:r>
        <w:rPr>
          <w:rFonts w:hint="eastAsia"/>
          <w:color w:val="auto"/>
          <w:sz w:val="24"/>
          <w:szCs w:val="24"/>
          <w:highlight w:val="none"/>
          <w:u w:val="none" w:color="auto"/>
          <w:lang w:eastAsia="zh-CN"/>
        </w:rPr>
        <w:t>）《长江经济带生态环境保护规划》（环规财〔2017〕88号，2017年7月17日）。</w:t>
      </w:r>
    </w:p>
    <w:p w14:paraId="4A9EDB93">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186" w:name="_Toc7895"/>
      <w:bookmarkStart w:id="187" w:name="_Toc10503"/>
      <w:bookmarkStart w:id="188" w:name="_Toc13420"/>
      <w:bookmarkStart w:id="189" w:name="_Toc27607"/>
      <w:r>
        <w:rPr>
          <w:rFonts w:hint="default" w:ascii="Times New Roman" w:hAnsi="Times New Roman" w:cs="Times New Roman"/>
          <w:color w:val="auto"/>
          <w:sz w:val="28"/>
          <w:szCs w:val="28"/>
          <w:highlight w:val="none"/>
          <w:u w:val="none" w:color="auto"/>
        </w:rPr>
        <w:t>2.1.2</w:t>
      </w:r>
      <w:bookmarkEnd w:id="186"/>
      <w:bookmarkEnd w:id="187"/>
      <w:bookmarkEnd w:id="188"/>
      <w:bookmarkEnd w:id="189"/>
      <w:r>
        <w:rPr>
          <w:rFonts w:hint="default" w:ascii="Times New Roman" w:hAnsi="Times New Roman" w:cs="Times New Roman"/>
          <w:color w:val="auto"/>
          <w:sz w:val="28"/>
          <w:szCs w:val="28"/>
          <w:highlight w:val="none"/>
          <w:u w:val="none" w:color="auto"/>
        </w:rPr>
        <w:t>相关地方性法规及规范性文件</w:t>
      </w:r>
    </w:p>
    <w:p w14:paraId="7A02947F">
      <w:pPr>
        <w:rPr>
          <w:rFonts w:hint="eastAsia"/>
          <w:sz w:val="24"/>
          <w:szCs w:val="24"/>
          <w:highlight w:val="none"/>
          <w:lang w:val="en-US" w:eastAsia="zh-CN"/>
        </w:rPr>
      </w:pPr>
      <w:r>
        <w:rPr>
          <w:rFonts w:hint="eastAsia"/>
          <w:sz w:val="24"/>
          <w:szCs w:val="24"/>
          <w:highlight w:val="none"/>
          <w:lang w:val="en-US" w:eastAsia="zh-CN"/>
        </w:rPr>
        <w:t>（1）《湖南省环境保护条例》，2025年7月31日湖南省第十四届人民代表大会常务委员会第十七次会议修订，2025年7月31日实施；</w:t>
      </w:r>
    </w:p>
    <w:p w14:paraId="73248EBF">
      <w:pPr>
        <w:rPr>
          <w:rFonts w:hint="eastAsia"/>
          <w:sz w:val="24"/>
          <w:szCs w:val="24"/>
          <w:highlight w:val="none"/>
          <w:lang w:val="en-US" w:eastAsia="zh-CN"/>
        </w:rPr>
      </w:pPr>
      <w:r>
        <w:rPr>
          <w:rFonts w:hint="eastAsia"/>
          <w:sz w:val="24"/>
          <w:szCs w:val="24"/>
          <w:highlight w:val="none"/>
          <w:lang w:val="en-US" w:eastAsia="zh-CN"/>
        </w:rPr>
        <w:t>（2）《湖南省大气污染防治条例》，湖南省第十三届人民代表大会常委会第十八次会议通过，2020年6月12日起施行；</w:t>
      </w:r>
    </w:p>
    <w:p w14:paraId="770F6DDA">
      <w:pPr>
        <w:rPr>
          <w:rFonts w:hint="eastAsia"/>
          <w:sz w:val="24"/>
          <w:szCs w:val="24"/>
          <w:highlight w:val="none"/>
          <w:lang w:val="en-US" w:eastAsia="zh-CN"/>
        </w:rPr>
      </w:pPr>
      <w:r>
        <w:rPr>
          <w:rFonts w:hint="eastAsia"/>
          <w:sz w:val="24"/>
          <w:szCs w:val="24"/>
          <w:highlight w:val="none"/>
          <w:lang w:val="en-US" w:eastAsia="zh-CN"/>
        </w:rPr>
        <w:t>（3）《湖南省建设项目环境保护管理办法》（湖南省人民政府令第215号），2007年10月1日起施行；</w:t>
      </w:r>
    </w:p>
    <w:p w14:paraId="3F6639CC">
      <w:pPr>
        <w:rPr>
          <w:rFonts w:hint="eastAsia"/>
          <w:sz w:val="24"/>
          <w:szCs w:val="24"/>
          <w:highlight w:val="none"/>
          <w:lang w:val="en-US" w:eastAsia="zh-CN"/>
        </w:rPr>
      </w:pPr>
      <w:r>
        <w:rPr>
          <w:rFonts w:hint="eastAsia"/>
          <w:sz w:val="24"/>
          <w:szCs w:val="24"/>
          <w:highlight w:val="none"/>
          <w:lang w:val="en-US" w:eastAsia="zh-CN"/>
        </w:rPr>
        <w:t>（4）《湖南省主体功能区划》（湘政发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2012</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39号），2012年11月17日；</w:t>
      </w:r>
    </w:p>
    <w:p w14:paraId="080F2BAB">
      <w:pPr>
        <w:rPr>
          <w:rFonts w:hint="eastAsia"/>
          <w:sz w:val="24"/>
          <w:szCs w:val="24"/>
          <w:highlight w:val="none"/>
          <w:lang w:val="en-US" w:eastAsia="zh-CN"/>
        </w:rPr>
      </w:pPr>
      <w:r>
        <w:rPr>
          <w:rFonts w:hint="eastAsia"/>
          <w:sz w:val="24"/>
          <w:szCs w:val="24"/>
          <w:highlight w:val="none"/>
          <w:lang w:val="en-US" w:eastAsia="zh-CN"/>
        </w:rPr>
        <w:t>（5）《湖南省人民政府关于印发&lt;湖南省生态保护红线&gt;的通知》（湘政发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2018</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20号），2018年7月25日；</w:t>
      </w:r>
    </w:p>
    <w:p w14:paraId="51556671">
      <w:pPr>
        <w:rPr>
          <w:rFonts w:hint="eastAsia"/>
          <w:sz w:val="24"/>
          <w:szCs w:val="24"/>
          <w:highlight w:val="none"/>
          <w:lang w:val="en-US" w:eastAsia="zh-CN"/>
        </w:rPr>
      </w:pPr>
      <w:r>
        <w:rPr>
          <w:rFonts w:hint="eastAsia"/>
          <w:sz w:val="24"/>
          <w:szCs w:val="24"/>
          <w:highlight w:val="none"/>
          <w:lang w:val="en-US" w:eastAsia="zh-CN"/>
        </w:rPr>
        <w:t>（6）湖南省人民政府关于印发《湖南省土壤污染防治工作方案》的通知（湘政发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2017</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4号），2017年1月23日；</w:t>
      </w:r>
    </w:p>
    <w:p w14:paraId="2001ACA4">
      <w:pPr>
        <w:rPr>
          <w:rFonts w:hint="eastAsia"/>
          <w:sz w:val="24"/>
          <w:szCs w:val="24"/>
          <w:highlight w:val="none"/>
          <w:lang w:val="en-US" w:eastAsia="zh-CN"/>
        </w:rPr>
      </w:pPr>
      <w:r>
        <w:rPr>
          <w:rFonts w:hint="eastAsia"/>
          <w:sz w:val="24"/>
          <w:szCs w:val="24"/>
          <w:highlight w:val="none"/>
          <w:lang w:val="en-US" w:eastAsia="zh-CN"/>
        </w:rPr>
        <w:t>（7）《湖南省实施&lt;中华人民共和国土壤污染防治法&gt;办法》，2020年7月1日施行；</w:t>
      </w:r>
    </w:p>
    <w:p w14:paraId="1A818388">
      <w:pPr>
        <w:rPr>
          <w:rFonts w:hint="eastAsia"/>
          <w:sz w:val="24"/>
          <w:szCs w:val="24"/>
          <w:highlight w:val="none"/>
          <w:lang w:val="en-US" w:eastAsia="zh-CN"/>
        </w:rPr>
      </w:pPr>
      <w:r>
        <w:rPr>
          <w:rFonts w:hint="eastAsia"/>
          <w:sz w:val="24"/>
          <w:szCs w:val="24"/>
          <w:highlight w:val="none"/>
          <w:lang w:val="en-US" w:eastAsia="zh-CN"/>
        </w:rPr>
        <w:t>（8）湖南省环境保护厅印发《湖南省“十四五”固体废物环境管理规划》的通知（湘环发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2021</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52号），2021年12月；</w:t>
      </w:r>
    </w:p>
    <w:p w14:paraId="0FEAEB49">
      <w:pPr>
        <w:rPr>
          <w:rFonts w:hint="eastAsia"/>
          <w:sz w:val="24"/>
          <w:szCs w:val="24"/>
          <w:highlight w:val="none"/>
          <w:lang w:val="en-US" w:eastAsia="zh-CN"/>
        </w:rPr>
      </w:pPr>
      <w:r>
        <w:rPr>
          <w:rFonts w:hint="eastAsia"/>
          <w:sz w:val="24"/>
          <w:szCs w:val="24"/>
          <w:highlight w:val="none"/>
          <w:lang w:val="en-US" w:eastAsia="zh-CN"/>
        </w:rPr>
        <w:t>（9）湖南省人民政府办公厅关于印发《湖南省“十四五”生态环境保护规划》的通知（湘政办发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2021</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61号）；</w:t>
      </w:r>
    </w:p>
    <w:p w14:paraId="18493DE4">
      <w:pPr>
        <w:rPr>
          <w:rFonts w:hint="eastAsia"/>
          <w:sz w:val="24"/>
          <w:szCs w:val="24"/>
          <w:highlight w:val="none"/>
          <w:lang w:val="en-US" w:eastAsia="zh-CN"/>
        </w:rPr>
      </w:pPr>
      <w:r>
        <w:rPr>
          <w:rFonts w:hint="eastAsia"/>
          <w:sz w:val="24"/>
          <w:szCs w:val="24"/>
          <w:highlight w:val="none"/>
          <w:lang w:val="en-US" w:eastAsia="zh-CN"/>
        </w:rPr>
        <w:t>（10）《湖南省国民经济和社会发展第十四个五年规划和二〇三五年远景目标纲要》；</w:t>
      </w:r>
    </w:p>
    <w:p w14:paraId="72CE2DAD">
      <w:pPr>
        <w:rPr>
          <w:rFonts w:hint="eastAsia"/>
          <w:sz w:val="24"/>
          <w:szCs w:val="24"/>
          <w:highlight w:val="none"/>
          <w:lang w:val="en-US" w:eastAsia="zh-CN"/>
        </w:rPr>
      </w:pPr>
      <w:r>
        <w:rPr>
          <w:rFonts w:hint="eastAsia"/>
          <w:sz w:val="24"/>
          <w:szCs w:val="24"/>
          <w:highlight w:val="none"/>
          <w:lang w:val="en-US" w:eastAsia="zh-CN"/>
        </w:rPr>
        <w:t>（11）《湖南省国家重点生态功能区产业准入负面清单（试行）》；</w:t>
      </w:r>
    </w:p>
    <w:p w14:paraId="20BD2854">
      <w:pPr>
        <w:rPr>
          <w:rFonts w:hint="eastAsia"/>
          <w:sz w:val="24"/>
          <w:szCs w:val="24"/>
          <w:highlight w:val="none"/>
          <w:lang w:val="en-US" w:eastAsia="zh-CN"/>
        </w:rPr>
      </w:pPr>
      <w:r>
        <w:rPr>
          <w:rFonts w:hint="eastAsia"/>
          <w:sz w:val="24"/>
          <w:szCs w:val="24"/>
          <w:highlight w:val="none"/>
          <w:lang w:val="en-US" w:eastAsia="zh-CN"/>
        </w:rPr>
        <w:t>（12）《湖南省人民政府办公厅关于印发&lt;湖南省突发环境事件应急预案&gt;的通知》（湘政办发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2018</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2号），2018年1月；</w:t>
      </w:r>
    </w:p>
    <w:p w14:paraId="5FF8EDEB">
      <w:pPr>
        <w:rPr>
          <w:rFonts w:hint="eastAsia"/>
          <w:sz w:val="24"/>
          <w:szCs w:val="24"/>
          <w:highlight w:val="none"/>
          <w:lang w:val="en-US" w:eastAsia="zh-CN"/>
        </w:rPr>
      </w:pPr>
      <w:r>
        <w:rPr>
          <w:rFonts w:hint="eastAsia"/>
          <w:sz w:val="24"/>
          <w:szCs w:val="24"/>
          <w:highlight w:val="none"/>
          <w:lang w:val="en-US" w:eastAsia="zh-CN"/>
        </w:rPr>
        <w:t>（13）《关于加强涉危险废物单位规范化管理工作的通知》（湘环函</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2014</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533号），湖南省环境保护厅，2014年10月28日；</w:t>
      </w:r>
    </w:p>
    <w:p w14:paraId="5AFD4864">
      <w:pPr>
        <w:rPr>
          <w:rFonts w:hint="eastAsia"/>
          <w:sz w:val="24"/>
          <w:szCs w:val="24"/>
          <w:highlight w:val="none"/>
          <w:lang w:val="en-US" w:eastAsia="zh-CN"/>
        </w:rPr>
      </w:pPr>
      <w:r>
        <w:rPr>
          <w:rFonts w:hint="eastAsia"/>
          <w:sz w:val="24"/>
          <w:szCs w:val="24"/>
          <w:highlight w:val="none"/>
          <w:lang w:val="en-US" w:eastAsia="zh-CN"/>
        </w:rPr>
        <w:t>（14）湖南省推动长江经济带发展领导小组办公室关于印发《湖南省长江经济带发展负面清单实施细则（试行，2022版）》的通知，第70号；</w:t>
      </w:r>
    </w:p>
    <w:p w14:paraId="723FEE64">
      <w:pPr>
        <w:rPr>
          <w:rFonts w:hint="eastAsia"/>
          <w:sz w:val="24"/>
          <w:szCs w:val="24"/>
          <w:highlight w:val="none"/>
          <w:lang w:val="en-US" w:eastAsia="zh-CN"/>
        </w:rPr>
      </w:pPr>
      <w:r>
        <w:rPr>
          <w:rFonts w:hint="eastAsia"/>
          <w:sz w:val="24"/>
          <w:szCs w:val="24"/>
          <w:highlight w:val="none"/>
          <w:lang w:val="en-US" w:eastAsia="zh-CN"/>
        </w:rPr>
        <w:t>（15）《湖南省环境保护厅关于加强涉危险废物单位规范化管理工作的通知》，湖南省环保厅，2014年10月28日；</w:t>
      </w:r>
    </w:p>
    <w:p w14:paraId="7CE9A444">
      <w:pPr>
        <w:rPr>
          <w:rFonts w:hint="eastAsia"/>
          <w:sz w:val="24"/>
          <w:szCs w:val="24"/>
          <w:highlight w:val="none"/>
          <w:lang w:val="en-US" w:eastAsia="zh-CN"/>
        </w:rPr>
      </w:pPr>
      <w:r>
        <w:rPr>
          <w:rFonts w:hint="eastAsia"/>
          <w:sz w:val="24"/>
          <w:szCs w:val="24"/>
          <w:highlight w:val="none"/>
          <w:lang w:val="en-US" w:eastAsia="zh-CN"/>
        </w:rPr>
        <w:t>（16）《湖南省环境保护厅关于进一步加强环境影响评价监督管理工作的通知》（湘环发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2014</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43号）；</w:t>
      </w:r>
    </w:p>
    <w:p w14:paraId="088A51BE">
      <w:pPr>
        <w:rPr>
          <w:rFonts w:hint="eastAsia"/>
          <w:sz w:val="24"/>
          <w:szCs w:val="24"/>
          <w:highlight w:val="none"/>
          <w:lang w:val="en-US" w:eastAsia="zh-CN"/>
        </w:rPr>
      </w:pPr>
      <w:r>
        <w:rPr>
          <w:rFonts w:hint="eastAsia"/>
          <w:sz w:val="24"/>
          <w:szCs w:val="24"/>
          <w:highlight w:val="none"/>
          <w:lang w:val="en-US" w:eastAsia="zh-CN"/>
        </w:rPr>
        <w:t>（17）《湖南省主要水系地表水环境功能区划》（DB43/023-2005），2005年4月1日；</w:t>
      </w:r>
    </w:p>
    <w:p w14:paraId="7B3C56F3">
      <w:pPr>
        <w:rPr>
          <w:rFonts w:hint="eastAsia"/>
          <w:sz w:val="24"/>
          <w:szCs w:val="24"/>
          <w:highlight w:val="none"/>
          <w:lang w:val="en-US" w:eastAsia="zh-CN"/>
        </w:rPr>
      </w:pPr>
      <w:r>
        <w:rPr>
          <w:rFonts w:hint="eastAsia"/>
          <w:sz w:val="24"/>
          <w:szCs w:val="24"/>
          <w:highlight w:val="none"/>
          <w:lang w:val="en-US" w:eastAsia="zh-CN"/>
        </w:rPr>
        <w:t>（18）《湖南省饮用水水源保护条例》（2017年11月）；</w:t>
      </w:r>
    </w:p>
    <w:p w14:paraId="59F1EC51">
      <w:pPr>
        <w:rPr>
          <w:rFonts w:hint="eastAsia"/>
          <w:sz w:val="24"/>
          <w:szCs w:val="24"/>
          <w:highlight w:val="none"/>
          <w:lang w:val="en-US" w:eastAsia="zh-CN"/>
        </w:rPr>
      </w:pPr>
      <w:r>
        <w:rPr>
          <w:rFonts w:hint="eastAsia"/>
          <w:sz w:val="24"/>
          <w:szCs w:val="24"/>
          <w:highlight w:val="none"/>
          <w:lang w:val="en-US" w:eastAsia="zh-CN"/>
        </w:rPr>
        <w:t>（19）《岳阳市其他环境管控单元（省级及以上产业园区除外）生态环境准入清单（2023年版）》；</w:t>
      </w:r>
    </w:p>
    <w:p w14:paraId="1421B4CA">
      <w:pPr>
        <w:rPr>
          <w:rFonts w:hint="eastAsia"/>
          <w:sz w:val="24"/>
          <w:szCs w:val="24"/>
          <w:highlight w:val="none"/>
          <w:lang w:val="en-US" w:eastAsia="zh-CN"/>
        </w:rPr>
      </w:pPr>
      <w:r>
        <w:rPr>
          <w:rFonts w:hint="eastAsia"/>
          <w:sz w:val="24"/>
          <w:szCs w:val="24"/>
          <w:highlight w:val="none"/>
          <w:lang w:val="en-US" w:eastAsia="zh-CN"/>
        </w:rPr>
        <w:t>（20）湖南省生态环境厅关于印发《湖南省“十四五”重金属污染防治规划》的通知（湘环发</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2022</w:t>
      </w:r>
      <w:r>
        <w:rPr>
          <w:rFonts w:hint="eastAsia" w:ascii="宋体" w:hAnsi="宋体" w:eastAsia="宋体" w:cs="宋体"/>
          <w:sz w:val="24"/>
          <w:szCs w:val="24"/>
          <w:highlight w:val="none"/>
          <w:lang w:val="en-US" w:eastAsia="zh-CN"/>
        </w:rPr>
        <w:t>〕</w:t>
      </w:r>
      <w:r>
        <w:rPr>
          <w:rFonts w:hint="eastAsia"/>
          <w:sz w:val="24"/>
          <w:szCs w:val="24"/>
          <w:highlight w:val="none"/>
          <w:lang w:val="en-US" w:eastAsia="zh-CN"/>
        </w:rPr>
        <w:t>27号）；</w:t>
      </w:r>
    </w:p>
    <w:p w14:paraId="70011EDF">
      <w:pPr>
        <w:numPr>
          <w:ilvl w:val="0"/>
          <w:numId w:val="0"/>
        </w:numPr>
        <w:topLinePunct w:val="0"/>
        <w:ind w:firstLine="480" w:firstLineChars="200"/>
        <w:rPr>
          <w:rFonts w:hint="default" w:ascii="Times New Roman" w:hAnsi="Times New Roman" w:cs="Times New Roman"/>
          <w:color w:val="auto"/>
          <w:sz w:val="24"/>
          <w:szCs w:val="24"/>
          <w:highlight w:val="none"/>
          <w:u w:val="single" w:color="auto"/>
        </w:rPr>
      </w:pPr>
      <w:r>
        <w:rPr>
          <w:rFonts w:hint="eastAsia"/>
          <w:sz w:val="24"/>
          <w:szCs w:val="24"/>
          <w:highlight w:val="none"/>
          <w:lang w:val="en-US" w:eastAsia="zh-CN"/>
        </w:rPr>
        <w:t>（21）湖南省人民政府办公厅关于印发《湖南省主要污染物排污权有偿使用和交易管理办法》的通知（湘政办发〔2022〕23号；</w:t>
      </w:r>
    </w:p>
    <w:p w14:paraId="7D6E0338">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190" w:name="_Toc24045"/>
      <w:bookmarkStart w:id="191" w:name="_Toc27921"/>
      <w:bookmarkStart w:id="192" w:name="_Toc3995"/>
      <w:bookmarkStart w:id="193" w:name="_Toc14695"/>
      <w:r>
        <w:rPr>
          <w:rFonts w:hint="default" w:ascii="Times New Roman" w:hAnsi="Times New Roman" w:cs="Times New Roman"/>
          <w:color w:val="auto"/>
          <w:sz w:val="28"/>
          <w:szCs w:val="28"/>
          <w:highlight w:val="none"/>
          <w:u w:val="none" w:color="auto"/>
        </w:rPr>
        <w:t>2.1.3评价技术导则及规范</w:t>
      </w:r>
    </w:p>
    <w:p w14:paraId="598EDF4D">
      <w:pPr>
        <w:rPr>
          <w:rFonts w:hint="eastAsia"/>
          <w:sz w:val="24"/>
          <w:szCs w:val="24"/>
          <w:highlight w:val="none"/>
          <w:lang w:val="en-US" w:eastAsia="zh-CN"/>
        </w:rPr>
      </w:pPr>
      <w:r>
        <w:rPr>
          <w:rFonts w:hint="eastAsia"/>
          <w:sz w:val="24"/>
          <w:szCs w:val="24"/>
          <w:highlight w:val="none"/>
          <w:lang w:val="en-US" w:eastAsia="zh-CN"/>
        </w:rPr>
        <w:t>（1）《建设项目环境影响评价技术导则  总则》（HJ2.1-2016）；</w:t>
      </w:r>
    </w:p>
    <w:p w14:paraId="47B3C6F9">
      <w:pPr>
        <w:rPr>
          <w:rFonts w:hint="eastAsia"/>
          <w:sz w:val="24"/>
          <w:szCs w:val="24"/>
          <w:highlight w:val="none"/>
          <w:lang w:val="en-US" w:eastAsia="zh-CN"/>
        </w:rPr>
      </w:pPr>
      <w:r>
        <w:rPr>
          <w:rFonts w:hint="eastAsia"/>
          <w:sz w:val="24"/>
          <w:szCs w:val="24"/>
          <w:highlight w:val="none"/>
          <w:lang w:val="en-US" w:eastAsia="zh-CN"/>
        </w:rPr>
        <w:t>（2）《环境影响评价技术导则  大气环境》（HJ2.2-2018）；</w:t>
      </w:r>
    </w:p>
    <w:p w14:paraId="2D83653D">
      <w:pPr>
        <w:rPr>
          <w:rFonts w:hint="eastAsia"/>
          <w:sz w:val="24"/>
          <w:szCs w:val="24"/>
          <w:highlight w:val="none"/>
          <w:lang w:val="en-US" w:eastAsia="zh-CN"/>
        </w:rPr>
      </w:pPr>
      <w:r>
        <w:rPr>
          <w:rFonts w:hint="eastAsia"/>
          <w:sz w:val="24"/>
          <w:szCs w:val="24"/>
          <w:highlight w:val="none"/>
          <w:lang w:val="en-US" w:eastAsia="zh-CN"/>
        </w:rPr>
        <w:t>（3）《环境影响评价技术导则  地表水环境》（HJ2.3-2018）；</w:t>
      </w:r>
    </w:p>
    <w:p w14:paraId="1CD6FAE1">
      <w:pPr>
        <w:rPr>
          <w:rFonts w:hint="eastAsia"/>
          <w:sz w:val="24"/>
          <w:szCs w:val="24"/>
          <w:highlight w:val="none"/>
          <w:lang w:val="en-US" w:eastAsia="zh-CN"/>
        </w:rPr>
      </w:pPr>
      <w:r>
        <w:rPr>
          <w:rFonts w:hint="eastAsia"/>
          <w:sz w:val="24"/>
          <w:szCs w:val="24"/>
          <w:highlight w:val="none"/>
          <w:lang w:val="en-US" w:eastAsia="zh-CN"/>
        </w:rPr>
        <w:t>（4）《环境影响评价技术导则  声环境》（HJ2.4-2021）；</w:t>
      </w:r>
    </w:p>
    <w:p w14:paraId="41980951">
      <w:pPr>
        <w:rPr>
          <w:rFonts w:hint="eastAsia"/>
          <w:sz w:val="24"/>
          <w:szCs w:val="24"/>
          <w:highlight w:val="none"/>
          <w:lang w:val="en-US" w:eastAsia="zh-CN"/>
        </w:rPr>
      </w:pPr>
      <w:r>
        <w:rPr>
          <w:rFonts w:hint="eastAsia"/>
          <w:sz w:val="24"/>
          <w:szCs w:val="24"/>
          <w:highlight w:val="none"/>
          <w:lang w:val="en-US" w:eastAsia="zh-CN"/>
        </w:rPr>
        <w:t>（5）《环境影响评价技术导则  生态影响》（HJ19-2022）；</w:t>
      </w:r>
    </w:p>
    <w:p w14:paraId="0F413A5D">
      <w:pPr>
        <w:rPr>
          <w:rFonts w:hint="eastAsia"/>
          <w:sz w:val="24"/>
          <w:szCs w:val="24"/>
          <w:highlight w:val="none"/>
          <w:lang w:val="en-US" w:eastAsia="zh-CN"/>
        </w:rPr>
      </w:pPr>
      <w:r>
        <w:rPr>
          <w:rFonts w:hint="eastAsia"/>
          <w:sz w:val="24"/>
          <w:szCs w:val="24"/>
          <w:highlight w:val="none"/>
          <w:lang w:val="en-US" w:eastAsia="zh-CN"/>
        </w:rPr>
        <w:t>（6）《环境影响评价技术导则  地下水环境》（HJ610-2016）；</w:t>
      </w:r>
    </w:p>
    <w:p w14:paraId="54E47238">
      <w:pPr>
        <w:rPr>
          <w:rFonts w:hint="eastAsia"/>
          <w:sz w:val="24"/>
          <w:szCs w:val="24"/>
          <w:highlight w:val="none"/>
          <w:lang w:val="en-US" w:eastAsia="zh-CN"/>
        </w:rPr>
      </w:pPr>
      <w:r>
        <w:rPr>
          <w:rFonts w:hint="eastAsia"/>
          <w:sz w:val="24"/>
          <w:szCs w:val="24"/>
          <w:highlight w:val="none"/>
          <w:lang w:val="en-US" w:eastAsia="zh-CN"/>
        </w:rPr>
        <w:t>（7）《环境影响评价技术导则  土壤环境（试行）》（HJ964-2018）；</w:t>
      </w:r>
    </w:p>
    <w:p w14:paraId="732E5198">
      <w:pPr>
        <w:rPr>
          <w:rFonts w:hint="eastAsia"/>
          <w:sz w:val="24"/>
          <w:szCs w:val="24"/>
          <w:highlight w:val="none"/>
          <w:lang w:val="en-US" w:eastAsia="zh-CN"/>
        </w:rPr>
      </w:pPr>
      <w:r>
        <w:rPr>
          <w:rFonts w:hint="eastAsia"/>
          <w:sz w:val="24"/>
          <w:szCs w:val="24"/>
          <w:highlight w:val="none"/>
          <w:lang w:val="en-US" w:eastAsia="zh-CN"/>
        </w:rPr>
        <w:t>（8）《建设项目环境风险评价技术导则》（HJ169-2018）；</w:t>
      </w:r>
    </w:p>
    <w:p w14:paraId="597C5601">
      <w:pPr>
        <w:rPr>
          <w:rFonts w:hint="eastAsia"/>
          <w:sz w:val="24"/>
          <w:szCs w:val="24"/>
          <w:highlight w:val="none"/>
          <w:lang w:val="en-US" w:eastAsia="zh-CN"/>
        </w:rPr>
      </w:pPr>
      <w:r>
        <w:rPr>
          <w:rFonts w:hint="eastAsia"/>
          <w:sz w:val="24"/>
          <w:szCs w:val="24"/>
          <w:highlight w:val="none"/>
          <w:lang w:val="en-US" w:eastAsia="zh-CN"/>
        </w:rPr>
        <w:t>（9）《生态环境状况评价技术规范》（HJ192-2015）；</w:t>
      </w:r>
    </w:p>
    <w:p w14:paraId="4C8897C5">
      <w:pPr>
        <w:rPr>
          <w:rFonts w:hint="eastAsia"/>
          <w:sz w:val="24"/>
          <w:szCs w:val="24"/>
          <w:highlight w:val="none"/>
          <w:lang w:val="en-US" w:eastAsia="zh-CN"/>
        </w:rPr>
      </w:pPr>
      <w:r>
        <w:rPr>
          <w:rFonts w:hint="eastAsia"/>
          <w:sz w:val="24"/>
          <w:szCs w:val="24"/>
          <w:highlight w:val="none"/>
          <w:lang w:val="en-US" w:eastAsia="zh-CN"/>
        </w:rPr>
        <w:t>（10）《建设项目危险废物环境影响评价指南》（环境保护部公告2017年第43号），2017年10月1日施行；</w:t>
      </w:r>
    </w:p>
    <w:p w14:paraId="15F87F0C">
      <w:pPr>
        <w:rPr>
          <w:rFonts w:hint="eastAsia"/>
          <w:sz w:val="24"/>
          <w:szCs w:val="24"/>
          <w:highlight w:val="none"/>
          <w:lang w:val="en-US" w:eastAsia="zh-CN"/>
        </w:rPr>
      </w:pPr>
      <w:r>
        <w:rPr>
          <w:rFonts w:hint="eastAsia"/>
          <w:sz w:val="24"/>
          <w:szCs w:val="24"/>
          <w:highlight w:val="none"/>
          <w:lang w:val="en-US" w:eastAsia="zh-CN"/>
        </w:rPr>
        <w:t>（11）</w:t>
      </w:r>
      <w:r>
        <w:rPr>
          <w:rFonts w:hint="eastAsia"/>
          <w:sz w:val="24"/>
          <w:szCs w:val="24"/>
          <w:highlight w:val="none"/>
          <w:u w:val="none" w:color="auto"/>
          <w:lang w:val="en-US" w:eastAsia="zh-CN"/>
        </w:rPr>
        <w:t>《排污单位自行监测技术指南  工业固体废物和危险废物治理》（HJ1250-2022）</w:t>
      </w:r>
      <w:r>
        <w:rPr>
          <w:rFonts w:hint="eastAsia"/>
          <w:sz w:val="24"/>
          <w:szCs w:val="24"/>
          <w:highlight w:val="none"/>
          <w:lang w:val="en-US" w:eastAsia="zh-CN"/>
        </w:rPr>
        <w:t>，2022年7月1日实施；</w:t>
      </w:r>
    </w:p>
    <w:p w14:paraId="158A03EE">
      <w:pPr>
        <w:rPr>
          <w:rFonts w:hint="eastAsia"/>
          <w:sz w:val="24"/>
          <w:szCs w:val="24"/>
          <w:highlight w:val="none"/>
          <w:lang w:val="en-US" w:eastAsia="zh-CN"/>
        </w:rPr>
      </w:pPr>
      <w:r>
        <w:rPr>
          <w:rFonts w:hint="eastAsia"/>
          <w:sz w:val="24"/>
          <w:szCs w:val="24"/>
          <w:highlight w:val="none"/>
          <w:lang w:val="en-US" w:eastAsia="zh-CN"/>
        </w:rPr>
        <w:t>（12）《排污许可证申请与核发技术规范  水处理通用工序》（HJ1120-2020）；</w:t>
      </w:r>
    </w:p>
    <w:p w14:paraId="4977726B">
      <w:pPr>
        <w:rPr>
          <w:rFonts w:hint="eastAsia"/>
          <w:sz w:val="24"/>
          <w:szCs w:val="24"/>
          <w:highlight w:val="none"/>
          <w:lang w:val="en-US" w:eastAsia="zh-CN"/>
        </w:rPr>
      </w:pPr>
      <w:r>
        <w:rPr>
          <w:rFonts w:hint="eastAsia"/>
          <w:sz w:val="24"/>
          <w:szCs w:val="24"/>
          <w:highlight w:val="none"/>
          <w:lang w:val="en-US" w:eastAsia="zh-CN"/>
        </w:rPr>
        <w:t>（13）《排污许可证申请与核发技术规范  总则》（HJ942-2018）；</w:t>
      </w:r>
    </w:p>
    <w:p w14:paraId="3583B896">
      <w:pPr>
        <w:rPr>
          <w:rFonts w:hint="eastAsia"/>
          <w:sz w:val="24"/>
          <w:szCs w:val="24"/>
          <w:highlight w:val="none"/>
          <w:lang w:val="en-US" w:eastAsia="zh-CN"/>
        </w:rPr>
      </w:pPr>
      <w:r>
        <w:rPr>
          <w:rFonts w:hint="eastAsia"/>
          <w:sz w:val="24"/>
          <w:szCs w:val="24"/>
          <w:highlight w:val="none"/>
          <w:lang w:val="en-US" w:eastAsia="zh-CN"/>
        </w:rPr>
        <w:t>（14）《一般工业固体废物贮存和填埋污染控制标准》（GB18599-2020）；</w:t>
      </w:r>
    </w:p>
    <w:p w14:paraId="5E10039F">
      <w:pPr>
        <w:rPr>
          <w:rFonts w:hint="eastAsia"/>
          <w:sz w:val="24"/>
          <w:szCs w:val="24"/>
          <w:highlight w:val="none"/>
          <w:lang w:val="en-US" w:eastAsia="zh-CN"/>
        </w:rPr>
      </w:pPr>
      <w:r>
        <w:rPr>
          <w:rFonts w:hint="eastAsia"/>
          <w:sz w:val="24"/>
          <w:szCs w:val="24"/>
          <w:highlight w:val="none"/>
          <w:lang w:val="en-US" w:eastAsia="zh-CN"/>
        </w:rPr>
        <w:t>（15）《危险废物收集贮存运输技术规范》（HJ2025-2012）；</w:t>
      </w:r>
    </w:p>
    <w:p w14:paraId="5DB838AA">
      <w:pPr>
        <w:rPr>
          <w:rFonts w:hint="eastAsia"/>
          <w:sz w:val="24"/>
          <w:szCs w:val="24"/>
          <w:highlight w:val="none"/>
          <w:lang w:val="en-US" w:eastAsia="zh-CN"/>
        </w:rPr>
      </w:pPr>
      <w:r>
        <w:rPr>
          <w:rFonts w:hint="eastAsia"/>
          <w:sz w:val="24"/>
          <w:szCs w:val="24"/>
          <w:highlight w:val="none"/>
          <w:lang w:val="en-US" w:eastAsia="zh-CN"/>
        </w:rPr>
        <w:t>（16）《危险废物鉴别标准通则》（GB5085.7-2019）；</w:t>
      </w:r>
    </w:p>
    <w:p w14:paraId="2512904B">
      <w:pPr>
        <w:rPr>
          <w:rFonts w:hint="eastAsia"/>
          <w:sz w:val="24"/>
          <w:szCs w:val="24"/>
          <w:highlight w:val="none"/>
          <w:lang w:val="en-US" w:eastAsia="zh-CN"/>
        </w:rPr>
      </w:pPr>
      <w:r>
        <w:rPr>
          <w:rFonts w:hint="eastAsia"/>
          <w:sz w:val="24"/>
          <w:szCs w:val="24"/>
          <w:highlight w:val="none"/>
          <w:lang w:val="en-US" w:eastAsia="zh-CN"/>
        </w:rPr>
        <w:t>（17）《危险化学品重大危险源辨识》（GB18218-2018）；</w:t>
      </w:r>
    </w:p>
    <w:p w14:paraId="2427888C">
      <w:pPr>
        <w:rPr>
          <w:rFonts w:hint="eastAsia"/>
          <w:sz w:val="24"/>
          <w:szCs w:val="24"/>
          <w:highlight w:val="none"/>
          <w:lang w:val="en-US" w:eastAsia="zh-CN"/>
        </w:rPr>
      </w:pPr>
      <w:r>
        <w:rPr>
          <w:rFonts w:hint="eastAsia"/>
          <w:sz w:val="24"/>
          <w:szCs w:val="24"/>
          <w:highlight w:val="none"/>
          <w:lang w:val="en-US" w:eastAsia="zh-CN"/>
        </w:rPr>
        <w:t>（18）《危险废物鉴别技术规范》（HJ298-2019）；</w:t>
      </w:r>
    </w:p>
    <w:p w14:paraId="47BA89D2">
      <w:pPr>
        <w:rPr>
          <w:rFonts w:hint="eastAsia"/>
          <w:sz w:val="24"/>
          <w:szCs w:val="24"/>
          <w:highlight w:val="none"/>
          <w:lang w:val="en-US" w:eastAsia="zh-CN"/>
        </w:rPr>
      </w:pPr>
      <w:r>
        <w:rPr>
          <w:rFonts w:hint="eastAsia"/>
          <w:sz w:val="24"/>
          <w:szCs w:val="24"/>
          <w:highlight w:val="none"/>
          <w:lang w:val="en-US" w:eastAsia="zh-CN"/>
        </w:rPr>
        <w:t>（19）《危险废物识别标志设置技术规范》（HJ1276-2022）；</w:t>
      </w:r>
    </w:p>
    <w:p w14:paraId="4B687666">
      <w:pPr>
        <w:rPr>
          <w:rFonts w:hint="eastAsia"/>
          <w:sz w:val="24"/>
          <w:szCs w:val="24"/>
          <w:highlight w:val="none"/>
          <w:lang w:val="en-US" w:eastAsia="zh-CN"/>
        </w:rPr>
      </w:pPr>
      <w:r>
        <w:rPr>
          <w:rFonts w:hint="eastAsia"/>
          <w:sz w:val="24"/>
          <w:szCs w:val="24"/>
          <w:highlight w:val="none"/>
          <w:lang w:val="en-US" w:eastAsia="zh-CN"/>
        </w:rPr>
        <w:t>（20）《工业企业土壤和地下水自行监测技术指南》（HJ1209-2021）；</w:t>
      </w:r>
    </w:p>
    <w:p w14:paraId="4AD74D31">
      <w:pPr>
        <w:ind w:firstLine="480"/>
        <w:rPr>
          <w:sz w:val="24"/>
          <w:szCs w:val="24"/>
          <w:highlight w:val="none"/>
        </w:rPr>
      </w:pPr>
      <w:r>
        <w:rPr>
          <w:rFonts w:hint="eastAsia"/>
          <w:sz w:val="24"/>
          <w:szCs w:val="24"/>
          <w:highlight w:val="none"/>
        </w:rPr>
        <w:t>（</w:t>
      </w:r>
      <w:r>
        <w:rPr>
          <w:rFonts w:hint="eastAsia"/>
          <w:sz w:val="24"/>
          <w:szCs w:val="24"/>
          <w:highlight w:val="none"/>
          <w:lang w:val="en-US" w:eastAsia="zh-CN"/>
        </w:rPr>
        <w:t>21</w:t>
      </w:r>
      <w:r>
        <w:rPr>
          <w:rFonts w:hint="eastAsia"/>
          <w:sz w:val="24"/>
          <w:szCs w:val="24"/>
          <w:highlight w:val="none"/>
        </w:rPr>
        <w:t>）《建设用地土壤污染风险管控和修复术语》（HJ682-2019）；</w:t>
      </w:r>
    </w:p>
    <w:p w14:paraId="5510A382">
      <w:pPr>
        <w:ind w:firstLine="480"/>
        <w:rPr>
          <w:sz w:val="24"/>
          <w:szCs w:val="24"/>
          <w:highlight w:val="none"/>
        </w:rPr>
      </w:pPr>
      <w:r>
        <w:rPr>
          <w:rFonts w:hint="eastAsia"/>
          <w:sz w:val="24"/>
          <w:szCs w:val="24"/>
          <w:highlight w:val="none"/>
        </w:rPr>
        <w:t>（</w:t>
      </w:r>
      <w:r>
        <w:rPr>
          <w:rFonts w:hint="eastAsia"/>
          <w:sz w:val="24"/>
          <w:szCs w:val="24"/>
          <w:highlight w:val="none"/>
          <w:lang w:val="en-US" w:eastAsia="zh-CN"/>
        </w:rPr>
        <w:t>22</w:t>
      </w:r>
      <w:r>
        <w:rPr>
          <w:rFonts w:hint="eastAsia"/>
          <w:sz w:val="24"/>
          <w:szCs w:val="24"/>
          <w:highlight w:val="none"/>
        </w:rPr>
        <w:t>）《建设用地土壤污染状况调查技术导则》（HJ25.1-2019）；</w:t>
      </w:r>
    </w:p>
    <w:p w14:paraId="18B4EDE2">
      <w:pPr>
        <w:ind w:firstLine="480"/>
        <w:rPr>
          <w:sz w:val="24"/>
          <w:szCs w:val="24"/>
          <w:highlight w:val="none"/>
        </w:rPr>
      </w:pPr>
      <w:r>
        <w:rPr>
          <w:rFonts w:hint="eastAsia"/>
          <w:sz w:val="24"/>
          <w:szCs w:val="24"/>
          <w:highlight w:val="none"/>
        </w:rPr>
        <w:t>（</w:t>
      </w:r>
      <w:r>
        <w:rPr>
          <w:rFonts w:hint="eastAsia"/>
          <w:sz w:val="24"/>
          <w:szCs w:val="24"/>
          <w:highlight w:val="none"/>
          <w:lang w:val="en-US" w:eastAsia="zh-CN"/>
        </w:rPr>
        <w:t>23</w:t>
      </w:r>
      <w:r>
        <w:rPr>
          <w:rFonts w:hint="eastAsia"/>
          <w:sz w:val="24"/>
          <w:szCs w:val="24"/>
          <w:highlight w:val="none"/>
        </w:rPr>
        <w:t>）《建设用地土壤污染风险管控和修复监测技术导则》（HJ25.2-2019）；</w:t>
      </w:r>
    </w:p>
    <w:p w14:paraId="41DB2218">
      <w:pPr>
        <w:ind w:firstLine="480"/>
        <w:rPr>
          <w:sz w:val="24"/>
          <w:szCs w:val="24"/>
          <w:highlight w:val="none"/>
        </w:rPr>
      </w:pPr>
      <w:r>
        <w:rPr>
          <w:rFonts w:hint="eastAsia"/>
          <w:sz w:val="24"/>
          <w:szCs w:val="24"/>
          <w:highlight w:val="none"/>
        </w:rPr>
        <w:t>（2</w:t>
      </w:r>
      <w:r>
        <w:rPr>
          <w:rFonts w:hint="eastAsia"/>
          <w:sz w:val="24"/>
          <w:szCs w:val="24"/>
          <w:highlight w:val="none"/>
          <w:lang w:val="en-US" w:eastAsia="zh-CN"/>
        </w:rPr>
        <w:t>4</w:t>
      </w:r>
      <w:r>
        <w:rPr>
          <w:rFonts w:hint="eastAsia"/>
          <w:sz w:val="24"/>
          <w:szCs w:val="24"/>
          <w:highlight w:val="none"/>
        </w:rPr>
        <w:t>）《建设用地土壤污染风险评估技术导则》（HJ25.3-2019）；</w:t>
      </w:r>
    </w:p>
    <w:p w14:paraId="7BD46C98">
      <w:pPr>
        <w:rPr>
          <w:rFonts w:hint="eastAsia" w:eastAsia="宋体"/>
          <w:sz w:val="24"/>
          <w:szCs w:val="24"/>
          <w:highlight w:val="none"/>
          <w:lang w:val="en-US" w:eastAsia="zh-CN"/>
        </w:rPr>
      </w:pPr>
      <w:r>
        <w:rPr>
          <w:rFonts w:hint="eastAsia"/>
          <w:sz w:val="24"/>
          <w:szCs w:val="24"/>
          <w:highlight w:val="none"/>
        </w:rPr>
        <w:t>（2</w:t>
      </w:r>
      <w:r>
        <w:rPr>
          <w:rFonts w:hint="eastAsia"/>
          <w:sz w:val="24"/>
          <w:szCs w:val="24"/>
          <w:highlight w:val="none"/>
          <w:lang w:val="en-US" w:eastAsia="zh-CN"/>
        </w:rPr>
        <w:t>5</w:t>
      </w:r>
      <w:r>
        <w:rPr>
          <w:rFonts w:hint="eastAsia"/>
          <w:sz w:val="24"/>
          <w:szCs w:val="24"/>
          <w:highlight w:val="none"/>
        </w:rPr>
        <w:t>）《建设用地土壤修复技术导则》（HJ25.4-2019）</w:t>
      </w:r>
      <w:r>
        <w:rPr>
          <w:rFonts w:hint="eastAsia"/>
          <w:sz w:val="24"/>
          <w:szCs w:val="24"/>
          <w:highlight w:val="none"/>
          <w:lang w:eastAsia="zh-CN"/>
        </w:rPr>
        <w:t>；</w:t>
      </w:r>
    </w:p>
    <w:p w14:paraId="679D54A6">
      <w:pPr>
        <w:ind w:firstLine="480"/>
        <w:rPr>
          <w:sz w:val="24"/>
          <w:szCs w:val="24"/>
          <w:highlight w:val="none"/>
        </w:rPr>
      </w:pPr>
      <w:r>
        <w:rPr>
          <w:rFonts w:hint="eastAsia"/>
          <w:sz w:val="24"/>
          <w:szCs w:val="24"/>
          <w:highlight w:val="none"/>
        </w:rPr>
        <w:t>（2</w:t>
      </w:r>
      <w:r>
        <w:rPr>
          <w:rFonts w:hint="eastAsia"/>
          <w:sz w:val="24"/>
          <w:szCs w:val="24"/>
          <w:highlight w:val="none"/>
          <w:lang w:val="en-US" w:eastAsia="zh-CN"/>
        </w:rPr>
        <w:t>6</w:t>
      </w:r>
      <w:r>
        <w:rPr>
          <w:rFonts w:hint="eastAsia"/>
          <w:sz w:val="24"/>
          <w:szCs w:val="24"/>
          <w:highlight w:val="none"/>
        </w:rPr>
        <w:t>）《重金属污染场地土壤修复标准》（DB43/T1165-2016）；</w:t>
      </w:r>
    </w:p>
    <w:p w14:paraId="464F3482">
      <w:pPr>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（27）《固体废物处理处置工程技术导则》（HJ 2035-2013）。</w:t>
      </w:r>
    </w:p>
    <w:p w14:paraId="5D17DAF9">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r>
        <w:rPr>
          <w:rFonts w:hint="default" w:ascii="Times New Roman" w:hAnsi="Times New Roman" w:cs="Times New Roman"/>
          <w:color w:val="auto"/>
          <w:sz w:val="28"/>
          <w:szCs w:val="28"/>
          <w:highlight w:val="none"/>
          <w:u w:val="none" w:color="auto"/>
        </w:rPr>
        <w:t>2.1.</w:t>
      </w:r>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其他资料</w:t>
      </w:r>
      <w:bookmarkEnd w:id="190"/>
      <w:bookmarkEnd w:id="191"/>
      <w:bookmarkEnd w:id="192"/>
      <w:bookmarkEnd w:id="193"/>
    </w:p>
    <w:p w14:paraId="48DB7040">
      <w:pPr>
        <w:rPr>
          <w:rFonts w:hint="eastAsia"/>
          <w:sz w:val="24"/>
          <w:szCs w:val="24"/>
          <w:highlight w:val="none"/>
          <w:u w:val="none" w:color="auto"/>
          <w:lang w:val="en-US" w:eastAsia="zh-CN"/>
        </w:rPr>
      </w:pPr>
      <w:r>
        <w:rPr>
          <w:rFonts w:hint="eastAsia"/>
          <w:sz w:val="24"/>
          <w:szCs w:val="24"/>
          <w:highlight w:val="none"/>
          <w:u w:val="none" w:color="auto"/>
          <w:lang w:val="en-US" w:eastAsia="zh-CN"/>
        </w:rPr>
        <w:t>（1）建设单位环境影响评价委托书；</w:t>
      </w:r>
    </w:p>
    <w:p w14:paraId="4A9188BA">
      <w:pPr>
        <w:rPr>
          <w:rFonts w:hint="default"/>
          <w:sz w:val="24"/>
          <w:szCs w:val="24"/>
          <w:highlight w:val="none"/>
          <w:u w:val="none" w:color="auto"/>
          <w:lang w:val="en-US" w:eastAsia="zh-CN"/>
        </w:rPr>
      </w:pPr>
      <w:r>
        <w:rPr>
          <w:rFonts w:hint="eastAsia"/>
          <w:sz w:val="24"/>
          <w:szCs w:val="24"/>
          <w:highlight w:val="none"/>
          <w:u w:val="none" w:color="auto"/>
          <w:lang w:val="en-US" w:eastAsia="zh-CN"/>
        </w:rPr>
        <w:t>（2）《</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eastAsia"/>
          <w:sz w:val="24"/>
          <w:szCs w:val="24"/>
          <w:highlight w:val="none"/>
          <w:u w:val="none" w:color="auto"/>
          <w:lang w:val="en-US" w:eastAsia="zh-CN"/>
        </w:rPr>
        <w:t>工程详细勘察报告》，2022年6月；</w:t>
      </w:r>
    </w:p>
    <w:p w14:paraId="67834010">
      <w:pPr>
        <w:rPr>
          <w:rFonts w:hint="eastAsia"/>
          <w:sz w:val="24"/>
          <w:szCs w:val="24"/>
          <w:highlight w:val="none"/>
          <w:u w:val="none" w:color="auto"/>
          <w:lang w:val="en-US" w:eastAsia="zh-CN"/>
        </w:rPr>
      </w:pPr>
      <w:r>
        <w:rPr>
          <w:rFonts w:hint="eastAsia"/>
          <w:sz w:val="24"/>
          <w:szCs w:val="24"/>
          <w:highlight w:val="none"/>
          <w:u w:val="none" w:color="auto"/>
          <w:lang w:val="en-US" w:eastAsia="zh-CN"/>
        </w:rPr>
        <w:t>（3）《平江县三阳乡万古村万古水库周边历史遗留重金属废渣污染状况调查报告》及专家评审意见，2022年8月；</w:t>
      </w:r>
    </w:p>
    <w:p w14:paraId="09E466B1">
      <w:pPr>
        <w:rPr>
          <w:rFonts w:hint="eastAsia"/>
          <w:sz w:val="24"/>
          <w:szCs w:val="24"/>
          <w:highlight w:val="none"/>
          <w:u w:val="none" w:color="auto"/>
          <w:lang w:val="en-US" w:eastAsia="zh-CN"/>
        </w:rPr>
      </w:pPr>
      <w:r>
        <w:rPr>
          <w:rFonts w:hint="eastAsia"/>
          <w:sz w:val="24"/>
          <w:szCs w:val="24"/>
          <w:highlight w:val="none"/>
          <w:u w:val="none" w:color="auto"/>
          <w:lang w:val="en-US" w:eastAsia="zh-CN"/>
        </w:rPr>
        <w:t>（4）《</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eastAsia"/>
          <w:sz w:val="24"/>
          <w:szCs w:val="24"/>
          <w:highlight w:val="none"/>
          <w:u w:val="none" w:color="auto"/>
          <w:lang w:val="en-US" w:eastAsia="zh-CN"/>
        </w:rPr>
        <w:t>实施方案》及专家评审意见，2022年8月；</w:t>
      </w:r>
    </w:p>
    <w:p w14:paraId="7EE59A00">
      <w:pPr>
        <w:rPr>
          <w:rFonts w:hint="eastAsia"/>
          <w:sz w:val="24"/>
          <w:szCs w:val="24"/>
          <w:highlight w:val="none"/>
          <w:u w:val="none" w:color="auto"/>
          <w:lang w:val="en-US" w:eastAsia="zh-CN"/>
        </w:rPr>
      </w:pPr>
      <w:r>
        <w:rPr>
          <w:rFonts w:hint="eastAsia"/>
          <w:sz w:val="24"/>
          <w:szCs w:val="24"/>
          <w:highlight w:val="none"/>
          <w:u w:val="none" w:color="auto"/>
          <w:lang w:val="en-US" w:eastAsia="zh-CN"/>
        </w:rPr>
        <w:t>（5）岳阳市生态环境局关于《</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eastAsia"/>
          <w:sz w:val="24"/>
          <w:szCs w:val="24"/>
          <w:highlight w:val="none"/>
          <w:u w:val="none" w:color="auto"/>
          <w:lang w:val="en-US" w:eastAsia="zh-CN"/>
        </w:rPr>
        <w:t>实施方案》的初步审查意见，2022年8月；</w:t>
      </w:r>
    </w:p>
    <w:p w14:paraId="1CEDA97F">
      <w:pPr>
        <w:rPr>
          <w:rFonts w:hint="eastAsia"/>
          <w:sz w:val="24"/>
          <w:szCs w:val="24"/>
          <w:highlight w:val="none"/>
          <w:u w:val="none" w:color="auto"/>
          <w:lang w:val="en-US" w:eastAsia="zh-CN"/>
        </w:rPr>
      </w:pPr>
      <w:r>
        <w:rPr>
          <w:rFonts w:hint="eastAsia"/>
          <w:sz w:val="24"/>
          <w:szCs w:val="24"/>
          <w:highlight w:val="none"/>
          <w:u w:val="none" w:color="auto"/>
          <w:lang w:val="en-US" w:eastAsia="zh-CN"/>
        </w:rPr>
        <w:t>（6）《</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eastAsia"/>
          <w:sz w:val="24"/>
          <w:szCs w:val="24"/>
          <w:highlight w:val="none"/>
          <w:u w:val="none" w:color="auto"/>
          <w:lang w:val="en-US" w:eastAsia="zh-CN"/>
        </w:rPr>
        <w:t>可行性研究报告》及其批复意见，2025年10月；</w:t>
      </w:r>
    </w:p>
    <w:p w14:paraId="10FCB2A0">
      <w:pPr>
        <w:rPr>
          <w:rFonts w:hint="eastAsia"/>
          <w:sz w:val="24"/>
          <w:szCs w:val="24"/>
          <w:highlight w:val="none"/>
          <w:u w:val="none" w:color="auto"/>
          <w:lang w:val="en-US" w:eastAsia="zh-CN"/>
        </w:rPr>
      </w:pPr>
      <w:r>
        <w:rPr>
          <w:rFonts w:hint="eastAsia"/>
          <w:sz w:val="24"/>
          <w:szCs w:val="24"/>
          <w:highlight w:val="none"/>
          <w:u w:val="none" w:color="auto"/>
          <w:lang w:val="en-US" w:eastAsia="zh-CN"/>
        </w:rPr>
        <w:t>（7）《</w:t>
      </w:r>
      <w:r>
        <w:rPr>
          <w:rFonts w:hint="eastAsia" w:cs="Times New Roman"/>
          <w:i w:val="0"/>
          <w:iCs w:val="0"/>
          <w:color w:val="auto"/>
          <w:sz w:val="24"/>
          <w:szCs w:val="24"/>
          <w:highlight w:val="none"/>
          <w:u w:val="none" w:color="auto"/>
          <w:lang w:eastAsia="zh-CN"/>
        </w:rPr>
        <w:t>平江县三阳乡万古村万古水库周边历史遗留重金属废渣整治项目</w:t>
      </w:r>
      <w:r>
        <w:rPr>
          <w:rFonts w:hint="eastAsia"/>
          <w:sz w:val="24"/>
          <w:szCs w:val="24"/>
          <w:highlight w:val="none"/>
          <w:u w:val="none" w:color="auto"/>
          <w:lang w:val="en-US" w:eastAsia="zh-CN"/>
        </w:rPr>
        <w:t>初步设计》及专家评审意见，2025年11月；</w:t>
      </w:r>
    </w:p>
    <w:p w14:paraId="2EA313E5">
      <w:pPr>
        <w:rPr>
          <w:rFonts w:hint="default" w:ascii="Times New Roman" w:hAnsi="Times New Roman" w:cs="Times New Roman"/>
          <w:color w:val="auto"/>
          <w:sz w:val="24"/>
          <w:szCs w:val="24"/>
          <w:highlight w:val="none"/>
          <w:u w:val="none" w:color="auto"/>
        </w:rPr>
      </w:pPr>
      <w:r>
        <w:rPr>
          <w:rFonts w:hint="eastAsia"/>
          <w:sz w:val="24"/>
          <w:szCs w:val="24"/>
          <w:highlight w:val="none"/>
          <w:u w:val="none" w:color="auto"/>
          <w:lang w:val="en-US" w:eastAsia="zh-CN"/>
        </w:rPr>
        <w:t>（8）建设单位提供的有关建设项目的其他基础资料。</w:t>
      </w:r>
    </w:p>
    <w:p w14:paraId="59476393">
      <w:pPr>
        <w:pStyle w:val="3"/>
        <w:keepNext w:val="0"/>
        <w:keepLines w:val="0"/>
        <w:pageBreakBefore w:val="0"/>
        <w:widowControl w:val="0"/>
        <w:numPr>
          <w:ilvl w:val="0"/>
          <w:numId w:val="0"/>
        </w:numPr>
        <w:kinsoku/>
        <w:wordWrap w:val="0"/>
        <w:overflowPunct/>
        <w:topLinePunct w:val="0"/>
        <w:autoSpaceDE/>
        <w:autoSpaceDN/>
        <w:bidi w:val="0"/>
        <w:adjustRightInd/>
        <w:snapToGrid/>
        <w:spacing w:before="0" w:beforeLines="0" w:after="0" w:afterLines="0"/>
        <w:textAlignment w:val="auto"/>
        <w:rPr>
          <w:rFonts w:hint="default" w:ascii="Times New Roman" w:hAnsi="Times New Roman" w:eastAsia="宋体" w:cs="Times New Roman"/>
          <w:color w:val="auto"/>
          <w:sz w:val="30"/>
          <w:szCs w:val="30"/>
          <w:highlight w:val="none"/>
          <w:u w:val="none" w:color="auto"/>
          <w:lang w:val="en-US"/>
        </w:rPr>
      </w:pPr>
      <w:bookmarkStart w:id="194" w:name="_Toc15519"/>
      <w:bookmarkStart w:id="195" w:name="_Toc27455"/>
      <w:bookmarkStart w:id="196" w:name="_Toc10288"/>
      <w:bookmarkStart w:id="197" w:name="_Toc21623"/>
      <w:bookmarkStart w:id="198" w:name="_Toc5332"/>
      <w:bookmarkStart w:id="199" w:name="_Toc32290"/>
      <w:bookmarkStart w:id="200" w:name="_Toc15139"/>
      <w:bookmarkStart w:id="201" w:name="_Toc16291"/>
      <w:bookmarkStart w:id="202" w:name="_Toc28434"/>
      <w:bookmarkStart w:id="203" w:name="_Toc10776"/>
      <w:bookmarkStart w:id="204" w:name="_Toc6532"/>
      <w:bookmarkStart w:id="205" w:name="_Toc8164"/>
      <w:bookmarkStart w:id="206" w:name="_Toc22396"/>
      <w:r>
        <w:rPr>
          <w:rFonts w:hint="default" w:ascii="Times New Roman" w:hAnsi="Times New Roman" w:eastAsia="宋体" w:cs="Times New Roman"/>
          <w:color w:val="auto"/>
          <w:sz w:val="30"/>
          <w:szCs w:val="30"/>
          <w:highlight w:val="none"/>
          <w:u w:val="none" w:color="auto"/>
          <w:lang w:val="en-US"/>
        </w:rPr>
        <w:t>2.2评价重点</w:t>
      </w:r>
      <w:bookmarkEnd w:id="194"/>
      <w:bookmarkEnd w:id="195"/>
      <w:bookmarkEnd w:id="196"/>
      <w:bookmarkEnd w:id="197"/>
      <w:bookmarkEnd w:id="198"/>
      <w:bookmarkEnd w:id="199"/>
      <w:bookmarkEnd w:id="200"/>
      <w:bookmarkEnd w:id="201"/>
      <w:bookmarkEnd w:id="202"/>
      <w:bookmarkEnd w:id="203"/>
      <w:bookmarkEnd w:id="204"/>
      <w:bookmarkEnd w:id="205"/>
      <w:bookmarkEnd w:id="206"/>
    </w:p>
    <w:p w14:paraId="00673111">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污染物排放特征及项目所在区域环境质量现状</w:t>
      </w:r>
      <w:r>
        <w:rPr>
          <w:rFonts w:hint="default" w:ascii="Times New Roman" w:hAnsi="Times New Roman" w:cs="Times New Roman"/>
          <w:color w:val="auto"/>
          <w:spacing w:val="-20"/>
          <w:sz w:val="24"/>
          <w:szCs w:val="24"/>
          <w:highlight w:val="none"/>
          <w:u w:val="none" w:color="auto"/>
        </w:rPr>
        <w:t>，</w:t>
      </w:r>
      <w:r>
        <w:rPr>
          <w:rFonts w:hint="default" w:ascii="Times New Roman" w:hAnsi="Times New Roman" w:cs="Times New Roman"/>
          <w:color w:val="auto"/>
          <w:sz w:val="24"/>
          <w:szCs w:val="24"/>
          <w:highlight w:val="none"/>
          <w:u w:val="none" w:color="auto"/>
        </w:rPr>
        <w:t>确定</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环评重点</w:t>
      </w:r>
      <w:r>
        <w:rPr>
          <w:rFonts w:hint="default" w:ascii="Times New Roman" w:hAnsi="Times New Roman" w:cs="Times New Roman"/>
          <w:color w:val="auto"/>
          <w:spacing w:val="-11"/>
          <w:sz w:val="24"/>
          <w:szCs w:val="24"/>
          <w:highlight w:val="none"/>
          <w:u w:val="none" w:color="auto"/>
        </w:rPr>
        <w:t>内容</w:t>
      </w:r>
      <w:r>
        <w:rPr>
          <w:rFonts w:hint="default" w:ascii="Times New Roman" w:hAnsi="Times New Roman" w:cs="Times New Roman"/>
          <w:color w:val="auto"/>
          <w:sz w:val="24"/>
          <w:szCs w:val="24"/>
          <w:highlight w:val="none"/>
          <w:u w:val="none" w:color="auto"/>
        </w:rPr>
        <w:t>为：</w:t>
      </w:r>
    </w:p>
    <w:p w14:paraId="43214A37">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（1）工程分析，分析</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各类污染物的产生和排放情况；</w:t>
      </w:r>
    </w:p>
    <w:p w14:paraId="4990C9CB">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（2）环境影响预测评价，特别是分析</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完成后各类大气污染物排放对周围环境的影响；</w:t>
      </w:r>
    </w:p>
    <w:p w14:paraId="23732121">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（3）环境风险评价。</w:t>
      </w:r>
    </w:p>
    <w:p w14:paraId="58EAEE56">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（4）环境保护措施及其可行性论证。</w:t>
      </w:r>
    </w:p>
    <w:p w14:paraId="291A34C2">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207" w:name="_Toc28202"/>
      <w:bookmarkStart w:id="208" w:name="_Toc8895"/>
      <w:bookmarkStart w:id="209" w:name="_Toc25782"/>
      <w:bookmarkStart w:id="210" w:name="_Toc25725"/>
      <w:bookmarkStart w:id="211" w:name="_Toc23332"/>
      <w:bookmarkStart w:id="212" w:name="_Toc23300"/>
      <w:bookmarkStart w:id="213" w:name="_Toc21120"/>
      <w:bookmarkStart w:id="214" w:name="_Toc12000"/>
      <w:bookmarkStart w:id="215" w:name="_Toc11876"/>
      <w:bookmarkStart w:id="216" w:name="_Toc14219"/>
      <w:bookmarkStart w:id="217" w:name="_Toc28071"/>
      <w:bookmarkStart w:id="218" w:name="_Toc24995"/>
      <w:bookmarkStart w:id="219" w:name="_Toc15412"/>
      <w:bookmarkStart w:id="220" w:name="_Toc30417"/>
      <w:r>
        <w:rPr>
          <w:rFonts w:hint="default" w:ascii="Times New Roman" w:hAnsi="Times New Roman" w:eastAsia="宋体" w:cs="Times New Roman"/>
          <w:color w:val="auto"/>
          <w:sz w:val="30"/>
          <w:szCs w:val="30"/>
          <w:highlight w:val="none"/>
          <w:u w:val="none" w:color="auto"/>
          <w:lang w:val="en-US"/>
        </w:rPr>
        <w:t>2.3环境影响识别及评价因子筛选</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14:paraId="2834A935">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221" w:name="_Toc1838"/>
      <w:bookmarkStart w:id="222" w:name="_Toc587"/>
      <w:bookmarkStart w:id="223" w:name="_Toc29194"/>
      <w:bookmarkStart w:id="224" w:name="_Toc26667"/>
      <w:r>
        <w:rPr>
          <w:rFonts w:hint="default" w:ascii="Times New Roman" w:hAnsi="Times New Roman" w:cs="Times New Roman"/>
          <w:color w:val="auto"/>
          <w:sz w:val="28"/>
          <w:szCs w:val="28"/>
          <w:highlight w:val="none"/>
          <w:u w:val="none" w:color="auto"/>
        </w:rPr>
        <w:t>2.3.1环境影响因素识别</w:t>
      </w:r>
      <w:bookmarkEnd w:id="221"/>
      <w:bookmarkEnd w:id="222"/>
      <w:bookmarkEnd w:id="223"/>
      <w:bookmarkEnd w:id="224"/>
    </w:p>
    <w:p w14:paraId="2FC0847D">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根据工程特点、区域环境特征、工程建设及运行过程中对环境的影响性质与程度，对</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的环境影响要素进行识别，识别结果见表2.3-1。</w:t>
      </w:r>
    </w:p>
    <w:p w14:paraId="6A231878">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表2.3-1  环境影响因子识别</w:t>
      </w:r>
    </w:p>
    <w:tbl>
      <w:tblPr>
        <w:tblStyle w:val="46"/>
        <w:tblW w:w="512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643"/>
        <w:gridCol w:w="1386"/>
        <w:gridCol w:w="1214"/>
        <w:gridCol w:w="1218"/>
        <w:gridCol w:w="1214"/>
        <w:gridCol w:w="1216"/>
        <w:gridCol w:w="1214"/>
        <w:gridCol w:w="1232"/>
      </w:tblGrid>
      <w:tr w14:paraId="10C344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tblHeader/>
          <w:jc w:val="center"/>
        </w:trPr>
        <w:tc>
          <w:tcPr>
            <w:tcW w:w="1087" w:type="pct"/>
            <w:gridSpan w:val="2"/>
            <w:vMerge w:val="restart"/>
            <w:noWrap w:val="0"/>
            <w:vAlign w:val="center"/>
          </w:tcPr>
          <w:p w14:paraId="0AEF9EF6">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环境因素</w:t>
            </w:r>
          </w:p>
        </w:tc>
        <w:tc>
          <w:tcPr>
            <w:tcW w:w="1302" w:type="pct"/>
            <w:gridSpan w:val="2"/>
            <w:noWrap w:val="0"/>
            <w:vAlign w:val="center"/>
          </w:tcPr>
          <w:p w14:paraId="15E30A38">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治理区</w:t>
            </w:r>
          </w:p>
        </w:tc>
        <w:tc>
          <w:tcPr>
            <w:tcW w:w="1301" w:type="pct"/>
            <w:gridSpan w:val="2"/>
            <w:noWrap w:val="0"/>
            <w:vAlign w:val="center"/>
          </w:tcPr>
          <w:p w14:paraId="3ACD9F81">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取土场</w:t>
            </w:r>
          </w:p>
        </w:tc>
        <w:tc>
          <w:tcPr>
            <w:tcW w:w="1309" w:type="pct"/>
            <w:gridSpan w:val="2"/>
            <w:noWrap w:val="0"/>
            <w:vAlign w:val="center"/>
          </w:tcPr>
          <w:p w14:paraId="68DDDBB9">
            <w:pPr>
              <w:bidi w:val="0"/>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填埋区</w:t>
            </w:r>
          </w:p>
        </w:tc>
      </w:tr>
      <w:tr w14:paraId="1E6D50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tblHeader/>
          <w:jc w:val="center"/>
        </w:trPr>
        <w:tc>
          <w:tcPr>
            <w:tcW w:w="1087" w:type="pct"/>
            <w:gridSpan w:val="2"/>
            <w:vMerge w:val="continue"/>
            <w:noWrap w:val="0"/>
            <w:vAlign w:val="center"/>
          </w:tcPr>
          <w:p w14:paraId="12E1A9FE">
            <w:pPr>
              <w:bidi w:val="0"/>
              <w:spacing w:line="240" w:lineRule="auto"/>
              <w:ind w:left="0" w:leftChars="0" w:firstLine="0" w:firstLineChars="0"/>
              <w:jc w:val="center"/>
              <w:rPr>
                <w:rFonts w:hint="eastAsia"/>
                <w:b/>
                <w:bCs/>
                <w:sz w:val="21"/>
                <w:szCs w:val="21"/>
                <w:lang w:val="en-US" w:eastAsia="zh-CN"/>
              </w:rPr>
            </w:pPr>
          </w:p>
        </w:tc>
        <w:tc>
          <w:tcPr>
            <w:tcW w:w="650" w:type="pct"/>
            <w:noWrap w:val="0"/>
            <w:vAlign w:val="center"/>
          </w:tcPr>
          <w:p w14:paraId="2C0A64B2">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治理期</w:t>
            </w:r>
          </w:p>
          <w:p w14:paraId="5E853659">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（施工期）</w:t>
            </w:r>
          </w:p>
        </w:tc>
        <w:tc>
          <w:tcPr>
            <w:tcW w:w="651" w:type="pct"/>
            <w:noWrap w:val="0"/>
            <w:vAlign w:val="center"/>
          </w:tcPr>
          <w:p w14:paraId="545F124A">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治理后</w:t>
            </w:r>
          </w:p>
          <w:p w14:paraId="17320E4B">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（封场）</w:t>
            </w:r>
          </w:p>
        </w:tc>
        <w:tc>
          <w:tcPr>
            <w:tcW w:w="650" w:type="pct"/>
            <w:noWrap w:val="0"/>
            <w:vAlign w:val="center"/>
          </w:tcPr>
          <w:p w14:paraId="1676EFBD">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治理期</w:t>
            </w:r>
          </w:p>
          <w:p w14:paraId="3C82E301">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（施工期）</w:t>
            </w:r>
          </w:p>
        </w:tc>
        <w:tc>
          <w:tcPr>
            <w:tcW w:w="650" w:type="pct"/>
            <w:noWrap w:val="0"/>
            <w:vAlign w:val="center"/>
          </w:tcPr>
          <w:p w14:paraId="7124C4AC">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治理后</w:t>
            </w:r>
          </w:p>
          <w:p w14:paraId="1D6BFBF4">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（封场）</w:t>
            </w:r>
          </w:p>
        </w:tc>
        <w:tc>
          <w:tcPr>
            <w:tcW w:w="650" w:type="pct"/>
            <w:noWrap w:val="0"/>
            <w:vAlign w:val="center"/>
          </w:tcPr>
          <w:p w14:paraId="41B13EC6">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治理期</w:t>
            </w:r>
          </w:p>
          <w:p w14:paraId="5CAF62C2">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（施工期）</w:t>
            </w:r>
          </w:p>
        </w:tc>
        <w:tc>
          <w:tcPr>
            <w:tcW w:w="658" w:type="pct"/>
            <w:noWrap w:val="0"/>
            <w:vAlign w:val="center"/>
          </w:tcPr>
          <w:p w14:paraId="63916645">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治理后</w:t>
            </w:r>
          </w:p>
          <w:p w14:paraId="5AA9FFC2">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（封场）</w:t>
            </w:r>
          </w:p>
        </w:tc>
      </w:tr>
      <w:tr w14:paraId="14214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345" w:type="pct"/>
            <w:vMerge w:val="restart"/>
            <w:noWrap w:val="0"/>
            <w:vAlign w:val="center"/>
          </w:tcPr>
          <w:p w14:paraId="772FBE4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社会</w:t>
            </w:r>
          </w:p>
          <w:p w14:paraId="041754E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环境</w:t>
            </w:r>
          </w:p>
        </w:tc>
        <w:tc>
          <w:tcPr>
            <w:tcW w:w="741" w:type="pct"/>
            <w:noWrap w:val="0"/>
            <w:vAlign w:val="center"/>
          </w:tcPr>
          <w:p w14:paraId="0424BAE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就业劳务</w:t>
            </w:r>
          </w:p>
        </w:tc>
        <w:tc>
          <w:tcPr>
            <w:tcW w:w="650" w:type="pct"/>
            <w:noWrap w:val="0"/>
            <w:vAlign w:val="center"/>
          </w:tcPr>
          <w:p w14:paraId="3052CA22">
            <w:pPr>
              <w:bidi w:val="0"/>
              <w:spacing w:line="240" w:lineRule="auto"/>
              <w:ind w:left="0" w:leftChars="0" w:firstLine="0" w:firstLineChars="0"/>
              <w:jc w:val="center"/>
              <w:rPr>
                <w:rFonts w:hint="eastAsia"/>
                <w:sz w:val="21"/>
                <w:szCs w:val="21"/>
                <w:lang w:val="en-US" w:eastAsia="zh-CN"/>
              </w:rPr>
            </w:pPr>
            <w:r>
              <w:rPr>
                <w:rFonts w:hint="default" w:ascii="Times New Roman" w:hAnsi="Times New Roman" w:cs="Times New Roman"/>
                <w:sz w:val="21"/>
                <w:szCs w:val="21"/>
                <w:lang w:val="en-US" w:eastAsia="zh-CN"/>
              </w:rPr>
              <w:t>△</w:t>
            </w:r>
          </w:p>
        </w:tc>
        <w:tc>
          <w:tcPr>
            <w:tcW w:w="651" w:type="pct"/>
            <w:noWrap w:val="0"/>
            <w:vAlign w:val="center"/>
          </w:tcPr>
          <w:p w14:paraId="2D1A96C7">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5CA75654">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1DAAA14C">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53A2F90B">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0087FE6E">
            <w:pPr>
              <w:bidi w:val="0"/>
              <w:spacing w:line="240" w:lineRule="auto"/>
              <w:ind w:left="0" w:leftChars="0" w:firstLine="0" w:firstLineChars="0"/>
              <w:jc w:val="center"/>
              <w:rPr>
                <w:rFonts w:hint="eastAsia"/>
                <w:sz w:val="21"/>
                <w:szCs w:val="21"/>
                <w:lang w:val="en-US" w:eastAsia="zh-CN"/>
              </w:rPr>
            </w:pPr>
          </w:p>
        </w:tc>
      </w:tr>
      <w:tr w14:paraId="2567CF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472F3A46">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1DDCF92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社会经济</w:t>
            </w:r>
          </w:p>
        </w:tc>
        <w:tc>
          <w:tcPr>
            <w:tcW w:w="650" w:type="pct"/>
            <w:noWrap w:val="0"/>
            <w:vAlign w:val="center"/>
          </w:tcPr>
          <w:p w14:paraId="251725F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0A1817E2">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7C8AAB37">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01C6CFE5">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79268D55">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61901EF4">
            <w:pPr>
              <w:bidi w:val="0"/>
              <w:spacing w:line="240" w:lineRule="auto"/>
              <w:ind w:left="0" w:leftChars="0" w:firstLine="0" w:firstLineChars="0"/>
              <w:jc w:val="center"/>
              <w:rPr>
                <w:rFonts w:hint="eastAsia"/>
                <w:sz w:val="21"/>
                <w:szCs w:val="21"/>
                <w:lang w:val="en-US" w:eastAsia="zh-CN"/>
              </w:rPr>
            </w:pPr>
          </w:p>
        </w:tc>
      </w:tr>
      <w:tr w14:paraId="13AEF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737D071C">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6809F13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居民健康</w:t>
            </w:r>
          </w:p>
        </w:tc>
        <w:tc>
          <w:tcPr>
            <w:tcW w:w="650" w:type="pct"/>
            <w:noWrap w:val="0"/>
            <w:vAlign w:val="center"/>
          </w:tcPr>
          <w:p w14:paraId="0BC2B19A">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34E6763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0E333F7A">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16D44D5E">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2434E4D6">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0BF1A981">
            <w:pPr>
              <w:bidi w:val="0"/>
              <w:spacing w:line="240" w:lineRule="auto"/>
              <w:ind w:left="0" w:leftChars="0" w:firstLine="0" w:firstLineChars="0"/>
              <w:jc w:val="center"/>
              <w:rPr>
                <w:rFonts w:hint="eastAsia"/>
                <w:sz w:val="21"/>
                <w:szCs w:val="21"/>
                <w:lang w:val="en-US" w:eastAsia="zh-CN"/>
              </w:rPr>
            </w:pPr>
          </w:p>
        </w:tc>
      </w:tr>
      <w:tr w14:paraId="68BEE1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55036D66">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786B0D8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城市发展</w:t>
            </w:r>
          </w:p>
        </w:tc>
        <w:tc>
          <w:tcPr>
            <w:tcW w:w="650" w:type="pct"/>
            <w:noWrap w:val="0"/>
            <w:vAlign w:val="center"/>
          </w:tcPr>
          <w:p w14:paraId="08F09B78">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44ADF40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7250C251">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486E6752">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3C545F8B">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8" w:type="pct"/>
            <w:noWrap w:val="0"/>
            <w:vAlign w:val="center"/>
          </w:tcPr>
          <w:p w14:paraId="74980278">
            <w:pPr>
              <w:bidi w:val="0"/>
              <w:spacing w:line="240" w:lineRule="auto"/>
              <w:ind w:left="0" w:leftChars="0" w:firstLine="0" w:firstLineChars="0"/>
              <w:jc w:val="center"/>
              <w:rPr>
                <w:rFonts w:hint="eastAsia"/>
                <w:sz w:val="21"/>
                <w:szCs w:val="21"/>
                <w:lang w:val="en-US" w:eastAsia="zh-CN"/>
              </w:rPr>
            </w:pPr>
          </w:p>
        </w:tc>
      </w:tr>
      <w:tr w14:paraId="544F1E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restart"/>
            <w:noWrap w:val="0"/>
            <w:vAlign w:val="center"/>
          </w:tcPr>
          <w:p w14:paraId="3DC5103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生态</w:t>
            </w:r>
          </w:p>
          <w:p w14:paraId="46FF5AE8">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环境</w:t>
            </w:r>
          </w:p>
        </w:tc>
        <w:tc>
          <w:tcPr>
            <w:tcW w:w="741" w:type="pct"/>
            <w:noWrap w:val="0"/>
            <w:vAlign w:val="center"/>
          </w:tcPr>
          <w:p w14:paraId="167E0E2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城市生态景观</w:t>
            </w:r>
          </w:p>
        </w:tc>
        <w:tc>
          <w:tcPr>
            <w:tcW w:w="650" w:type="pct"/>
            <w:noWrap w:val="0"/>
            <w:vAlign w:val="center"/>
          </w:tcPr>
          <w:p w14:paraId="561B9966">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749BE69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2C7C61B1">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041D866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03F3E7F8">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8" w:type="pct"/>
            <w:noWrap w:val="0"/>
            <w:vAlign w:val="center"/>
          </w:tcPr>
          <w:p w14:paraId="7299CC68">
            <w:pPr>
              <w:bidi w:val="0"/>
              <w:spacing w:line="240" w:lineRule="auto"/>
              <w:ind w:left="0" w:leftChars="0" w:firstLine="0" w:firstLineChars="0"/>
              <w:jc w:val="center"/>
              <w:rPr>
                <w:rFonts w:hint="eastAsia"/>
                <w:sz w:val="21"/>
                <w:szCs w:val="21"/>
                <w:lang w:val="en-US" w:eastAsia="zh-CN"/>
              </w:rPr>
            </w:pPr>
          </w:p>
        </w:tc>
      </w:tr>
      <w:tr w14:paraId="2CD840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499F2007">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15A666B1">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水土流失</w:t>
            </w:r>
          </w:p>
        </w:tc>
        <w:tc>
          <w:tcPr>
            <w:tcW w:w="650" w:type="pct"/>
            <w:noWrap w:val="0"/>
            <w:vAlign w:val="center"/>
          </w:tcPr>
          <w:p w14:paraId="5B6C9F42">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472B91D1">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5BEDF161">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28F354D7">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645393F7">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8" w:type="pct"/>
            <w:noWrap w:val="0"/>
            <w:vAlign w:val="center"/>
          </w:tcPr>
          <w:p w14:paraId="5A17B98D">
            <w:pPr>
              <w:bidi w:val="0"/>
              <w:spacing w:line="240" w:lineRule="auto"/>
              <w:ind w:left="0" w:leftChars="0" w:firstLine="0" w:firstLineChars="0"/>
              <w:jc w:val="center"/>
              <w:rPr>
                <w:rFonts w:hint="eastAsia"/>
                <w:sz w:val="21"/>
                <w:szCs w:val="21"/>
                <w:lang w:val="en-US" w:eastAsia="zh-CN"/>
              </w:rPr>
            </w:pPr>
          </w:p>
        </w:tc>
      </w:tr>
      <w:tr w14:paraId="6CD627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0C240669">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6505188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陆生植被</w:t>
            </w:r>
          </w:p>
        </w:tc>
        <w:tc>
          <w:tcPr>
            <w:tcW w:w="650" w:type="pct"/>
            <w:noWrap w:val="0"/>
            <w:vAlign w:val="center"/>
          </w:tcPr>
          <w:p w14:paraId="628B1D72">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5709C6E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7D55F42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157DA004">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56C2DF2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8" w:type="pct"/>
            <w:noWrap w:val="0"/>
            <w:vAlign w:val="center"/>
          </w:tcPr>
          <w:p w14:paraId="5D9C6FED">
            <w:pPr>
              <w:bidi w:val="0"/>
              <w:spacing w:line="240" w:lineRule="auto"/>
              <w:ind w:left="0" w:leftChars="0" w:firstLine="0" w:firstLineChars="0"/>
              <w:jc w:val="center"/>
              <w:rPr>
                <w:rFonts w:hint="eastAsia"/>
                <w:sz w:val="21"/>
                <w:szCs w:val="21"/>
                <w:lang w:val="en-US" w:eastAsia="zh-CN"/>
              </w:rPr>
            </w:pPr>
          </w:p>
        </w:tc>
      </w:tr>
      <w:tr w14:paraId="104CB3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restart"/>
            <w:noWrap w:val="0"/>
            <w:vAlign w:val="center"/>
          </w:tcPr>
          <w:p w14:paraId="18346978">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自然</w:t>
            </w:r>
          </w:p>
          <w:p w14:paraId="3F4587A4">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环境</w:t>
            </w:r>
          </w:p>
        </w:tc>
        <w:tc>
          <w:tcPr>
            <w:tcW w:w="741" w:type="pct"/>
            <w:noWrap w:val="0"/>
            <w:vAlign w:val="center"/>
          </w:tcPr>
          <w:p w14:paraId="43F8EFC1">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水力关系</w:t>
            </w:r>
          </w:p>
        </w:tc>
        <w:tc>
          <w:tcPr>
            <w:tcW w:w="650" w:type="pct"/>
            <w:noWrap w:val="0"/>
            <w:vAlign w:val="center"/>
          </w:tcPr>
          <w:p w14:paraId="5C1A062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415631C8">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3707B165">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66109AE4">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1FCD10D1">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3AB62476">
            <w:pPr>
              <w:bidi w:val="0"/>
              <w:spacing w:line="240" w:lineRule="auto"/>
              <w:ind w:left="0" w:leftChars="0" w:firstLine="0" w:firstLineChars="0"/>
              <w:jc w:val="center"/>
              <w:rPr>
                <w:rFonts w:hint="eastAsia"/>
                <w:sz w:val="21"/>
                <w:szCs w:val="21"/>
                <w:lang w:val="en-US" w:eastAsia="zh-CN"/>
              </w:rPr>
            </w:pPr>
          </w:p>
        </w:tc>
      </w:tr>
      <w:tr w14:paraId="5A90F2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6949C6E5">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7623FBB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水资源利用</w:t>
            </w:r>
          </w:p>
        </w:tc>
        <w:tc>
          <w:tcPr>
            <w:tcW w:w="650" w:type="pct"/>
            <w:noWrap w:val="0"/>
            <w:vAlign w:val="center"/>
          </w:tcPr>
          <w:p w14:paraId="0AE7FC2D">
            <w:pPr>
              <w:bidi w:val="0"/>
              <w:spacing w:line="240" w:lineRule="auto"/>
              <w:ind w:left="0" w:leftChars="0" w:firstLine="0" w:firstLineChars="0"/>
              <w:jc w:val="center"/>
              <w:rPr>
                <w:rFonts w:hint="eastAsia"/>
                <w:sz w:val="21"/>
                <w:szCs w:val="21"/>
                <w:lang w:val="en-US" w:eastAsia="zh-CN"/>
              </w:rPr>
            </w:pPr>
          </w:p>
        </w:tc>
        <w:tc>
          <w:tcPr>
            <w:tcW w:w="651" w:type="pct"/>
            <w:noWrap w:val="0"/>
            <w:vAlign w:val="center"/>
          </w:tcPr>
          <w:p w14:paraId="4E2B9C7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4C781CA7">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6394A28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4A2F41C8">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46589FB4">
            <w:pPr>
              <w:bidi w:val="0"/>
              <w:spacing w:line="240" w:lineRule="auto"/>
              <w:ind w:left="0" w:leftChars="0" w:firstLine="0" w:firstLineChars="0"/>
              <w:jc w:val="center"/>
              <w:rPr>
                <w:rFonts w:hint="eastAsia"/>
                <w:sz w:val="21"/>
                <w:szCs w:val="21"/>
                <w:lang w:val="en-US" w:eastAsia="zh-CN"/>
              </w:rPr>
            </w:pPr>
          </w:p>
        </w:tc>
      </w:tr>
      <w:tr w14:paraId="3FE64B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2FE744F3">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28CFD3EA">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环境地质</w:t>
            </w:r>
          </w:p>
        </w:tc>
        <w:tc>
          <w:tcPr>
            <w:tcW w:w="650" w:type="pct"/>
            <w:noWrap w:val="0"/>
            <w:vAlign w:val="center"/>
          </w:tcPr>
          <w:p w14:paraId="298E108A">
            <w:pPr>
              <w:bidi w:val="0"/>
              <w:spacing w:line="240" w:lineRule="auto"/>
              <w:ind w:left="0" w:leftChars="0" w:firstLine="0" w:firstLineChars="0"/>
              <w:jc w:val="center"/>
              <w:rPr>
                <w:rFonts w:hint="eastAsia"/>
                <w:sz w:val="21"/>
                <w:szCs w:val="21"/>
                <w:lang w:val="en-US" w:eastAsia="zh-CN"/>
              </w:rPr>
            </w:pPr>
          </w:p>
        </w:tc>
        <w:tc>
          <w:tcPr>
            <w:tcW w:w="651" w:type="pct"/>
            <w:noWrap w:val="0"/>
            <w:vAlign w:val="center"/>
          </w:tcPr>
          <w:p w14:paraId="05673999">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3724B73B">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720895C2">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6B0DF6E8">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2DED3BE5">
            <w:pPr>
              <w:bidi w:val="0"/>
              <w:spacing w:line="240" w:lineRule="auto"/>
              <w:ind w:left="0" w:leftChars="0" w:firstLine="0" w:firstLineChars="0"/>
              <w:jc w:val="center"/>
              <w:rPr>
                <w:rFonts w:hint="eastAsia"/>
                <w:sz w:val="21"/>
                <w:szCs w:val="21"/>
                <w:lang w:val="en-US" w:eastAsia="zh-CN"/>
              </w:rPr>
            </w:pPr>
          </w:p>
        </w:tc>
      </w:tr>
      <w:tr w14:paraId="6F6185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restart"/>
            <w:noWrap w:val="0"/>
            <w:vAlign w:val="center"/>
          </w:tcPr>
          <w:p w14:paraId="38E41564">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环境</w:t>
            </w:r>
          </w:p>
          <w:p w14:paraId="0ECE2F0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质量</w:t>
            </w:r>
          </w:p>
        </w:tc>
        <w:tc>
          <w:tcPr>
            <w:tcW w:w="741" w:type="pct"/>
            <w:noWrap w:val="0"/>
            <w:vAlign w:val="center"/>
          </w:tcPr>
          <w:p w14:paraId="32CFF29B">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水环境</w:t>
            </w:r>
          </w:p>
        </w:tc>
        <w:tc>
          <w:tcPr>
            <w:tcW w:w="650" w:type="pct"/>
            <w:noWrap w:val="0"/>
            <w:vAlign w:val="center"/>
          </w:tcPr>
          <w:p w14:paraId="1EFE6E0A">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028213E4">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4FEDAAA8">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6BC36854">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229D2450">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8" w:type="pct"/>
            <w:noWrap w:val="0"/>
            <w:vAlign w:val="center"/>
          </w:tcPr>
          <w:p w14:paraId="330DE369">
            <w:pPr>
              <w:bidi w:val="0"/>
              <w:spacing w:line="240" w:lineRule="auto"/>
              <w:ind w:left="0" w:leftChars="0" w:firstLine="0" w:firstLineChars="0"/>
              <w:jc w:val="center"/>
              <w:rPr>
                <w:rFonts w:hint="eastAsia"/>
                <w:sz w:val="21"/>
                <w:szCs w:val="21"/>
                <w:lang w:val="en-US" w:eastAsia="zh-CN"/>
              </w:rPr>
            </w:pPr>
          </w:p>
        </w:tc>
      </w:tr>
      <w:tr w14:paraId="3FE6F1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4CAB1479">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2C7DAD5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环境空气</w:t>
            </w:r>
          </w:p>
        </w:tc>
        <w:tc>
          <w:tcPr>
            <w:tcW w:w="650" w:type="pct"/>
            <w:noWrap w:val="0"/>
            <w:vAlign w:val="center"/>
          </w:tcPr>
          <w:p w14:paraId="20EC1CB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4861F5A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4B124226">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6D8AAE37">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6A7161C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8" w:type="pct"/>
            <w:noWrap w:val="0"/>
            <w:vAlign w:val="center"/>
          </w:tcPr>
          <w:p w14:paraId="470AC34D">
            <w:pPr>
              <w:bidi w:val="0"/>
              <w:spacing w:line="240" w:lineRule="auto"/>
              <w:ind w:left="0" w:leftChars="0" w:firstLine="0" w:firstLineChars="0"/>
              <w:jc w:val="center"/>
              <w:rPr>
                <w:rFonts w:hint="eastAsia"/>
                <w:sz w:val="21"/>
                <w:szCs w:val="21"/>
                <w:lang w:val="en-US" w:eastAsia="zh-CN"/>
              </w:rPr>
            </w:pPr>
          </w:p>
        </w:tc>
      </w:tr>
      <w:tr w14:paraId="4A70AB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2E2963F0">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6E7239B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声环境</w:t>
            </w:r>
          </w:p>
        </w:tc>
        <w:tc>
          <w:tcPr>
            <w:tcW w:w="650" w:type="pct"/>
            <w:noWrap w:val="0"/>
            <w:vAlign w:val="center"/>
          </w:tcPr>
          <w:p w14:paraId="231814F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1" w:type="pct"/>
            <w:noWrap w:val="0"/>
            <w:vAlign w:val="center"/>
          </w:tcPr>
          <w:p w14:paraId="6862B15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0AFB236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7A1C085B">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1D0B8EDE">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645E5960">
            <w:pPr>
              <w:bidi w:val="0"/>
              <w:spacing w:line="240" w:lineRule="auto"/>
              <w:ind w:left="0" w:leftChars="0" w:firstLine="0" w:firstLineChars="0"/>
              <w:jc w:val="center"/>
              <w:rPr>
                <w:rFonts w:hint="eastAsia"/>
                <w:sz w:val="21"/>
                <w:szCs w:val="21"/>
                <w:lang w:val="en-US" w:eastAsia="zh-CN"/>
              </w:rPr>
            </w:pPr>
          </w:p>
        </w:tc>
      </w:tr>
      <w:tr w14:paraId="3B4D84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vMerge w:val="continue"/>
            <w:noWrap w:val="0"/>
            <w:vAlign w:val="center"/>
          </w:tcPr>
          <w:p w14:paraId="55227620">
            <w:pPr>
              <w:bidi w:val="0"/>
              <w:spacing w:line="240" w:lineRule="auto"/>
              <w:ind w:left="0" w:leftChars="0" w:firstLine="0" w:firstLineChars="0"/>
              <w:jc w:val="center"/>
              <w:rPr>
                <w:rFonts w:hint="eastAsia"/>
                <w:sz w:val="21"/>
                <w:szCs w:val="21"/>
                <w:lang w:val="en-US" w:eastAsia="zh-CN"/>
              </w:rPr>
            </w:pPr>
          </w:p>
        </w:tc>
        <w:tc>
          <w:tcPr>
            <w:tcW w:w="741" w:type="pct"/>
            <w:noWrap w:val="0"/>
            <w:vAlign w:val="center"/>
          </w:tcPr>
          <w:p w14:paraId="529B6BF4">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土壤环境</w:t>
            </w:r>
          </w:p>
        </w:tc>
        <w:tc>
          <w:tcPr>
            <w:tcW w:w="650" w:type="pct"/>
            <w:noWrap w:val="0"/>
            <w:vAlign w:val="center"/>
          </w:tcPr>
          <w:p w14:paraId="0ADAB422">
            <w:pPr>
              <w:bidi w:val="0"/>
              <w:spacing w:line="240" w:lineRule="auto"/>
              <w:ind w:left="0" w:leftChars="0" w:firstLine="0" w:firstLineChars="0"/>
              <w:jc w:val="center"/>
              <w:rPr>
                <w:rFonts w:hint="eastAsia"/>
                <w:sz w:val="21"/>
                <w:szCs w:val="21"/>
                <w:lang w:val="en-US" w:eastAsia="zh-CN"/>
              </w:rPr>
            </w:pPr>
          </w:p>
        </w:tc>
        <w:tc>
          <w:tcPr>
            <w:tcW w:w="651" w:type="pct"/>
            <w:noWrap w:val="0"/>
            <w:vAlign w:val="center"/>
          </w:tcPr>
          <w:p w14:paraId="5D6A348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c>
          <w:tcPr>
            <w:tcW w:w="650" w:type="pct"/>
            <w:noWrap w:val="0"/>
            <w:vAlign w:val="center"/>
          </w:tcPr>
          <w:p w14:paraId="4FA96C1B">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50A5EAA3">
            <w:pPr>
              <w:bidi w:val="0"/>
              <w:spacing w:line="240" w:lineRule="auto"/>
              <w:ind w:left="0" w:leftChars="0" w:firstLine="0" w:firstLineChars="0"/>
              <w:jc w:val="center"/>
              <w:rPr>
                <w:rFonts w:hint="eastAsia"/>
                <w:sz w:val="21"/>
                <w:szCs w:val="21"/>
                <w:lang w:val="en-US" w:eastAsia="zh-CN"/>
              </w:rPr>
            </w:pPr>
          </w:p>
        </w:tc>
        <w:tc>
          <w:tcPr>
            <w:tcW w:w="650" w:type="pct"/>
            <w:noWrap w:val="0"/>
            <w:vAlign w:val="center"/>
          </w:tcPr>
          <w:p w14:paraId="6C6C2423">
            <w:pPr>
              <w:bidi w:val="0"/>
              <w:spacing w:line="240" w:lineRule="auto"/>
              <w:ind w:left="0" w:leftChars="0" w:firstLine="0" w:firstLineChars="0"/>
              <w:jc w:val="center"/>
              <w:rPr>
                <w:rFonts w:hint="eastAsia"/>
                <w:sz w:val="21"/>
                <w:szCs w:val="21"/>
                <w:lang w:val="en-US" w:eastAsia="zh-CN"/>
              </w:rPr>
            </w:pPr>
          </w:p>
        </w:tc>
        <w:tc>
          <w:tcPr>
            <w:tcW w:w="658" w:type="pct"/>
            <w:noWrap w:val="0"/>
            <w:vAlign w:val="center"/>
          </w:tcPr>
          <w:p w14:paraId="3817EE1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r>
      <w:tr w14:paraId="7A4675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23" w:hRule="atLeast"/>
          <w:jc w:val="center"/>
        </w:trPr>
        <w:tc>
          <w:tcPr>
            <w:tcW w:w="345" w:type="pct"/>
            <w:noWrap w:val="0"/>
            <w:vAlign w:val="center"/>
          </w:tcPr>
          <w:p w14:paraId="356EF8B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说明</w:t>
            </w:r>
          </w:p>
        </w:tc>
        <w:tc>
          <w:tcPr>
            <w:tcW w:w="4654" w:type="pct"/>
            <w:gridSpan w:val="7"/>
            <w:noWrap w:val="0"/>
            <w:vAlign w:val="center"/>
          </w:tcPr>
          <w:p w14:paraId="34265F15">
            <w:pPr>
              <w:bidi w:val="0"/>
              <w:spacing w:line="240" w:lineRule="auto"/>
              <w:ind w:left="0" w:leftChars="0" w:firstLine="0" w:firstLineChars="0"/>
              <w:jc w:val="both"/>
              <w:rPr>
                <w:rFonts w:hint="eastAsia"/>
                <w:sz w:val="21"/>
                <w:szCs w:val="21"/>
                <w:lang w:val="en-US" w:eastAsia="zh-CN"/>
              </w:rPr>
            </w:pPr>
            <w:r>
              <w:rPr>
                <w:rFonts w:hint="eastAsia"/>
                <w:sz w:val="21"/>
                <w:szCs w:val="21"/>
                <w:lang w:val="en-US" w:eastAsia="zh-CN"/>
              </w:rPr>
              <w:t>★/☆表示长期不利影响/有利影响区；▲/△表示短期不利影响/有利影响；空格表示影响不明显或没有影响。</w:t>
            </w:r>
          </w:p>
        </w:tc>
      </w:tr>
    </w:tbl>
    <w:p w14:paraId="74080650">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225" w:name="_Toc9790"/>
      <w:bookmarkStart w:id="226" w:name="_Toc29788"/>
      <w:bookmarkStart w:id="227" w:name="_Toc16955"/>
      <w:bookmarkStart w:id="228" w:name="_Toc25806"/>
      <w:r>
        <w:rPr>
          <w:rFonts w:hint="default" w:ascii="Times New Roman" w:hAnsi="Times New Roman" w:cs="Times New Roman"/>
          <w:color w:val="auto"/>
          <w:sz w:val="28"/>
          <w:szCs w:val="28"/>
          <w:highlight w:val="none"/>
          <w:u w:val="none" w:color="auto"/>
        </w:rPr>
        <w:t>2.3.2评价因子筛选</w:t>
      </w:r>
      <w:bookmarkEnd w:id="225"/>
      <w:bookmarkEnd w:id="226"/>
      <w:bookmarkEnd w:id="227"/>
      <w:bookmarkEnd w:id="228"/>
    </w:p>
    <w:p w14:paraId="0FC8BCBE">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工程的影响特点，经筛选和识别，各评价要素的环境影响评价因子见表2.3</w:t>
      </w:r>
      <w:r>
        <w:rPr>
          <w:rFonts w:hint="default" w:ascii="Times New Roman" w:hAnsi="Times New Roman" w:cs="Times New Roman"/>
          <w:color w:val="auto"/>
          <w:kern w:val="0"/>
          <w:sz w:val="24"/>
          <w:szCs w:val="24"/>
          <w:highlight w:val="none"/>
          <w:u w:val="none" w:color="auto"/>
          <w:lang w:bidi="ar"/>
        </w:rPr>
        <w:t>-2。</w:t>
      </w:r>
    </w:p>
    <w:p w14:paraId="0629071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b/>
          <w:bCs/>
          <w:color w:val="auto"/>
          <w:kern w:val="0"/>
          <w:sz w:val="21"/>
          <w:szCs w:val="21"/>
          <w:highlight w:val="none"/>
          <w:u w:val="none" w:color="auto"/>
          <w:lang w:bidi="ar"/>
        </w:rPr>
        <w:t>表2.3-2  评价因子筛选结果一览表</w:t>
      </w:r>
    </w:p>
    <w:tbl>
      <w:tblPr>
        <w:tblStyle w:val="4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13" w:type="dxa"/>
          <w:bottom w:w="0" w:type="dxa"/>
          <w:right w:w="113" w:type="dxa"/>
        </w:tblCellMar>
      </w:tblPr>
      <w:tblGrid>
        <w:gridCol w:w="1120"/>
        <w:gridCol w:w="1162"/>
        <w:gridCol w:w="7016"/>
      </w:tblGrid>
      <w:tr w14:paraId="77407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noWrap/>
            <w:vAlign w:val="center"/>
          </w:tcPr>
          <w:p w14:paraId="66A9E866">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bookmarkStart w:id="229" w:name="_Toc16419"/>
            <w:bookmarkStart w:id="230" w:name="_Toc3829"/>
            <w:bookmarkStart w:id="231" w:name="_Toc2328"/>
            <w:bookmarkStart w:id="232" w:name="_Toc27987"/>
            <w:bookmarkStart w:id="233" w:name="_Toc187"/>
            <w:bookmarkStart w:id="234" w:name="_Toc8364"/>
            <w:bookmarkStart w:id="235" w:name="_Toc30344"/>
            <w:bookmarkStart w:id="236" w:name="_Toc20259"/>
            <w:r>
              <w:rPr>
                <w:rFonts w:hint="default" w:ascii="Times New Roman" w:hAnsi="Times New Roman" w:cs="Times New Roman"/>
                <w:b/>
                <w:bCs/>
                <w:color w:val="auto"/>
                <w:sz w:val="21"/>
                <w:szCs w:val="21"/>
                <w:highlight w:val="none"/>
                <w:u w:val="none" w:color="auto"/>
              </w:rPr>
              <w:t>环境因素</w:t>
            </w:r>
          </w:p>
        </w:tc>
        <w:tc>
          <w:tcPr>
            <w:tcW w:w="624" w:type="pct"/>
            <w:noWrap/>
            <w:vAlign w:val="center"/>
          </w:tcPr>
          <w:p w14:paraId="0F86DAE1">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评价类别</w:t>
            </w:r>
          </w:p>
        </w:tc>
        <w:tc>
          <w:tcPr>
            <w:tcW w:w="3772" w:type="pct"/>
            <w:noWrap/>
            <w:vAlign w:val="center"/>
          </w:tcPr>
          <w:p w14:paraId="19CC8B09">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评价因子</w:t>
            </w:r>
          </w:p>
        </w:tc>
      </w:tr>
      <w:tr w14:paraId="789E52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restart"/>
            <w:noWrap/>
            <w:vAlign w:val="center"/>
          </w:tcPr>
          <w:p w14:paraId="49BCCA3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大气</w:t>
            </w:r>
          </w:p>
        </w:tc>
        <w:tc>
          <w:tcPr>
            <w:tcW w:w="624" w:type="pct"/>
            <w:noWrap/>
            <w:vAlign w:val="center"/>
          </w:tcPr>
          <w:p w14:paraId="31343B4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现状评价</w:t>
            </w:r>
          </w:p>
        </w:tc>
        <w:tc>
          <w:tcPr>
            <w:tcW w:w="3772" w:type="pct"/>
            <w:noWrap/>
            <w:vAlign w:val="center"/>
          </w:tcPr>
          <w:p w14:paraId="0A3F7516">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SO</w:t>
            </w:r>
            <w:r>
              <w:rPr>
                <w:rFonts w:hint="default" w:ascii="Times New Roman" w:hAnsi="Times New Roman" w:cs="Times New Roman"/>
                <w:color w:val="auto"/>
                <w:sz w:val="21"/>
                <w:szCs w:val="21"/>
                <w:highlight w:val="none"/>
                <w:u w:val="none" w:color="auto"/>
                <w:vertAlign w:val="subscript"/>
              </w:rPr>
              <w:t>2</w:t>
            </w:r>
            <w:r>
              <w:rPr>
                <w:rFonts w:hint="default" w:ascii="Times New Roman" w:hAnsi="Times New Roman" w:cs="Times New Roman"/>
                <w:color w:val="auto"/>
                <w:sz w:val="21"/>
                <w:szCs w:val="21"/>
                <w:highlight w:val="none"/>
                <w:u w:val="none" w:color="auto"/>
              </w:rPr>
              <w:t>、NO</w:t>
            </w:r>
            <w:r>
              <w:rPr>
                <w:rFonts w:hint="default" w:ascii="Times New Roman" w:hAnsi="Times New Roman" w:cs="Times New Roman"/>
                <w:color w:val="auto"/>
                <w:sz w:val="21"/>
                <w:szCs w:val="21"/>
                <w:highlight w:val="none"/>
                <w:u w:val="none" w:color="auto"/>
                <w:vertAlign w:val="subscript"/>
              </w:rPr>
              <w:t>2</w:t>
            </w:r>
            <w:r>
              <w:rPr>
                <w:rFonts w:hint="default" w:ascii="Times New Roman" w:hAnsi="Times New Roman" w:cs="Times New Roman"/>
                <w:color w:val="auto"/>
                <w:sz w:val="21"/>
                <w:szCs w:val="21"/>
                <w:highlight w:val="none"/>
                <w:u w:val="none" w:color="auto"/>
              </w:rPr>
              <w:t>、PM</w:t>
            </w:r>
            <w:r>
              <w:rPr>
                <w:rFonts w:hint="default" w:ascii="Times New Roman" w:hAnsi="Times New Roman" w:cs="Times New Roman"/>
                <w:color w:val="auto"/>
                <w:sz w:val="21"/>
                <w:szCs w:val="21"/>
                <w:highlight w:val="none"/>
                <w:u w:val="none" w:color="auto"/>
                <w:vertAlign w:val="subscript"/>
              </w:rPr>
              <w:t>10</w:t>
            </w:r>
            <w:r>
              <w:rPr>
                <w:rFonts w:hint="default" w:ascii="Times New Roman" w:hAnsi="Times New Roman" w:cs="Times New Roman"/>
                <w:color w:val="auto"/>
                <w:sz w:val="21"/>
                <w:szCs w:val="21"/>
                <w:highlight w:val="none"/>
                <w:u w:val="none" w:color="auto"/>
              </w:rPr>
              <w:t>、PM</w:t>
            </w:r>
            <w:r>
              <w:rPr>
                <w:rFonts w:hint="default" w:ascii="Times New Roman" w:hAnsi="Times New Roman" w:cs="Times New Roman"/>
                <w:color w:val="auto"/>
                <w:sz w:val="21"/>
                <w:szCs w:val="21"/>
                <w:highlight w:val="none"/>
                <w:u w:val="none" w:color="auto"/>
                <w:vertAlign w:val="subscript"/>
              </w:rPr>
              <w:t>2.5</w:t>
            </w:r>
            <w:r>
              <w:rPr>
                <w:rFonts w:hint="default" w:ascii="Times New Roman" w:hAnsi="Times New Roman" w:cs="Times New Roman"/>
                <w:color w:val="auto"/>
                <w:sz w:val="21"/>
                <w:szCs w:val="21"/>
                <w:highlight w:val="none"/>
                <w:u w:val="none" w:color="auto"/>
              </w:rPr>
              <w:t>、CO、O</w:t>
            </w:r>
            <w:r>
              <w:rPr>
                <w:rFonts w:hint="default" w:ascii="Times New Roman" w:hAnsi="Times New Roman" w:cs="Times New Roman"/>
                <w:color w:val="auto"/>
                <w:sz w:val="21"/>
                <w:szCs w:val="21"/>
                <w:highlight w:val="none"/>
                <w:u w:val="none" w:color="auto"/>
                <w:vertAlign w:val="subscript"/>
              </w:rPr>
              <w:t>3</w:t>
            </w:r>
            <w:r>
              <w:rPr>
                <w:rFonts w:hint="eastAsia" w:ascii="Times New Roman" w:hAnsi="Times New Roman" w:cs="Times New Roman"/>
                <w:color w:val="auto"/>
                <w:sz w:val="21"/>
                <w:szCs w:val="21"/>
                <w:highlight w:val="none"/>
                <w:u w:val="none" w:color="auto"/>
                <w:lang w:eastAsia="zh-CN"/>
              </w:rPr>
              <w:t>、</w:t>
            </w:r>
            <w:r>
              <w:rPr>
                <w:rFonts w:hint="eastAsia" w:cs="Times New Roman"/>
                <w:color w:val="auto"/>
                <w:sz w:val="21"/>
                <w:szCs w:val="21"/>
                <w:highlight w:val="none"/>
                <w:u w:val="none" w:color="auto"/>
                <w:lang w:val="en-US" w:eastAsia="zh-CN"/>
              </w:rPr>
              <w:t>TSP</w:t>
            </w:r>
          </w:p>
        </w:tc>
      </w:tr>
      <w:tr w14:paraId="1633CC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continue"/>
            <w:noWrap/>
            <w:vAlign w:val="center"/>
          </w:tcPr>
          <w:p w14:paraId="1FB4900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624" w:type="pct"/>
            <w:noWrap/>
            <w:vAlign w:val="center"/>
          </w:tcPr>
          <w:p w14:paraId="4FB8AC2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预测评价</w:t>
            </w:r>
          </w:p>
        </w:tc>
        <w:tc>
          <w:tcPr>
            <w:tcW w:w="3772" w:type="pct"/>
            <w:noWrap/>
            <w:vAlign w:val="center"/>
          </w:tcPr>
          <w:p w14:paraId="40973CCC">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TSP</w:t>
            </w:r>
          </w:p>
        </w:tc>
      </w:tr>
      <w:tr w14:paraId="431042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90" w:hRule="atLeast"/>
          <w:jc w:val="center"/>
        </w:trPr>
        <w:tc>
          <w:tcPr>
            <w:tcW w:w="602" w:type="pct"/>
            <w:vMerge w:val="restart"/>
            <w:noWrap/>
            <w:vAlign w:val="center"/>
          </w:tcPr>
          <w:p w14:paraId="3F8E065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地表水</w:t>
            </w:r>
          </w:p>
        </w:tc>
        <w:tc>
          <w:tcPr>
            <w:tcW w:w="624" w:type="pct"/>
            <w:noWrap/>
            <w:vAlign w:val="center"/>
          </w:tcPr>
          <w:p w14:paraId="1E186F6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现状评价</w:t>
            </w:r>
          </w:p>
        </w:tc>
        <w:tc>
          <w:tcPr>
            <w:tcW w:w="3772" w:type="pct"/>
            <w:noWrap/>
            <w:vAlign w:val="center"/>
          </w:tcPr>
          <w:p w14:paraId="04432666">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u w:val="none" w:color="auto"/>
                <w:lang w:val="en-US" w:eastAsia="zh-CN"/>
              </w:rPr>
              <w:t>水温、pH、DO、CODMN、COD、BOD</w:t>
            </w:r>
            <w:r>
              <w:rPr>
                <w:rFonts w:hint="eastAsia" w:ascii="Times New Roman" w:hAnsi="Times New Roman" w:cs="Times New Roman"/>
                <w:color w:val="auto"/>
                <w:sz w:val="21"/>
                <w:szCs w:val="21"/>
                <w:u w:val="none" w:color="auto"/>
                <w:vertAlign w:val="subscript"/>
                <w:lang w:val="en-US" w:eastAsia="zh-CN"/>
              </w:rPr>
              <w:t>5</w:t>
            </w:r>
            <w:r>
              <w:rPr>
                <w:rFonts w:hint="eastAsia" w:ascii="Times New Roman" w:hAnsi="Times New Roman" w:cs="Times New Roman"/>
                <w:color w:val="auto"/>
                <w:sz w:val="21"/>
                <w:szCs w:val="21"/>
                <w:u w:val="none" w:color="auto"/>
                <w:lang w:val="en-US" w:eastAsia="zh-CN"/>
              </w:rPr>
              <w:t>、石油类、LAS、TN、氨氮、TP、粪大肠菌群、氟化物、挥发酚、氰化物、硫化物、汞、镉、铬（六价）、硒、砷、铅、锌、铜、镍、铬</w:t>
            </w:r>
          </w:p>
        </w:tc>
      </w:tr>
      <w:tr w14:paraId="1C8CDC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continue"/>
            <w:noWrap/>
            <w:vAlign w:val="center"/>
          </w:tcPr>
          <w:p w14:paraId="73BF8E7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624" w:type="pct"/>
            <w:noWrap/>
            <w:vAlign w:val="center"/>
          </w:tcPr>
          <w:p w14:paraId="09C8046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预测评价</w:t>
            </w:r>
          </w:p>
        </w:tc>
        <w:tc>
          <w:tcPr>
            <w:tcW w:w="3772" w:type="pct"/>
            <w:noWrap/>
            <w:vAlign w:val="center"/>
          </w:tcPr>
          <w:p w14:paraId="4F6FB03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u w:val="none" w:color="auto"/>
                <w:lang w:val="en-US" w:eastAsia="zh-CN"/>
              </w:rPr>
              <w:t>/</w:t>
            </w:r>
          </w:p>
        </w:tc>
      </w:tr>
      <w:tr w14:paraId="29D904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428" w:hRule="atLeast"/>
          <w:jc w:val="center"/>
        </w:trPr>
        <w:tc>
          <w:tcPr>
            <w:tcW w:w="602" w:type="pct"/>
            <w:vMerge w:val="restart"/>
            <w:noWrap/>
            <w:vAlign w:val="center"/>
          </w:tcPr>
          <w:p w14:paraId="77985F0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地下水</w:t>
            </w:r>
          </w:p>
        </w:tc>
        <w:tc>
          <w:tcPr>
            <w:tcW w:w="624" w:type="pct"/>
            <w:noWrap/>
            <w:vAlign w:val="center"/>
          </w:tcPr>
          <w:p w14:paraId="7B77C7A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现状评价</w:t>
            </w:r>
          </w:p>
        </w:tc>
        <w:tc>
          <w:tcPr>
            <w:tcW w:w="3772" w:type="pct"/>
            <w:noWrap/>
            <w:vAlign w:val="center"/>
          </w:tcPr>
          <w:p w14:paraId="38A6BB0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Cs w:val="21"/>
              </w:rPr>
              <w:t>K</w:t>
            </w:r>
            <w:r>
              <w:rPr>
                <w:rFonts w:hint="default" w:ascii="Times New Roman" w:hAnsi="Times New Roman" w:cs="Times New Roman"/>
                <w:color w:val="auto"/>
                <w:szCs w:val="21"/>
                <w:vertAlign w:val="superscript"/>
              </w:rPr>
              <w:t>+</w:t>
            </w:r>
            <w:r>
              <w:rPr>
                <w:rFonts w:hint="default" w:ascii="Times New Roman" w:hAnsi="Times New Roman" w:cs="Times New Roman"/>
                <w:color w:val="auto"/>
                <w:szCs w:val="21"/>
              </w:rPr>
              <w:t>、Na</w:t>
            </w:r>
            <w:r>
              <w:rPr>
                <w:rFonts w:hint="default" w:ascii="Times New Roman" w:hAnsi="Times New Roman" w:cs="Times New Roman"/>
                <w:color w:val="auto"/>
                <w:szCs w:val="21"/>
                <w:vertAlign w:val="superscript"/>
              </w:rPr>
              <w:t>+</w:t>
            </w:r>
            <w:r>
              <w:rPr>
                <w:rFonts w:hint="default" w:ascii="Times New Roman" w:hAnsi="Times New Roman" w:cs="Times New Roman"/>
                <w:color w:val="auto"/>
                <w:szCs w:val="21"/>
              </w:rPr>
              <w:t>、Ca</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、Mg</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、CO</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、HCO</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4</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、Cl</w:t>
            </w:r>
            <w:r>
              <w:rPr>
                <w:rFonts w:hint="default" w:ascii="Times New Roman" w:hAnsi="Times New Roman" w:cs="Times New Roman"/>
                <w:color w:val="auto"/>
                <w:szCs w:val="21"/>
                <w:vertAlign w:val="superscript"/>
              </w:rPr>
              <w:t>-</w:t>
            </w:r>
            <w:r>
              <w:rPr>
                <w:rFonts w:hint="default" w:ascii="Times New Roman" w:hAnsi="Times New Roman" w:eastAsia="宋体" w:cs="Times New Roman"/>
                <w:color w:val="000000"/>
                <w:kern w:val="0"/>
                <w:sz w:val="21"/>
                <w:szCs w:val="21"/>
                <w:lang w:val="en-US" w:eastAsia="zh-CN" w:bidi="ar"/>
              </w:rPr>
              <w:t>、pH、氨氮、硝酸盐、亚硝酸盐、挥发性酚类、氰化物、砷、汞、铬</w:t>
            </w:r>
            <w:r>
              <w:rPr>
                <w:rFonts w:hint="eastAsia"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六价</w:t>
            </w:r>
            <w:r>
              <w:rPr>
                <w:rFonts w:hint="eastAsia"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、总硬度、铅、氟、镉、铁、锰、溶解性总固体、高锰酸盐指数、硫酸盐、氯化物、总大肠菌群、细菌总数</w:t>
            </w:r>
            <w:r>
              <w:rPr>
                <w:rFonts w:hint="eastAsia" w:ascii="Times New Roman" w:hAnsi="Times New Roman" w:eastAsia="宋体" w:cs="Times New Roman"/>
                <w:color w:val="000000"/>
                <w:kern w:val="0"/>
                <w:sz w:val="21"/>
                <w:szCs w:val="21"/>
                <w:lang w:val="en-US" w:eastAsia="zh-CN" w:bidi="ar"/>
              </w:rPr>
              <w:t>、铬、镍、铜、锌</w:t>
            </w:r>
            <w:r>
              <w:rPr>
                <w:rFonts w:hint="default" w:ascii="Times New Roman" w:hAnsi="Times New Roman" w:cs="Times New Roman"/>
                <w:color w:val="auto"/>
                <w:sz w:val="21"/>
                <w:szCs w:val="21"/>
                <w:highlight w:val="none"/>
                <w:u w:val="none" w:color="auto"/>
              </w:rPr>
              <w:t>、</w:t>
            </w:r>
            <w:r>
              <w:rPr>
                <w:rFonts w:hint="eastAsia" w:ascii="Times New Roman" w:hAnsi="Times New Roman" w:cs="Times New Roman"/>
                <w:color w:val="auto"/>
                <w:sz w:val="21"/>
                <w:szCs w:val="21"/>
                <w:highlight w:val="none"/>
                <w:u w:val="none" w:color="auto"/>
                <w:lang w:val="en-US" w:eastAsia="zh-CN"/>
              </w:rPr>
              <w:t>水深、</w:t>
            </w:r>
            <w:r>
              <w:rPr>
                <w:rFonts w:hint="default" w:ascii="Times New Roman" w:hAnsi="Times New Roman" w:cs="Times New Roman"/>
                <w:color w:val="auto"/>
                <w:sz w:val="21"/>
                <w:szCs w:val="21"/>
                <w:highlight w:val="none"/>
                <w:u w:val="none" w:color="auto"/>
              </w:rPr>
              <w:t>水位</w:t>
            </w:r>
          </w:p>
        </w:tc>
      </w:tr>
      <w:tr w14:paraId="16402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continue"/>
            <w:noWrap/>
            <w:vAlign w:val="center"/>
          </w:tcPr>
          <w:p w14:paraId="7C3C8BF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624" w:type="pct"/>
            <w:noWrap/>
            <w:vAlign w:val="center"/>
          </w:tcPr>
          <w:p w14:paraId="490F510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预测评价</w:t>
            </w:r>
          </w:p>
        </w:tc>
        <w:tc>
          <w:tcPr>
            <w:tcW w:w="3772" w:type="pct"/>
            <w:noWrap/>
            <w:vAlign w:val="center"/>
          </w:tcPr>
          <w:p w14:paraId="37FBB9C7">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kern w:val="0"/>
                <w:sz w:val="21"/>
                <w:szCs w:val="21"/>
                <w:u w:val="none" w:color="auto"/>
                <w:lang w:val="en-US" w:eastAsia="zh-CN" w:bidi="ar"/>
              </w:rPr>
              <w:t>砷、锌、镍、铬</w:t>
            </w:r>
          </w:p>
        </w:tc>
      </w:tr>
      <w:tr w14:paraId="34A703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restart"/>
            <w:noWrap/>
            <w:vAlign w:val="center"/>
          </w:tcPr>
          <w:p w14:paraId="214D49A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土壤</w:t>
            </w:r>
          </w:p>
        </w:tc>
        <w:tc>
          <w:tcPr>
            <w:tcW w:w="624" w:type="pct"/>
            <w:noWrap/>
            <w:vAlign w:val="center"/>
          </w:tcPr>
          <w:p w14:paraId="04F9FF8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现状评价</w:t>
            </w:r>
          </w:p>
        </w:tc>
        <w:tc>
          <w:tcPr>
            <w:tcW w:w="3772" w:type="pct"/>
            <w:noWrap/>
            <w:vAlign w:val="center"/>
          </w:tcPr>
          <w:p w14:paraId="7153EEF5">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pH值、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甲苯、间二甲苯+对二甲苯、邻二甲苯、苯乙烯、硝基苯、苯胺、2-氯酚、苯并[a]蒽、苯并[a]芘、苯并[b]荧蒽、苯并[k]荧蒽、二苯并[a,h]蒽、茚并[1,2,3-cd]芘、萘、䓛</w:t>
            </w:r>
            <w:r>
              <w:rPr>
                <w:rFonts w:hint="eastAsia" w:cs="Times New Roman"/>
                <w:color w:val="auto"/>
                <w:sz w:val="21"/>
                <w:szCs w:val="21"/>
                <w:highlight w:val="none"/>
                <w:u w:val="none" w:color="auto"/>
                <w:lang w:eastAsia="zh-CN"/>
              </w:rPr>
              <w:t>、</w:t>
            </w:r>
            <w:r>
              <w:rPr>
                <w:rFonts w:hint="eastAsia" w:ascii="Times New Roman" w:hAnsi="Times New Roman" w:eastAsia="宋体" w:cs="Times New Roman"/>
                <w:color w:val="auto"/>
                <w:sz w:val="21"/>
                <w:szCs w:val="21"/>
                <w:lang w:val="en-US" w:eastAsia="zh-CN"/>
              </w:rPr>
              <w:t>铬、锌</w:t>
            </w:r>
            <w:r>
              <w:rPr>
                <w:rFonts w:hint="eastAsia" w:ascii="Times New Roman" w:hAnsi="Times New Roman" w:cs="Times New Roman"/>
                <w:szCs w:val="21"/>
                <w:lang w:val="en-US" w:eastAsia="zh-CN"/>
              </w:rPr>
              <w:t>、氰化物</w:t>
            </w:r>
          </w:p>
        </w:tc>
      </w:tr>
      <w:tr w14:paraId="6F858D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continue"/>
            <w:noWrap/>
            <w:vAlign w:val="center"/>
          </w:tcPr>
          <w:p w14:paraId="4D3D99A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624" w:type="pct"/>
            <w:noWrap/>
            <w:vAlign w:val="center"/>
          </w:tcPr>
          <w:p w14:paraId="0EB01C1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预测评价</w:t>
            </w:r>
          </w:p>
        </w:tc>
        <w:tc>
          <w:tcPr>
            <w:tcW w:w="3772" w:type="pct"/>
            <w:noWrap/>
            <w:vAlign w:val="center"/>
          </w:tcPr>
          <w:p w14:paraId="5E7D431E">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w:t>
            </w:r>
          </w:p>
        </w:tc>
      </w:tr>
      <w:tr w14:paraId="2D9C85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restart"/>
            <w:noWrap/>
            <w:vAlign w:val="center"/>
          </w:tcPr>
          <w:p w14:paraId="2698CC5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噪声</w:t>
            </w:r>
          </w:p>
        </w:tc>
        <w:tc>
          <w:tcPr>
            <w:tcW w:w="624" w:type="pct"/>
            <w:noWrap/>
            <w:vAlign w:val="center"/>
          </w:tcPr>
          <w:p w14:paraId="6117DEF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现状评价</w:t>
            </w:r>
          </w:p>
        </w:tc>
        <w:tc>
          <w:tcPr>
            <w:tcW w:w="3772" w:type="pct"/>
            <w:vMerge w:val="restart"/>
            <w:noWrap/>
            <w:vAlign w:val="center"/>
          </w:tcPr>
          <w:p w14:paraId="038A7F7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kern w:val="0"/>
                <w:sz w:val="21"/>
                <w:szCs w:val="21"/>
                <w:highlight w:val="none"/>
                <w:u w:val="none" w:color="auto"/>
                <w:lang w:bidi="ar"/>
              </w:rPr>
              <w:t>等效连续A声级Leq（dB[A]）</w:t>
            </w:r>
          </w:p>
        </w:tc>
      </w:tr>
      <w:tr w14:paraId="30D9A2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vMerge w:val="continue"/>
            <w:noWrap/>
            <w:vAlign w:val="center"/>
          </w:tcPr>
          <w:p w14:paraId="33EAEA0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624" w:type="pct"/>
            <w:noWrap/>
            <w:vAlign w:val="center"/>
          </w:tcPr>
          <w:p w14:paraId="5F2B739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预测评价</w:t>
            </w:r>
          </w:p>
        </w:tc>
        <w:tc>
          <w:tcPr>
            <w:tcW w:w="3772" w:type="pct"/>
            <w:vMerge w:val="continue"/>
            <w:noWrap/>
            <w:vAlign w:val="center"/>
          </w:tcPr>
          <w:p w14:paraId="0428998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4EB397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602" w:type="pct"/>
            <w:noWrap/>
            <w:vAlign w:val="center"/>
          </w:tcPr>
          <w:p w14:paraId="45FC933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固体废物</w:t>
            </w:r>
          </w:p>
        </w:tc>
        <w:tc>
          <w:tcPr>
            <w:tcW w:w="624" w:type="pct"/>
            <w:noWrap/>
            <w:vAlign w:val="center"/>
          </w:tcPr>
          <w:p w14:paraId="5D25E76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影响分析</w:t>
            </w:r>
          </w:p>
        </w:tc>
        <w:tc>
          <w:tcPr>
            <w:tcW w:w="3772" w:type="pct"/>
            <w:noWrap/>
            <w:vAlign w:val="center"/>
          </w:tcPr>
          <w:p w14:paraId="687DB36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kern w:val="0"/>
                <w:sz w:val="21"/>
                <w:szCs w:val="21"/>
                <w:highlight w:val="none"/>
                <w:u w:val="none" w:color="auto"/>
                <w:lang w:bidi="ar"/>
              </w:rPr>
              <w:t>一般工业固体废物、危险废物</w:t>
            </w:r>
          </w:p>
        </w:tc>
      </w:tr>
    </w:tbl>
    <w:p w14:paraId="5DDD3582">
      <w:pPr>
        <w:spacing w:line="240" w:lineRule="auto"/>
        <w:jc w:val="center"/>
        <w:outlineLvl w:val="9"/>
        <w:rPr>
          <w:rFonts w:hint="default" w:ascii="Times New Roman" w:hAnsi="Times New Roman" w:eastAsia="宋体" w:cs="Times New Roman"/>
          <w:color w:val="auto"/>
          <w:sz w:val="21"/>
          <w:szCs w:val="21"/>
          <w:highlight w:val="none"/>
          <w:u w:val="none" w:color="auto"/>
          <w:lang w:val="en-US"/>
        </w:rPr>
      </w:pPr>
      <w:bookmarkStart w:id="237" w:name="_Toc2018"/>
      <w:bookmarkStart w:id="238" w:name="_Toc25194"/>
      <w:bookmarkStart w:id="239" w:name="_Toc30752"/>
      <w:bookmarkStart w:id="240" w:name="_Toc17479"/>
      <w:bookmarkStart w:id="241" w:name="_Toc15119"/>
      <w:r>
        <w:rPr>
          <w:rFonts w:hint="default" w:ascii="Times New Roman" w:hAnsi="Times New Roman" w:cs="Times New Roman"/>
          <w:b/>
          <w:bCs/>
          <w:color w:val="auto"/>
          <w:kern w:val="0"/>
          <w:sz w:val="21"/>
          <w:szCs w:val="21"/>
          <w:highlight w:val="none"/>
          <w:u w:val="none" w:color="auto"/>
          <w:lang w:val="en-US" w:bidi="ar"/>
        </w:rPr>
        <w:t>表2.3-</w:t>
      </w:r>
      <w:r>
        <w:rPr>
          <w:rFonts w:hint="eastAsia" w:cs="Times New Roman"/>
          <w:b/>
          <w:bCs/>
          <w:color w:val="auto"/>
          <w:kern w:val="0"/>
          <w:sz w:val="21"/>
          <w:szCs w:val="21"/>
          <w:highlight w:val="none"/>
          <w:u w:val="none" w:color="auto"/>
          <w:lang w:val="en-US" w:eastAsia="zh-CN" w:bidi="ar"/>
        </w:rPr>
        <w:t>3</w:t>
      </w:r>
      <w:r>
        <w:rPr>
          <w:rFonts w:hint="default" w:ascii="Times New Roman" w:hAnsi="Times New Roman" w:cs="Times New Roman"/>
          <w:b/>
          <w:bCs/>
          <w:color w:val="auto"/>
          <w:kern w:val="0"/>
          <w:sz w:val="21"/>
          <w:szCs w:val="21"/>
          <w:highlight w:val="none"/>
          <w:u w:val="none" w:color="auto"/>
          <w:lang w:val="en-US" w:bidi="ar"/>
        </w:rPr>
        <w:t xml:space="preserve">  </w:t>
      </w:r>
      <w:r>
        <w:rPr>
          <w:rFonts w:hint="eastAsia" w:cs="Times New Roman"/>
          <w:b/>
          <w:bCs/>
          <w:color w:val="auto"/>
          <w:kern w:val="0"/>
          <w:sz w:val="21"/>
          <w:szCs w:val="21"/>
          <w:highlight w:val="none"/>
          <w:u w:val="none" w:color="auto"/>
          <w:lang w:val="en-US" w:eastAsia="zh-CN" w:bidi="ar"/>
        </w:rPr>
        <w:t>生态</w:t>
      </w:r>
      <w:r>
        <w:rPr>
          <w:rFonts w:hint="default" w:ascii="Times New Roman" w:hAnsi="Times New Roman" w:cs="Times New Roman"/>
          <w:b/>
          <w:bCs/>
          <w:color w:val="auto"/>
          <w:kern w:val="0"/>
          <w:sz w:val="21"/>
          <w:szCs w:val="21"/>
          <w:highlight w:val="none"/>
          <w:u w:val="none" w:color="auto"/>
          <w:lang w:val="en-US" w:bidi="ar"/>
        </w:rPr>
        <w:t>评价因子筛选结果一览表</w:t>
      </w:r>
    </w:p>
    <w:tbl>
      <w:tblPr>
        <w:tblStyle w:val="46"/>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39"/>
        <w:gridCol w:w="1369"/>
        <w:gridCol w:w="2669"/>
        <w:gridCol w:w="1766"/>
        <w:gridCol w:w="1255"/>
        <w:gridCol w:w="1090"/>
      </w:tblGrid>
      <w:tr w14:paraId="2379D1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139" w:type="dxa"/>
            <w:tcBorders>
              <w:tl2br w:val="nil"/>
              <w:tr2bl w:val="nil"/>
            </w:tcBorders>
            <w:tcMar>
              <w:left w:w="108" w:type="dxa"/>
              <w:right w:w="108" w:type="dxa"/>
            </w:tcMar>
            <w:vAlign w:val="center"/>
          </w:tcPr>
          <w:p w14:paraId="06FDE4C6">
            <w:pPr>
              <w:spacing w:line="240" w:lineRule="auto"/>
              <w:ind w:firstLine="0" w:firstLineChars="0"/>
              <w:jc w:val="center"/>
              <w:rPr>
                <w:b/>
              </w:rPr>
            </w:pPr>
            <w:r>
              <w:rPr>
                <w:b/>
              </w:rPr>
              <w:t>项目阶段</w:t>
            </w:r>
          </w:p>
        </w:tc>
        <w:tc>
          <w:tcPr>
            <w:tcW w:w="1369" w:type="dxa"/>
            <w:tcBorders>
              <w:tl2br w:val="nil"/>
              <w:tr2bl w:val="nil"/>
            </w:tcBorders>
            <w:tcMar>
              <w:left w:w="108" w:type="dxa"/>
              <w:right w:w="108" w:type="dxa"/>
            </w:tcMar>
            <w:vAlign w:val="center"/>
          </w:tcPr>
          <w:p w14:paraId="6F155F8C">
            <w:pPr>
              <w:spacing w:line="240" w:lineRule="auto"/>
              <w:ind w:firstLine="0" w:firstLineChars="0"/>
              <w:jc w:val="center"/>
              <w:rPr>
                <w:b/>
              </w:rPr>
            </w:pPr>
            <w:r>
              <w:rPr>
                <w:b/>
              </w:rPr>
              <w:t>受影响对象</w:t>
            </w:r>
          </w:p>
        </w:tc>
        <w:tc>
          <w:tcPr>
            <w:tcW w:w="2669" w:type="dxa"/>
            <w:tcBorders>
              <w:tl2br w:val="nil"/>
              <w:tr2bl w:val="nil"/>
            </w:tcBorders>
            <w:tcMar>
              <w:left w:w="108" w:type="dxa"/>
              <w:right w:w="108" w:type="dxa"/>
            </w:tcMar>
            <w:vAlign w:val="center"/>
          </w:tcPr>
          <w:p w14:paraId="5FEF8B6A">
            <w:pPr>
              <w:spacing w:line="240" w:lineRule="auto"/>
              <w:ind w:firstLine="0" w:firstLineChars="0"/>
              <w:jc w:val="center"/>
              <w:rPr>
                <w:b/>
              </w:rPr>
            </w:pPr>
            <w:r>
              <w:rPr>
                <w:b/>
              </w:rPr>
              <w:t>评价因子</w:t>
            </w:r>
          </w:p>
        </w:tc>
        <w:tc>
          <w:tcPr>
            <w:tcW w:w="1766" w:type="dxa"/>
            <w:tcBorders>
              <w:tl2br w:val="nil"/>
              <w:tr2bl w:val="nil"/>
            </w:tcBorders>
            <w:tcMar>
              <w:left w:w="108" w:type="dxa"/>
              <w:right w:w="108" w:type="dxa"/>
            </w:tcMar>
            <w:vAlign w:val="center"/>
          </w:tcPr>
          <w:p w14:paraId="273FE375">
            <w:pPr>
              <w:spacing w:line="240" w:lineRule="auto"/>
              <w:ind w:firstLine="0" w:firstLineChars="0"/>
              <w:jc w:val="center"/>
              <w:rPr>
                <w:b/>
              </w:rPr>
            </w:pPr>
            <w:r>
              <w:rPr>
                <w:b/>
              </w:rPr>
              <w:t>工程内容及影响方式</w:t>
            </w:r>
          </w:p>
        </w:tc>
        <w:tc>
          <w:tcPr>
            <w:tcW w:w="1255" w:type="dxa"/>
            <w:tcBorders>
              <w:tl2br w:val="nil"/>
              <w:tr2bl w:val="nil"/>
            </w:tcBorders>
            <w:tcMar>
              <w:left w:w="108" w:type="dxa"/>
              <w:right w:w="108" w:type="dxa"/>
            </w:tcMar>
            <w:vAlign w:val="center"/>
          </w:tcPr>
          <w:p w14:paraId="69B603FB">
            <w:pPr>
              <w:spacing w:line="240" w:lineRule="auto"/>
              <w:ind w:firstLine="0" w:firstLineChars="0"/>
              <w:jc w:val="center"/>
              <w:rPr>
                <w:b/>
              </w:rPr>
            </w:pPr>
            <w:r>
              <w:rPr>
                <w:b/>
              </w:rPr>
              <w:t>影响性质</w:t>
            </w:r>
          </w:p>
        </w:tc>
        <w:tc>
          <w:tcPr>
            <w:tcW w:w="1090" w:type="dxa"/>
            <w:tcBorders>
              <w:tl2br w:val="nil"/>
              <w:tr2bl w:val="nil"/>
            </w:tcBorders>
            <w:tcMar>
              <w:left w:w="108" w:type="dxa"/>
              <w:right w:w="108" w:type="dxa"/>
            </w:tcMar>
            <w:vAlign w:val="center"/>
          </w:tcPr>
          <w:p w14:paraId="10AB5706">
            <w:pPr>
              <w:spacing w:line="240" w:lineRule="auto"/>
              <w:ind w:firstLine="0" w:firstLineChars="0"/>
              <w:jc w:val="center"/>
              <w:rPr>
                <w:b/>
              </w:rPr>
            </w:pPr>
            <w:r>
              <w:rPr>
                <w:b/>
              </w:rPr>
              <w:t>影响程度</w:t>
            </w:r>
          </w:p>
        </w:tc>
      </w:tr>
      <w:tr w14:paraId="6F1554E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139" w:type="dxa"/>
            <w:vMerge w:val="restart"/>
            <w:tcBorders>
              <w:tl2br w:val="nil"/>
              <w:tr2bl w:val="nil"/>
            </w:tcBorders>
            <w:tcMar>
              <w:left w:w="108" w:type="dxa"/>
              <w:right w:w="108" w:type="dxa"/>
            </w:tcMar>
            <w:vAlign w:val="center"/>
          </w:tcPr>
          <w:p w14:paraId="7B35110C">
            <w:pPr>
              <w:spacing w:line="240" w:lineRule="auto"/>
              <w:ind w:firstLine="0" w:firstLineChars="0"/>
              <w:jc w:val="center"/>
            </w:pPr>
            <w:r>
              <w:t>施工期</w:t>
            </w:r>
          </w:p>
        </w:tc>
        <w:tc>
          <w:tcPr>
            <w:tcW w:w="1369" w:type="dxa"/>
            <w:tcBorders>
              <w:tl2br w:val="nil"/>
              <w:tr2bl w:val="nil"/>
            </w:tcBorders>
            <w:shd w:val="clear" w:color="auto" w:fill="auto"/>
            <w:tcMar>
              <w:left w:w="108" w:type="dxa"/>
              <w:right w:w="108" w:type="dxa"/>
            </w:tcMar>
            <w:vAlign w:val="center"/>
          </w:tcPr>
          <w:p w14:paraId="21DDDB8F">
            <w:pPr>
              <w:spacing w:line="240" w:lineRule="auto"/>
              <w:ind w:firstLine="0" w:firstLineChars="0"/>
              <w:jc w:val="center"/>
              <w:rPr>
                <w:rFonts w:ascii="Times New Roman" w:hAnsi="Times New Roman" w:eastAsia="宋体" w:cs="Times New Roman"/>
                <w:kern w:val="2"/>
                <w:sz w:val="21"/>
                <w:szCs w:val="21"/>
                <w:lang w:val="en-US" w:eastAsia="zh-CN" w:bidi="ar-SA"/>
              </w:rPr>
            </w:pPr>
            <w:r>
              <w:t>生态系统</w:t>
            </w:r>
          </w:p>
        </w:tc>
        <w:tc>
          <w:tcPr>
            <w:tcW w:w="2669" w:type="dxa"/>
            <w:tcBorders>
              <w:tl2br w:val="nil"/>
              <w:tr2bl w:val="nil"/>
            </w:tcBorders>
            <w:shd w:val="clear" w:color="auto" w:fill="auto"/>
            <w:tcMar>
              <w:left w:w="108" w:type="dxa"/>
              <w:right w:w="108" w:type="dxa"/>
            </w:tcMar>
            <w:vAlign w:val="center"/>
          </w:tcPr>
          <w:p w14:paraId="2CDB1838">
            <w:pPr>
              <w:spacing w:line="240" w:lineRule="auto"/>
              <w:ind w:firstLine="0" w:firstLineChars="0"/>
              <w:jc w:val="center"/>
              <w:rPr>
                <w:rFonts w:ascii="Times New Roman" w:hAnsi="Times New Roman" w:eastAsia="宋体" w:cs="Times New Roman"/>
                <w:kern w:val="2"/>
                <w:sz w:val="21"/>
                <w:szCs w:val="21"/>
                <w:lang w:val="en-US" w:eastAsia="zh-CN" w:bidi="ar-SA"/>
              </w:rPr>
            </w:pPr>
            <w:r>
              <w:t>生物量</w:t>
            </w:r>
          </w:p>
        </w:tc>
        <w:tc>
          <w:tcPr>
            <w:tcW w:w="1766" w:type="dxa"/>
            <w:vMerge w:val="restart"/>
            <w:tcBorders>
              <w:tl2br w:val="nil"/>
              <w:tr2bl w:val="nil"/>
            </w:tcBorders>
            <w:tcMar>
              <w:left w:w="108" w:type="dxa"/>
              <w:right w:w="108" w:type="dxa"/>
            </w:tcMar>
            <w:vAlign w:val="center"/>
          </w:tcPr>
          <w:p w14:paraId="529B239C">
            <w:pPr>
              <w:spacing w:line="240" w:lineRule="auto"/>
              <w:ind w:firstLine="0" w:firstLineChars="0"/>
              <w:jc w:val="center"/>
            </w:pPr>
            <w:r>
              <w:rPr>
                <w:rFonts w:hint="eastAsia"/>
                <w:lang w:val="en-US" w:eastAsia="zh-CN"/>
              </w:rPr>
              <w:t>废渣区、取土场</w:t>
            </w:r>
            <w:r>
              <w:t>挖损，</w:t>
            </w:r>
            <w:r>
              <w:rPr>
                <w:rFonts w:hint="eastAsia"/>
                <w:lang w:val="en-US" w:eastAsia="zh-CN"/>
              </w:rPr>
              <w:t>填埋区填埋、</w:t>
            </w:r>
            <w:r>
              <w:t>道路</w:t>
            </w:r>
            <w:r>
              <w:rPr>
                <w:rFonts w:hint="eastAsia"/>
                <w:lang w:val="en-US" w:eastAsia="zh-CN"/>
              </w:rPr>
              <w:t>临时</w:t>
            </w:r>
            <w:r>
              <w:t>压占，施工噪声</w:t>
            </w:r>
          </w:p>
        </w:tc>
        <w:tc>
          <w:tcPr>
            <w:tcW w:w="1255" w:type="dxa"/>
            <w:tcBorders>
              <w:tl2br w:val="nil"/>
              <w:tr2bl w:val="nil"/>
            </w:tcBorders>
            <w:tcMar>
              <w:left w:w="108" w:type="dxa"/>
              <w:right w:w="108" w:type="dxa"/>
            </w:tcMar>
            <w:vAlign w:val="center"/>
          </w:tcPr>
          <w:p w14:paraId="36DA19DC">
            <w:pPr>
              <w:spacing w:line="240" w:lineRule="auto"/>
              <w:ind w:firstLine="0" w:firstLineChars="0"/>
              <w:jc w:val="center"/>
            </w:pPr>
            <w:r>
              <w:t>短期、可逆</w:t>
            </w:r>
          </w:p>
        </w:tc>
        <w:tc>
          <w:tcPr>
            <w:tcW w:w="1090" w:type="dxa"/>
            <w:tcBorders>
              <w:tl2br w:val="nil"/>
              <w:tr2bl w:val="nil"/>
            </w:tcBorders>
            <w:tcMar>
              <w:left w:w="108" w:type="dxa"/>
              <w:right w:w="108" w:type="dxa"/>
            </w:tcMar>
            <w:vAlign w:val="center"/>
          </w:tcPr>
          <w:p w14:paraId="70E7AB22">
            <w:pPr>
              <w:spacing w:line="240" w:lineRule="auto"/>
              <w:ind w:firstLine="0" w:firstLineChars="0"/>
              <w:jc w:val="center"/>
            </w:pPr>
            <w:r>
              <w:t>弱</w:t>
            </w:r>
          </w:p>
        </w:tc>
      </w:tr>
      <w:tr w14:paraId="6DAA6E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139" w:type="dxa"/>
            <w:vMerge w:val="continue"/>
            <w:tcBorders>
              <w:tl2br w:val="nil"/>
              <w:tr2bl w:val="nil"/>
            </w:tcBorders>
            <w:tcMar>
              <w:left w:w="108" w:type="dxa"/>
              <w:right w:w="108" w:type="dxa"/>
            </w:tcMar>
            <w:vAlign w:val="center"/>
          </w:tcPr>
          <w:p w14:paraId="5B700A28">
            <w:pPr>
              <w:spacing w:line="240" w:lineRule="auto"/>
              <w:ind w:firstLine="0" w:firstLineChars="0"/>
              <w:jc w:val="center"/>
            </w:pPr>
          </w:p>
        </w:tc>
        <w:tc>
          <w:tcPr>
            <w:tcW w:w="1369" w:type="dxa"/>
            <w:tcBorders>
              <w:tl2br w:val="nil"/>
              <w:tr2bl w:val="nil"/>
            </w:tcBorders>
            <w:tcMar>
              <w:left w:w="108" w:type="dxa"/>
              <w:right w:w="108" w:type="dxa"/>
            </w:tcMar>
            <w:vAlign w:val="center"/>
          </w:tcPr>
          <w:p w14:paraId="72587295">
            <w:pPr>
              <w:spacing w:line="240" w:lineRule="auto"/>
              <w:ind w:firstLine="0" w:firstLineChars="0"/>
              <w:jc w:val="center"/>
            </w:pPr>
            <w:r>
              <w:t>生态敏感区</w:t>
            </w:r>
          </w:p>
        </w:tc>
        <w:tc>
          <w:tcPr>
            <w:tcW w:w="2669" w:type="dxa"/>
            <w:tcBorders>
              <w:tl2br w:val="nil"/>
              <w:tr2bl w:val="nil"/>
            </w:tcBorders>
            <w:tcMar>
              <w:left w:w="108" w:type="dxa"/>
              <w:right w:w="108" w:type="dxa"/>
            </w:tcMar>
            <w:vAlign w:val="center"/>
          </w:tcPr>
          <w:p w14:paraId="3F9BFF6E">
            <w:pPr>
              <w:spacing w:line="240" w:lineRule="auto"/>
              <w:ind w:firstLine="0" w:firstLineChars="0"/>
              <w:jc w:val="center"/>
            </w:pPr>
            <w:r>
              <w:t>主要保护对象、生态功能</w:t>
            </w:r>
          </w:p>
        </w:tc>
        <w:tc>
          <w:tcPr>
            <w:tcW w:w="1766" w:type="dxa"/>
            <w:vMerge w:val="continue"/>
            <w:tcBorders>
              <w:tl2br w:val="nil"/>
              <w:tr2bl w:val="nil"/>
            </w:tcBorders>
            <w:tcMar>
              <w:left w:w="108" w:type="dxa"/>
              <w:right w:w="108" w:type="dxa"/>
            </w:tcMar>
            <w:vAlign w:val="center"/>
          </w:tcPr>
          <w:p w14:paraId="0EEC9E7B">
            <w:pPr>
              <w:spacing w:line="240" w:lineRule="auto"/>
              <w:ind w:firstLine="0" w:firstLineChars="0"/>
              <w:jc w:val="center"/>
            </w:pPr>
          </w:p>
        </w:tc>
        <w:tc>
          <w:tcPr>
            <w:tcW w:w="1255" w:type="dxa"/>
            <w:tcBorders>
              <w:tl2br w:val="nil"/>
              <w:tr2bl w:val="nil"/>
            </w:tcBorders>
            <w:tcMar>
              <w:left w:w="108" w:type="dxa"/>
              <w:right w:w="108" w:type="dxa"/>
            </w:tcMar>
            <w:vAlign w:val="center"/>
          </w:tcPr>
          <w:p w14:paraId="044FF06B">
            <w:pPr>
              <w:spacing w:line="240" w:lineRule="auto"/>
              <w:ind w:firstLine="0" w:firstLineChars="0"/>
              <w:jc w:val="center"/>
            </w:pPr>
            <w:r>
              <w:t>短期、可逆</w:t>
            </w:r>
          </w:p>
        </w:tc>
        <w:tc>
          <w:tcPr>
            <w:tcW w:w="1090" w:type="dxa"/>
            <w:tcBorders>
              <w:tl2br w:val="nil"/>
              <w:tr2bl w:val="nil"/>
            </w:tcBorders>
            <w:tcMar>
              <w:left w:w="108" w:type="dxa"/>
              <w:right w:w="108" w:type="dxa"/>
            </w:tcMar>
            <w:vAlign w:val="center"/>
          </w:tcPr>
          <w:p w14:paraId="0A5603F9">
            <w:pPr>
              <w:spacing w:line="240" w:lineRule="auto"/>
              <w:ind w:firstLine="0" w:firstLineChars="0"/>
              <w:jc w:val="center"/>
            </w:pPr>
            <w:r>
              <w:t>弱</w:t>
            </w:r>
          </w:p>
        </w:tc>
      </w:tr>
      <w:tr w14:paraId="73894D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1139" w:type="dxa"/>
            <w:vMerge w:val="continue"/>
            <w:tcBorders>
              <w:tl2br w:val="nil"/>
              <w:tr2bl w:val="nil"/>
            </w:tcBorders>
            <w:tcMar>
              <w:left w:w="108" w:type="dxa"/>
              <w:right w:w="108" w:type="dxa"/>
            </w:tcMar>
            <w:vAlign w:val="center"/>
          </w:tcPr>
          <w:p w14:paraId="63D535BA">
            <w:pPr>
              <w:spacing w:line="240" w:lineRule="auto"/>
              <w:ind w:firstLine="0" w:firstLineChars="0"/>
              <w:jc w:val="center"/>
            </w:pPr>
          </w:p>
        </w:tc>
        <w:tc>
          <w:tcPr>
            <w:tcW w:w="1369" w:type="dxa"/>
            <w:tcBorders>
              <w:tl2br w:val="nil"/>
              <w:tr2bl w:val="nil"/>
            </w:tcBorders>
            <w:tcMar>
              <w:left w:w="108" w:type="dxa"/>
              <w:right w:w="108" w:type="dxa"/>
            </w:tcMar>
            <w:vAlign w:val="center"/>
          </w:tcPr>
          <w:p w14:paraId="2D448C47">
            <w:pPr>
              <w:spacing w:line="240" w:lineRule="auto"/>
              <w:ind w:firstLine="0" w:firstLineChars="0"/>
              <w:jc w:val="center"/>
              <w:rPr>
                <w:rFonts w:hint="eastAsia" w:eastAsia="宋体"/>
                <w:lang w:val="en-US" w:eastAsia="zh-CN"/>
              </w:rPr>
            </w:pPr>
            <w:r>
              <w:rPr>
                <w:rFonts w:hint="eastAsia"/>
                <w:lang w:val="en-US" w:eastAsia="zh-CN"/>
              </w:rPr>
              <w:t>土地</w:t>
            </w:r>
          </w:p>
        </w:tc>
        <w:tc>
          <w:tcPr>
            <w:tcW w:w="2669" w:type="dxa"/>
            <w:tcBorders>
              <w:tl2br w:val="nil"/>
              <w:tr2bl w:val="nil"/>
            </w:tcBorders>
            <w:tcMar>
              <w:left w:w="108" w:type="dxa"/>
              <w:right w:w="108" w:type="dxa"/>
            </w:tcMar>
            <w:vAlign w:val="center"/>
          </w:tcPr>
          <w:p w14:paraId="0109A2D6">
            <w:pPr>
              <w:spacing w:line="240" w:lineRule="auto"/>
              <w:ind w:firstLine="0" w:firstLineChars="0"/>
              <w:jc w:val="center"/>
            </w:pPr>
            <w:r>
              <w:rPr>
                <w:rFonts w:hint="eastAsia"/>
                <w:lang w:val="en-US" w:eastAsia="zh-CN"/>
              </w:rPr>
              <w:t>土地利用现状</w:t>
            </w:r>
            <w:r>
              <w:rPr>
                <w:rFonts w:hint="eastAsia"/>
                <w:lang w:eastAsia="zh-CN"/>
              </w:rPr>
              <w:t>、</w:t>
            </w:r>
            <w:r>
              <w:rPr>
                <w:rFonts w:hint="eastAsia"/>
                <w:lang w:val="en-US" w:eastAsia="zh-CN"/>
              </w:rPr>
              <w:t>水土流失</w:t>
            </w:r>
          </w:p>
        </w:tc>
        <w:tc>
          <w:tcPr>
            <w:tcW w:w="1766" w:type="dxa"/>
            <w:vMerge w:val="continue"/>
            <w:tcBorders>
              <w:tl2br w:val="nil"/>
              <w:tr2bl w:val="nil"/>
            </w:tcBorders>
            <w:tcMar>
              <w:left w:w="108" w:type="dxa"/>
              <w:right w:w="108" w:type="dxa"/>
            </w:tcMar>
            <w:vAlign w:val="center"/>
          </w:tcPr>
          <w:p w14:paraId="35E71096">
            <w:pPr>
              <w:spacing w:line="240" w:lineRule="auto"/>
              <w:ind w:firstLine="0" w:firstLineChars="0"/>
              <w:jc w:val="center"/>
            </w:pPr>
          </w:p>
        </w:tc>
        <w:tc>
          <w:tcPr>
            <w:tcW w:w="1255" w:type="dxa"/>
            <w:tcBorders>
              <w:tl2br w:val="nil"/>
              <w:tr2bl w:val="nil"/>
            </w:tcBorders>
            <w:shd w:val="clear" w:color="auto" w:fill="auto"/>
            <w:tcMar>
              <w:left w:w="108" w:type="dxa"/>
              <w:right w:w="108" w:type="dxa"/>
            </w:tcMar>
            <w:vAlign w:val="center"/>
          </w:tcPr>
          <w:p w14:paraId="0280CD88">
            <w:pPr>
              <w:spacing w:line="240" w:lineRule="auto"/>
              <w:ind w:firstLine="0" w:firstLineChars="0"/>
              <w:jc w:val="center"/>
              <w:rPr>
                <w:rFonts w:ascii="Times New Roman" w:hAnsi="Times New Roman" w:eastAsia="宋体" w:cs="Times New Roman"/>
                <w:kern w:val="2"/>
                <w:sz w:val="21"/>
                <w:szCs w:val="21"/>
                <w:lang w:val="en-US" w:eastAsia="zh-CN" w:bidi="ar-SA"/>
              </w:rPr>
            </w:pPr>
            <w:r>
              <w:t>短期、可逆</w:t>
            </w:r>
          </w:p>
        </w:tc>
        <w:tc>
          <w:tcPr>
            <w:tcW w:w="1090" w:type="dxa"/>
            <w:tcBorders>
              <w:tl2br w:val="nil"/>
              <w:tr2bl w:val="nil"/>
            </w:tcBorders>
            <w:shd w:val="clear" w:color="auto" w:fill="auto"/>
            <w:tcMar>
              <w:left w:w="108" w:type="dxa"/>
              <w:right w:w="108" w:type="dxa"/>
            </w:tcMar>
            <w:vAlign w:val="center"/>
          </w:tcPr>
          <w:p w14:paraId="1B796E38">
            <w:pPr>
              <w:spacing w:line="240" w:lineRule="auto"/>
              <w:ind w:firstLine="0" w:firstLineChars="0"/>
              <w:jc w:val="center"/>
              <w:rPr>
                <w:rFonts w:ascii="Times New Roman" w:hAnsi="Times New Roman" w:eastAsia="宋体" w:cs="Times New Roman"/>
                <w:kern w:val="2"/>
                <w:sz w:val="21"/>
                <w:szCs w:val="21"/>
                <w:lang w:val="en-US" w:eastAsia="zh-CN" w:bidi="ar-SA"/>
              </w:rPr>
            </w:pPr>
            <w:r>
              <w:t>弱</w:t>
            </w:r>
          </w:p>
        </w:tc>
      </w:tr>
    </w:tbl>
    <w:p w14:paraId="698F8510">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242" w:name="_Toc13679"/>
      <w:r>
        <w:rPr>
          <w:rFonts w:hint="default" w:ascii="Times New Roman" w:hAnsi="Times New Roman" w:eastAsia="宋体" w:cs="Times New Roman"/>
          <w:color w:val="auto"/>
          <w:sz w:val="30"/>
          <w:szCs w:val="30"/>
          <w:highlight w:val="none"/>
          <w:u w:val="none" w:color="auto"/>
          <w:lang w:val="en-US"/>
        </w:rPr>
        <w:t>2.4区域环境功能区划</w:t>
      </w:r>
      <w:bookmarkEnd w:id="229"/>
      <w:r>
        <w:rPr>
          <w:rFonts w:hint="default" w:ascii="Times New Roman" w:hAnsi="Times New Roman" w:eastAsia="宋体" w:cs="Times New Roman"/>
          <w:color w:val="auto"/>
          <w:sz w:val="30"/>
          <w:szCs w:val="30"/>
          <w:highlight w:val="none"/>
          <w:u w:val="none" w:color="auto"/>
          <w:lang w:val="en-US"/>
        </w:rPr>
        <w:t>和评价标准</w:t>
      </w:r>
      <w:bookmarkEnd w:id="230"/>
      <w:bookmarkEnd w:id="231"/>
      <w:bookmarkEnd w:id="232"/>
      <w:bookmarkEnd w:id="233"/>
      <w:bookmarkEnd w:id="234"/>
      <w:bookmarkEnd w:id="235"/>
      <w:bookmarkEnd w:id="236"/>
      <w:bookmarkEnd w:id="237"/>
      <w:bookmarkEnd w:id="238"/>
      <w:bookmarkEnd w:id="239"/>
      <w:bookmarkEnd w:id="240"/>
      <w:bookmarkEnd w:id="241"/>
      <w:bookmarkEnd w:id="242"/>
    </w:p>
    <w:p w14:paraId="5B3C59A9">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根据项目所在区域环境功能区划要求，项目区域环境功能区划及本次环评执行相关标准分析如下。</w:t>
      </w:r>
    </w:p>
    <w:p w14:paraId="40F9A98C">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243" w:name="_Toc22680"/>
      <w:bookmarkStart w:id="244" w:name="_Toc26651"/>
      <w:bookmarkStart w:id="245" w:name="_Toc6455"/>
      <w:bookmarkStart w:id="246" w:name="_Toc1998"/>
      <w:r>
        <w:rPr>
          <w:rFonts w:hint="default" w:ascii="Times New Roman" w:hAnsi="Times New Roman" w:cs="Times New Roman"/>
          <w:color w:val="auto"/>
          <w:sz w:val="28"/>
          <w:szCs w:val="28"/>
          <w:highlight w:val="none"/>
          <w:u w:val="none" w:color="auto"/>
        </w:rPr>
        <w:t>2.4.1环境功能区划</w:t>
      </w:r>
      <w:bookmarkEnd w:id="243"/>
      <w:bookmarkEnd w:id="244"/>
      <w:bookmarkEnd w:id="245"/>
      <w:bookmarkEnd w:id="246"/>
    </w:p>
    <w:p w14:paraId="3AA6EF3B">
      <w:pPr>
        <w:keepNext w:val="0"/>
        <w:keepLines w:val="0"/>
        <w:pageBreakBefore w:val="0"/>
        <w:widowControl/>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位于</w:t>
      </w:r>
      <w:r>
        <w:rPr>
          <w:rFonts w:hint="eastAsia" w:eastAsia="新宋体" w:cs="Times New Roman"/>
          <w:color w:val="auto"/>
          <w:sz w:val="24"/>
          <w:szCs w:val="24"/>
          <w:highlight w:val="none"/>
          <w:u w:val="none" w:color="auto"/>
          <w:lang w:val="en-US" w:eastAsia="zh-CN"/>
        </w:rPr>
        <w:t>平江县三阳乡</w:t>
      </w:r>
      <w:r>
        <w:rPr>
          <w:rFonts w:hint="default" w:ascii="Times New Roman" w:hAnsi="Times New Roman" w:cs="Times New Roman"/>
          <w:color w:val="auto"/>
          <w:sz w:val="24"/>
          <w:szCs w:val="24"/>
          <w:highlight w:val="none"/>
          <w:u w:val="none" w:color="auto"/>
        </w:rPr>
        <w:t>，根据</w:t>
      </w:r>
      <w:r>
        <w:rPr>
          <w:rFonts w:hint="eastAsia" w:eastAsia="新宋体" w:cs="Times New Roman"/>
          <w:color w:val="auto"/>
          <w:sz w:val="24"/>
          <w:szCs w:val="24"/>
          <w:highlight w:val="none"/>
          <w:u w:val="none" w:color="auto"/>
          <w:lang w:val="en-US" w:eastAsia="zh-CN"/>
        </w:rPr>
        <w:t>平江县</w:t>
      </w:r>
      <w:r>
        <w:rPr>
          <w:rFonts w:hint="default" w:ascii="Times New Roman" w:hAnsi="Times New Roman" w:cs="Times New Roman"/>
          <w:color w:val="auto"/>
          <w:sz w:val="24"/>
          <w:szCs w:val="24"/>
          <w:highlight w:val="none"/>
          <w:u w:val="none" w:color="auto"/>
        </w:rPr>
        <w:t>有关环境功能区划内容及《湖南省主要水系地表水环境功能区划》（DB42/023-2005），结合现场调查情况，项目所在地环境功能区划具体情况见表2.4-1所示。</w:t>
      </w:r>
    </w:p>
    <w:p w14:paraId="50CD46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p>
    <w:p w14:paraId="625A06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p>
    <w:p w14:paraId="1EFC4E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表2.4-1  建设项目所在区域环境功能属性表</w:t>
      </w:r>
    </w:p>
    <w:tbl>
      <w:tblPr>
        <w:tblStyle w:val="46"/>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3" w:type="dxa"/>
          <w:bottom w:w="0" w:type="dxa"/>
          <w:right w:w="113" w:type="dxa"/>
        </w:tblCellMar>
      </w:tblPr>
      <w:tblGrid>
        <w:gridCol w:w="695"/>
        <w:gridCol w:w="2626"/>
        <w:gridCol w:w="5971"/>
      </w:tblGrid>
      <w:tr w14:paraId="0D6982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3C605A47">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编号</w:t>
            </w:r>
          </w:p>
        </w:tc>
        <w:tc>
          <w:tcPr>
            <w:tcW w:w="2626" w:type="dxa"/>
            <w:noWrap w:val="0"/>
            <w:vAlign w:val="center"/>
          </w:tcPr>
          <w:p w14:paraId="120EC462">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功能类别</w:t>
            </w:r>
          </w:p>
        </w:tc>
        <w:tc>
          <w:tcPr>
            <w:tcW w:w="5971" w:type="dxa"/>
            <w:noWrap w:val="0"/>
            <w:vAlign w:val="center"/>
          </w:tcPr>
          <w:p w14:paraId="6AB00C7E">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环境功能属性及执行标准</w:t>
            </w:r>
          </w:p>
        </w:tc>
      </w:tr>
      <w:tr w14:paraId="23F6F7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505E928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p>
        </w:tc>
        <w:tc>
          <w:tcPr>
            <w:tcW w:w="2626" w:type="dxa"/>
            <w:noWrap w:val="0"/>
            <w:vAlign w:val="center"/>
          </w:tcPr>
          <w:p w14:paraId="1328323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环境空气质量功能区</w:t>
            </w:r>
          </w:p>
        </w:tc>
        <w:tc>
          <w:tcPr>
            <w:tcW w:w="5971" w:type="dxa"/>
            <w:noWrap w:val="0"/>
            <w:vAlign w:val="center"/>
          </w:tcPr>
          <w:p w14:paraId="177E262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lang w:val="en-US" w:eastAsia="zh-CN"/>
              </w:rPr>
              <w:t>二类区，执行</w:t>
            </w:r>
            <w:r>
              <w:rPr>
                <w:rFonts w:hint="default" w:ascii="Times New Roman" w:hAnsi="Times New Roman" w:cs="Times New Roman"/>
                <w:color w:val="auto"/>
                <w:sz w:val="21"/>
                <w:szCs w:val="21"/>
                <w:highlight w:val="none"/>
                <w:u w:val="none" w:color="auto"/>
              </w:rPr>
              <w:t>《环境空气质量标准》（GB3095-20</w:t>
            </w:r>
            <w:r>
              <w:rPr>
                <w:rFonts w:hint="eastAsia" w:cs="Times New Roman"/>
                <w:color w:val="auto"/>
                <w:sz w:val="21"/>
                <w:szCs w:val="21"/>
                <w:highlight w:val="none"/>
                <w:u w:val="none" w:color="auto"/>
                <w:lang w:val="en-US" w:eastAsia="zh-CN"/>
              </w:rPr>
              <w:t>26</w:t>
            </w:r>
            <w:r>
              <w:rPr>
                <w:rFonts w:hint="default" w:ascii="Times New Roman" w:hAnsi="Times New Roman" w:cs="Times New Roman"/>
                <w:color w:val="auto"/>
                <w:sz w:val="21"/>
                <w:szCs w:val="21"/>
                <w:highlight w:val="none"/>
                <w:u w:val="none" w:color="auto"/>
              </w:rPr>
              <w:t>）过渡阶段浓度限值中的二级标准限值</w:t>
            </w:r>
          </w:p>
        </w:tc>
      </w:tr>
      <w:tr w14:paraId="22DD98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763ED28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w:t>
            </w:r>
          </w:p>
        </w:tc>
        <w:tc>
          <w:tcPr>
            <w:tcW w:w="2626" w:type="dxa"/>
            <w:noWrap w:val="0"/>
            <w:vAlign w:val="center"/>
          </w:tcPr>
          <w:p w14:paraId="151251E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地表水环境功能区</w:t>
            </w:r>
          </w:p>
        </w:tc>
        <w:tc>
          <w:tcPr>
            <w:tcW w:w="5971" w:type="dxa"/>
            <w:noWrap w:val="0"/>
            <w:vAlign w:val="center"/>
          </w:tcPr>
          <w:p w14:paraId="02A2121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《地表水环境质量标准》（GB3838-2002）的</w:t>
            </w:r>
            <w:r>
              <w:rPr>
                <w:rFonts w:hint="default" w:ascii="Times New Roman" w:hAnsi="Times New Roman" w:eastAsia="宋体" w:cs="Times New Roman"/>
                <w:color w:val="auto"/>
                <w:sz w:val="21"/>
                <w:szCs w:val="21"/>
                <w:highlight w:val="none"/>
                <w:u w:val="none" w:color="auto"/>
              </w:rPr>
              <w:t>Ⅲ</w:t>
            </w:r>
            <w:r>
              <w:rPr>
                <w:rFonts w:hint="default" w:ascii="Times New Roman" w:hAnsi="Times New Roman" w:cs="Times New Roman"/>
                <w:color w:val="auto"/>
                <w:sz w:val="21"/>
                <w:szCs w:val="21"/>
                <w:highlight w:val="none"/>
                <w:u w:val="none" w:color="auto"/>
              </w:rPr>
              <w:t>类标准</w:t>
            </w:r>
          </w:p>
        </w:tc>
      </w:tr>
      <w:tr w14:paraId="3A42F1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38937C6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3</w:t>
            </w:r>
          </w:p>
        </w:tc>
        <w:tc>
          <w:tcPr>
            <w:tcW w:w="2626" w:type="dxa"/>
            <w:noWrap w:val="0"/>
            <w:vAlign w:val="center"/>
          </w:tcPr>
          <w:p w14:paraId="41AAEE7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地下水环境功能区</w:t>
            </w:r>
          </w:p>
        </w:tc>
        <w:tc>
          <w:tcPr>
            <w:tcW w:w="5971" w:type="dxa"/>
            <w:noWrap w:val="0"/>
            <w:vAlign w:val="center"/>
          </w:tcPr>
          <w:p w14:paraId="50AD637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《地下水质量标准》（GB/T14848-2017）</w:t>
            </w:r>
            <w:r>
              <w:rPr>
                <w:rFonts w:hint="default" w:ascii="Times New Roman" w:hAnsi="Times New Roman" w:eastAsia="宋体" w:cs="Times New Roman"/>
                <w:color w:val="auto"/>
                <w:sz w:val="21"/>
                <w:szCs w:val="21"/>
                <w:highlight w:val="none"/>
                <w:u w:val="none" w:color="auto"/>
              </w:rPr>
              <w:t>Ⅲ</w:t>
            </w:r>
            <w:r>
              <w:rPr>
                <w:rFonts w:hint="default" w:ascii="Times New Roman" w:hAnsi="Times New Roman" w:cs="Times New Roman"/>
                <w:color w:val="auto"/>
                <w:sz w:val="21"/>
                <w:szCs w:val="21"/>
                <w:highlight w:val="none"/>
                <w:u w:val="none" w:color="auto"/>
              </w:rPr>
              <w:t>类水质标准</w:t>
            </w:r>
          </w:p>
        </w:tc>
      </w:tr>
      <w:tr w14:paraId="43B060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241B431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w:t>
            </w:r>
          </w:p>
        </w:tc>
        <w:tc>
          <w:tcPr>
            <w:tcW w:w="2626" w:type="dxa"/>
            <w:noWrap w:val="0"/>
            <w:vAlign w:val="center"/>
          </w:tcPr>
          <w:p w14:paraId="507B1D4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声环境功能区</w:t>
            </w:r>
          </w:p>
        </w:tc>
        <w:tc>
          <w:tcPr>
            <w:tcW w:w="5971" w:type="dxa"/>
            <w:noWrap w:val="0"/>
            <w:vAlign w:val="center"/>
          </w:tcPr>
          <w:p w14:paraId="5E73D7F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lang w:val="en-US" w:eastAsia="zh-CN"/>
              </w:rPr>
              <w:t>属于声环境</w:t>
            </w:r>
            <w:r>
              <w:rPr>
                <w:rFonts w:hint="eastAsia" w:cs="Times New Roman"/>
                <w:color w:val="auto"/>
                <w:sz w:val="21"/>
                <w:szCs w:val="21"/>
                <w:highlight w:val="none"/>
                <w:u w:val="none" w:color="auto"/>
                <w:lang w:val="en-US" w:eastAsia="zh-CN"/>
              </w:rPr>
              <w:t>二</w:t>
            </w:r>
            <w:r>
              <w:rPr>
                <w:rFonts w:hint="default" w:ascii="Times New Roman" w:hAnsi="Times New Roman" w:cs="Times New Roman"/>
                <w:color w:val="auto"/>
                <w:sz w:val="21"/>
                <w:szCs w:val="21"/>
                <w:highlight w:val="none"/>
                <w:u w:val="none" w:color="auto"/>
                <w:lang w:val="en-US" w:eastAsia="zh-CN"/>
              </w:rPr>
              <w:t>类区，</w:t>
            </w:r>
            <w:r>
              <w:rPr>
                <w:rFonts w:hint="default" w:ascii="Times New Roman" w:hAnsi="Times New Roman" w:cs="Times New Roman"/>
                <w:color w:val="auto"/>
                <w:sz w:val="21"/>
                <w:szCs w:val="21"/>
                <w:highlight w:val="none"/>
                <w:u w:val="none" w:color="auto"/>
              </w:rPr>
              <w:t>执行《声环境质量标准》（GB3096-2008）中的</w:t>
            </w:r>
            <w:r>
              <w:rPr>
                <w:rFonts w:hint="eastAsia"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rPr>
              <w:t>类标准</w:t>
            </w:r>
          </w:p>
        </w:tc>
      </w:tr>
      <w:tr w14:paraId="1D6260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7437D2C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5</w:t>
            </w:r>
          </w:p>
        </w:tc>
        <w:tc>
          <w:tcPr>
            <w:tcW w:w="2626" w:type="dxa"/>
            <w:noWrap w:val="0"/>
            <w:vAlign w:val="center"/>
          </w:tcPr>
          <w:p w14:paraId="07E48F1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是否基本农田</w:t>
            </w:r>
          </w:p>
        </w:tc>
        <w:tc>
          <w:tcPr>
            <w:tcW w:w="5971" w:type="dxa"/>
            <w:noWrap w:val="0"/>
            <w:vAlign w:val="center"/>
          </w:tcPr>
          <w:p w14:paraId="165FE06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6A7F07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5F26297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6</w:t>
            </w:r>
          </w:p>
        </w:tc>
        <w:tc>
          <w:tcPr>
            <w:tcW w:w="2626" w:type="dxa"/>
            <w:noWrap w:val="0"/>
            <w:vAlign w:val="center"/>
          </w:tcPr>
          <w:p w14:paraId="7564003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是否森林公园</w:t>
            </w:r>
          </w:p>
        </w:tc>
        <w:tc>
          <w:tcPr>
            <w:tcW w:w="5971" w:type="dxa"/>
            <w:noWrap w:val="0"/>
            <w:vAlign w:val="center"/>
          </w:tcPr>
          <w:p w14:paraId="5F76CAF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58C74D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4641681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7</w:t>
            </w:r>
          </w:p>
        </w:tc>
        <w:tc>
          <w:tcPr>
            <w:tcW w:w="2626" w:type="dxa"/>
            <w:noWrap w:val="0"/>
            <w:vAlign w:val="center"/>
          </w:tcPr>
          <w:p w14:paraId="19B3963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是否生态功能保护区</w:t>
            </w:r>
          </w:p>
        </w:tc>
        <w:tc>
          <w:tcPr>
            <w:tcW w:w="5971" w:type="dxa"/>
            <w:noWrap w:val="0"/>
            <w:vAlign w:val="center"/>
          </w:tcPr>
          <w:p w14:paraId="557F301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0C5873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2027194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8</w:t>
            </w:r>
          </w:p>
        </w:tc>
        <w:tc>
          <w:tcPr>
            <w:tcW w:w="2626" w:type="dxa"/>
            <w:noWrap w:val="0"/>
            <w:vAlign w:val="center"/>
          </w:tcPr>
          <w:p w14:paraId="7A279E9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是否水土流失重点防治区</w:t>
            </w:r>
          </w:p>
        </w:tc>
        <w:tc>
          <w:tcPr>
            <w:tcW w:w="5971" w:type="dxa"/>
            <w:noWrap w:val="0"/>
            <w:vAlign w:val="center"/>
          </w:tcPr>
          <w:p w14:paraId="785D3CD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43CFFD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5C930DC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9</w:t>
            </w:r>
          </w:p>
        </w:tc>
        <w:tc>
          <w:tcPr>
            <w:tcW w:w="2626" w:type="dxa"/>
            <w:noWrap w:val="0"/>
            <w:vAlign w:val="center"/>
          </w:tcPr>
          <w:p w14:paraId="6286A33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是否重点文物保护单位</w:t>
            </w:r>
          </w:p>
        </w:tc>
        <w:tc>
          <w:tcPr>
            <w:tcW w:w="5971" w:type="dxa"/>
            <w:noWrap w:val="0"/>
            <w:vAlign w:val="center"/>
          </w:tcPr>
          <w:p w14:paraId="504FE73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28AA57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6C1F6AD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w:t>
            </w:r>
          </w:p>
        </w:tc>
        <w:tc>
          <w:tcPr>
            <w:tcW w:w="2626" w:type="dxa"/>
            <w:noWrap w:val="0"/>
            <w:vAlign w:val="center"/>
          </w:tcPr>
          <w:p w14:paraId="1D7A16A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是否三河、三湖</w:t>
            </w:r>
          </w:p>
        </w:tc>
        <w:tc>
          <w:tcPr>
            <w:tcW w:w="5971" w:type="dxa"/>
            <w:noWrap w:val="0"/>
            <w:vAlign w:val="center"/>
          </w:tcPr>
          <w:p w14:paraId="678E65B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06DD25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31C9115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11</w:t>
            </w:r>
          </w:p>
        </w:tc>
        <w:tc>
          <w:tcPr>
            <w:tcW w:w="2626" w:type="dxa"/>
            <w:noWrap w:val="0"/>
            <w:vAlign w:val="center"/>
          </w:tcPr>
          <w:p w14:paraId="13F6012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是否水库库区</w:t>
            </w:r>
          </w:p>
        </w:tc>
        <w:tc>
          <w:tcPr>
            <w:tcW w:w="5971" w:type="dxa"/>
            <w:noWrap w:val="0"/>
            <w:vAlign w:val="center"/>
          </w:tcPr>
          <w:p w14:paraId="16D31EF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r w14:paraId="28642F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74B2158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12</w:t>
            </w:r>
          </w:p>
        </w:tc>
        <w:tc>
          <w:tcPr>
            <w:tcW w:w="2626" w:type="dxa"/>
            <w:noWrap w:val="0"/>
            <w:vAlign w:val="center"/>
          </w:tcPr>
          <w:p w14:paraId="5C84AC2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是否污水处理厂纳污集水范围</w:t>
            </w:r>
          </w:p>
        </w:tc>
        <w:tc>
          <w:tcPr>
            <w:tcW w:w="5971" w:type="dxa"/>
            <w:noWrap w:val="0"/>
            <w:vAlign w:val="center"/>
          </w:tcPr>
          <w:p w14:paraId="603DA9CF">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eastAsia="zh-CN"/>
              </w:rPr>
            </w:pPr>
            <w:r>
              <w:rPr>
                <w:rFonts w:hint="default" w:ascii="Times New Roman" w:hAnsi="Times New Roman" w:cs="Times New Roman"/>
                <w:color w:val="auto"/>
                <w:sz w:val="21"/>
                <w:szCs w:val="21"/>
                <w:highlight w:val="none"/>
                <w:u w:val="none" w:color="auto"/>
                <w:lang w:eastAsia="zh-CN"/>
              </w:rPr>
              <w:t>是</w:t>
            </w:r>
          </w:p>
        </w:tc>
      </w:tr>
      <w:tr w14:paraId="3186D1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695" w:type="dxa"/>
            <w:noWrap w:val="0"/>
            <w:vAlign w:val="center"/>
          </w:tcPr>
          <w:p w14:paraId="7C2EFC9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13</w:t>
            </w:r>
          </w:p>
        </w:tc>
        <w:tc>
          <w:tcPr>
            <w:tcW w:w="2626" w:type="dxa"/>
            <w:noWrap w:val="0"/>
            <w:vAlign w:val="center"/>
          </w:tcPr>
          <w:p w14:paraId="552D4AB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是否属于生态敏感区</w:t>
            </w:r>
          </w:p>
        </w:tc>
        <w:tc>
          <w:tcPr>
            <w:tcW w:w="5971" w:type="dxa"/>
            <w:noWrap w:val="0"/>
            <w:vAlign w:val="center"/>
          </w:tcPr>
          <w:p w14:paraId="7385457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否</w:t>
            </w:r>
          </w:p>
        </w:tc>
      </w:tr>
    </w:tbl>
    <w:p w14:paraId="253174BD">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247" w:name="_Toc2418"/>
      <w:bookmarkStart w:id="248" w:name="_Toc10634"/>
      <w:bookmarkStart w:id="249" w:name="_Toc11518"/>
      <w:bookmarkStart w:id="250" w:name="_Toc4638"/>
      <w:bookmarkStart w:id="251" w:name="_Toc7460"/>
      <w:r>
        <w:rPr>
          <w:rFonts w:hint="default" w:ascii="Times New Roman" w:hAnsi="Times New Roman" w:cs="Times New Roman"/>
          <w:color w:val="auto"/>
          <w:sz w:val="28"/>
          <w:szCs w:val="28"/>
          <w:highlight w:val="none"/>
          <w:u w:val="none" w:color="auto"/>
        </w:rPr>
        <w:t>2.4.2环境质量评价标准</w:t>
      </w:r>
      <w:bookmarkEnd w:id="247"/>
      <w:bookmarkEnd w:id="248"/>
      <w:bookmarkEnd w:id="249"/>
      <w:bookmarkEnd w:id="250"/>
      <w:bookmarkEnd w:id="251"/>
    </w:p>
    <w:p w14:paraId="3FBEEBCF">
      <w:pPr>
        <w:numPr>
          <w:ilvl w:val="0"/>
          <w:numId w:val="8"/>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大气环境质量标准：</w:t>
      </w:r>
    </w:p>
    <w:p w14:paraId="74B085D9">
      <w:pPr>
        <w:widowControl w:val="0"/>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根据环境空气功能区划分析结果，评价范围内环境空气质量功能区属于二类区。SO</w:t>
      </w:r>
      <w:r>
        <w:rPr>
          <w:rFonts w:hint="default" w:ascii="Times New Roman" w:hAnsi="Times New Roman" w:cs="Times New Roman"/>
          <w:color w:val="auto"/>
          <w:sz w:val="24"/>
          <w:szCs w:val="24"/>
          <w:highlight w:val="none"/>
          <w:u w:val="none" w:color="auto"/>
          <w:vertAlign w:val="subscript"/>
        </w:rPr>
        <w:t>2</w:t>
      </w:r>
      <w:r>
        <w:rPr>
          <w:rFonts w:hint="default" w:ascii="Times New Roman" w:hAnsi="Times New Roman" w:cs="Times New Roman"/>
          <w:color w:val="auto"/>
          <w:sz w:val="24"/>
          <w:szCs w:val="24"/>
          <w:highlight w:val="none"/>
          <w:u w:val="none" w:color="auto"/>
        </w:rPr>
        <w:t>、NO</w:t>
      </w:r>
      <w:r>
        <w:rPr>
          <w:rFonts w:hint="default" w:ascii="Times New Roman" w:hAnsi="Times New Roman" w:cs="Times New Roman"/>
          <w:color w:val="auto"/>
          <w:sz w:val="24"/>
          <w:szCs w:val="24"/>
          <w:highlight w:val="none"/>
          <w:u w:val="none" w:color="auto"/>
          <w:vertAlign w:val="subscript"/>
        </w:rPr>
        <w:t>2</w:t>
      </w:r>
      <w:r>
        <w:rPr>
          <w:rFonts w:hint="default" w:ascii="Times New Roman" w:hAnsi="Times New Roman" w:cs="Times New Roman"/>
          <w:color w:val="auto"/>
          <w:sz w:val="24"/>
          <w:szCs w:val="24"/>
          <w:highlight w:val="none"/>
          <w:u w:val="none" w:color="auto"/>
        </w:rPr>
        <w:t>、PM</w:t>
      </w:r>
      <w:r>
        <w:rPr>
          <w:rFonts w:hint="default" w:ascii="Times New Roman" w:hAnsi="Times New Roman" w:cs="Times New Roman"/>
          <w:color w:val="auto"/>
          <w:sz w:val="24"/>
          <w:szCs w:val="24"/>
          <w:highlight w:val="none"/>
          <w:u w:val="none" w:color="auto"/>
          <w:vertAlign w:val="subscript"/>
        </w:rPr>
        <w:t>10</w:t>
      </w:r>
      <w:r>
        <w:rPr>
          <w:rFonts w:hint="default" w:ascii="Times New Roman" w:hAnsi="Times New Roman" w:cs="Times New Roman"/>
          <w:color w:val="auto"/>
          <w:sz w:val="24"/>
          <w:szCs w:val="24"/>
          <w:highlight w:val="none"/>
          <w:u w:val="none" w:color="auto"/>
        </w:rPr>
        <w:t>、PM</w:t>
      </w:r>
      <w:r>
        <w:rPr>
          <w:rFonts w:hint="default" w:ascii="Times New Roman" w:hAnsi="Times New Roman" w:cs="Times New Roman"/>
          <w:color w:val="auto"/>
          <w:sz w:val="24"/>
          <w:szCs w:val="24"/>
          <w:highlight w:val="none"/>
          <w:u w:val="none" w:color="auto"/>
          <w:vertAlign w:val="subscript"/>
        </w:rPr>
        <w:t>2.5</w:t>
      </w:r>
      <w:r>
        <w:rPr>
          <w:rFonts w:hint="default" w:ascii="Times New Roman" w:hAnsi="Times New Roman" w:cs="Times New Roman"/>
          <w:color w:val="auto"/>
          <w:sz w:val="24"/>
          <w:szCs w:val="24"/>
          <w:highlight w:val="none"/>
          <w:u w:val="none" w:color="auto"/>
        </w:rPr>
        <w:t>、O</w:t>
      </w:r>
      <w:r>
        <w:rPr>
          <w:rFonts w:hint="default" w:ascii="Times New Roman" w:hAnsi="Times New Roman" w:cs="Times New Roman"/>
          <w:color w:val="auto"/>
          <w:sz w:val="24"/>
          <w:szCs w:val="24"/>
          <w:highlight w:val="none"/>
          <w:u w:val="none" w:color="auto"/>
          <w:vertAlign w:val="subscript"/>
        </w:rPr>
        <w:t>3</w:t>
      </w:r>
      <w:r>
        <w:rPr>
          <w:rFonts w:hint="default" w:ascii="Times New Roman" w:hAnsi="Times New Roman" w:cs="Times New Roman"/>
          <w:color w:val="auto"/>
          <w:sz w:val="24"/>
          <w:szCs w:val="24"/>
          <w:highlight w:val="none"/>
          <w:u w:val="none" w:color="auto"/>
        </w:rPr>
        <w:t>、CO</w:t>
      </w:r>
      <w:r>
        <w:rPr>
          <w:rFonts w:hint="eastAsia" w:cs="Times New Roman"/>
          <w:color w:val="auto"/>
          <w:sz w:val="24"/>
          <w:szCs w:val="24"/>
          <w:highlight w:val="none"/>
          <w:u w:val="none" w:color="auto"/>
          <w:lang w:eastAsia="zh-CN"/>
        </w:rPr>
        <w:t>、</w:t>
      </w:r>
      <w:r>
        <w:rPr>
          <w:rFonts w:hint="eastAsia" w:cs="Times New Roman"/>
          <w:color w:val="auto"/>
          <w:sz w:val="24"/>
          <w:szCs w:val="24"/>
          <w:highlight w:val="none"/>
          <w:u w:val="none" w:color="auto"/>
          <w:lang w:val="en-US" w:eastAsia="zh-CN"/>
        </w:rPr>
        <w:t>TSP</w:t>
      </w:r>
      <w:r>
        <w:rPr>
          <w:rFonts w:hint="default" w:ascii="Times New Roman" w:hAnsi="Times New Roman" w:cs="Times New Roman"/>
          <w:color w:val="auto"/>
          <w:sz w:val="24"/>
          <w:szCs w:val="24"/>
          <w:highlight w:val="none"/>
          <w:u w:val="none" w:color="auto"/>
        </w:rPr>
        <w:t>执行《环境空气质量标准》（GB3095-20</w:t>
      </w:r>
      <w:r>
        <w:rPr>
          <w:rFonts w:hint="eastAsia" w:cs="Times New Roman"/>
          <w:color w:val="auto"/>
          <w:sz w:val="24"/>
          <w:szCs w:val="24"/>
          <w:highlight w:val="none"/>
          <w:u w:val="none" w:color="auto"/>
          <w:lang w:val="en-US" w:eastAsia="zh-CN"/>
        </w:rPr>
        <w:t>26</w:t>
      </w:r>
      <w:r>
        <w:rPr>
          <w:rFonts w:hint="default" w:ascii="Times New Roman" w:hAnsi="Times New Roman"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过渡阶段浓度限值中</w:t>
      </w:r>
      <w:r>
        <w:rPr>
          <w:rFonts w:hint="default" w:ascii="Times New Roman" w:hAnsi="Times New Roman" w:cs="Times New Roman"/>
          <w:color w:val="auto"/>
          <w:sz w:val="24"/>
          <w:szCs w:val="24"/>
          <w:highlight w:val="none"/>
          <w:u w:val="none" w:color="auto"/>
        </w:rPr>
        <w:t>的二级标准</w:t>
      </w:r>
      <w:r>
        <w:rPr>
          <w:rFonts w:hint="eastAsia" w:ascii="Times New Roman" w:hAnsi="Times New Roman" w:cs="Times New Roman"/>
          <w:color w:val="auto"/>
          <w:sz w:val="24"/>
          <w:szCs w:val="24"/>
          <w:highlight w:val="none"/>
          <w:u w:val="none" w:color="auto"/>
          <w:lang w:val="en-US" w:eastAsia="zh-CN"/>
        </w:rPr>
        <w:t>限值</w:t>
      </w:r>
      <w:r>
        <w:rPr>
          <w:rFonts w:hint="default" w:ascii="Times New Roman" w:hAnsi="Times New Roman" w:cs="Times New Roman"/>
          <w:color w:val="auto"/>
          <w:sz w:val="24"/>
          <w:szCs w:val="24"/>
          <w:highlight w:val="none"/>
          <w:u w:val="none" w:color="auto"/>
        </w:rPr>
        <w:t>。具体详见表2.4-2。</w:t>
      </w:r>
    </w:p>
    <w:p w14:paraId="20A588D8">
      <w:pPr>
        <w:topLinePunct w:val="0"/>
        <w:spacing w:line="240" w:lineRule="atLeast"/>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表2.4-2  环境空气质量评价执行标准</w:t>
      </w:r>
    </w:p>
    <w:tbl>
      <w:tblPr>
        <w:tblStyle w:val="4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13" w:type="dxa"/>
          <w:bottom w:w="0" w:type="dxa"/>
          <w:right w:w="113" w:type="dxa"/>
        </w:tblCellMar>
      </w:tblPr>
      <w:tblGrid>
        <w:gridCol w:w="735"/>
        <w:gridCol w:w="1531"/>
        <w:gridCol w:w="2071"/>
        <w:gridCol w:w="1531"/>
        <w:gridCol w:w="3431"/>
      </w:tblGrid>
      <w:tr w14:paraId="28C86E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tcBorders>
              <w:tl2br w:val="nil"/>
              <w:tr2bl w:val="nil"/>
            </w:tcBorders>
            <w:noWrap w:val="0"/>
            <w:vAlign w:val="center"/>
          </w:tcPr>
          <w:p w14:paraId="2A647FBD">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序号</w:t>
            </w:r>
          </w:p>
        </w:tc>
        <w:tc>
          <w:tcPr>
            <w:tcW w:w="1531" w:type="dxa"/>
            <w:tcBorders>
              <w:tl2br w:val="nil"/>
              <w:tr2bl w:val="nil"/>
            </w:tcBorders>
            <w:noWrap w:val="0"/>
            <w:vAlign w:val="center"/>
          </w:tcPr>
          <w:p w14:paraId="0247C8C8">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项目</w:t>
            </w:r>
          </w:p>
        </w:tc>
        <w:tc>
          <w:tcPr>
            <w:tcW w:w="2071" w:type="dxa"/>
            <w:tcBorders>
              <w:tl2br w:val="nil"/>
              <w:tr2bl w:val="nil"/>
            </w:tcBorders>
            <w:noWrap w:val="0"/>
            <w:vAlign w:val="center"/>
          </w:tcPr>
          <w:p w14:paraId="5F397529">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取值时间</w:t>
            </w:r>
          </w:p>
        </w:tc>
        <w:tc>
          <w:tcPr>
            <w:tcW w:w="1531" w:type="dxa"/>
            <w:tcBorders>
              <w:tl2br w:val="nil"/>
              <w:tr2bl w:val="nil"/>
            </w:tcBorders>
            <w:noWrap w:val="0"/>
            <w:vAlign w:val="center"/>
          </w:tcPr>
          <w:p w14:paraId="2D7D53B4">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浓度限值</w:t>
            </w:r>
          </w:p>
        </w:tc>
        <w:tc>
          <w:tcPr>
            <w:tcW w:w="3431" w:type="dxa"/>
            <w:tcBorders>
              <w:tl2br w:val="nil"/>
              <w:tr2bl w:val="nil"/>
            </w:tcBorders>
            <w:noWrap w:val="0"/>
            <w:vAlign w:val="center"/>
          </w:tcPr>
          <w:p w14:paraId="3F5A65C1">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标准来源</w:t>
            </w:r>
          </w:p>
        </w:tc>
      </w:tr>
      <w:tr w14:paraId="3917A6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61CF599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p>
        </w:tc>
        <w:tc>
          <w:tcPr>
            <w:tcW w:w="1531" w:type="dxa"/>
            <w:vMerge w:val="restart"/>
            <w:tcBorders>
              <w:tl2br w:val="nil"/>
              <w:tr2bl w:val="nil"/>
            </w:tcBorders>
            <w:noWrap w:val="0"/>
            <w:vAlign w:val="center"/>
          </w:tcPr>
          <w:p w14:paraId="48E4A50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二氧化硫SO</w:t>
            </w:r>
            <w:r>
              <w:rPr>
                <w:rFonts w:hint="default" w:ascii="Times New Roman" w:hAnsi="Times New Roman" w:cs="Times New Roman"/>
                <w:color w:val="auto"/>
                <w:sz w:val="21"/>
                <w:szCs w:val="21"/>
                <w:highlight w:val="none"/>
                <w:u w:val="none" w:color="auto"/>
                <w:vertAlign w:val="subscript"/>
              </w:rPr>
              <w:t>2</w:t>
            </w:r>
          </w:p>
        </w:tc>
        <w:tc>
          <w:tcPr>
            <w:tcW w:w="2071" w:type="dxa"/>
            <w:tcBorders>
              <w:tl2br w:val="nil"/>
              <w:tr2bl w:val="nil"/>
            </w:tcBorders>
            <w:noWrap w:val="0"/>
            <w:vAlign w:val="center"/>
          </w:tcPr>
          <w:p w14:paraId="02A3DD4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1531" w:type="dxa"/>
            <w:tcBorders>
              <w:tl2br w:val="nil"/>
              <w:tr2bl w:val="nil"/>
            </w:tcBorders>
            <w:noWrap w:val="0"/>
            <w:vAlign w:val="center"/>
          </w:tcPr>
          <w:p w14:paraId="5F325E4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60μg/m</w:t>
            </w:r>
            <w:r>
              <w:rPr>
                <w:rFonts w:hint="default" w:ascii="Times New Roman" w:hAnsi="Times New Roman" w:cs="Times New Roman"/>
                <w:color w:val="auto"/>
                <w:sz w:val="21"/>
                <w:szCs w:val="21"/>
                <w:highlight w:val="none"/>
                <w:u w:val="none" w:color="auto"/>
                <w:vertAlign w:val="superscript"/>
              </w:rPr>
              <w:t>3</w:t>
            </w:r>
          </w:p>
        </w:tc>
        <w:tc>
          <w:tcPr>
            <w:tcW w:w="3431" w:type="dxa"/>
            <w:vMerge w:val="restart"/>
            <w:tcBorders>
              <w:tl2br w:val="nil"/>
              <w:tr2bl w:val="nil"/>
            </w:tcBorders>
            <w:noWrap w:val="0"/>
            <w:vAlign w:val="center"/>
          </w:tcPr>
          <w:p w14:paraId="738936D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《环境空气质量标准》（GB3095-20</w:t>
            </w:r>
            <w:r>
              <w:rPr>
                <w:rFonts w:hint="eastAsia" w:cs="Times New Roman"/>
                <w:color w:val="auto"/>
                <w:sz w:val="21"/>
                <w:szCs w:val="21"/>
                <w:highlight w:val="none"/>
                <w:u w:val="none" w:color="auto"/>
                <w:lang w:val="en-US" w:eastAsia="zh-CN"/>
              </w:rPr>
              <w:t>26</w:t>
            </w:r>
            <w:r>
              <w:rPr>
                <w:rFonts w:hint="default" w:ascii="Times New Roman" w:hAnsi="Times New Roman" w:cs="Times New Roman"/>
                <w:color w:val="auto"/>
                <w:sz w:val="21"/>
                <w:szCs w:val="21"/>
                <w:highlight w:val="none"/>
                <w:u w:val="none" w:color="auto"/>
              </w:rPr>
              <w:t>）过渡阶段浓度限值中的二级标准限值</w:t>
            </w:r>
          </w:p>
        </w:tc>
      </w:tr>
      <w:tr w14:paraId="4E98E5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27D5F1A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1C44AAE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3C4277A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noWrap w:val="0"/>
            <w:vAlign w:val="center"/>
          </w:tcPr>
          <w:p w14:paraId="4E108C0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150μg/m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1308AE4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24ED9D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145BD86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534DF3C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03FAAAF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1小时平均</w:t>
            </w:r>
          </w:p>
        </w:tc>
        <w:tc>
          <w:tcPr>
            <w:tcW w:w="1531" w:type="dxa"/>
            <w:tcBorders>
              <w:tl2br w:val="nil"/>
              <w:tr2bl w:val="nil"/>
            </w:tcBorders>
            <w:noWrap w:val="0"/>
            <w:vAlign w:val="center"/>
          </w:tcPr>
          <w:p w14:paraId="6344DF5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500μg/m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6E0D4CE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1B1BD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37AD2110">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2</w:t>
            </w:r>
          </w:p>
        </w:tc>
        <w:tc>
          <w:tcPr>
            <w:tcW w:w="1531" w:type="dxa"/>
            <w:vMerge w:val="restart"/>
            <w:tcBorders>
              <w:tl2br w:val="nil"/>
              <w:tr2bl w:val="nil"/>
            </w:tcBorders>
            <w:noWrap w:val="0"/>
            <w:vAlign w:val="center"/>
          </w:tcPr>
          <w:p w14:paraId="00685BF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二氧化</w:t>
            </w:r>
            <w:r>
              <w:rPr>
                <w:rFonts w:hint="eastAsia" w:cs="Times New Roman"/>
                <w:color w:val="auto"/>
                <w:sz w:val="21"/>
                <w:szCs w:val="21"/>
                <w:highlight w:val="none"/>
                <w:u w:val="none" w:color="auto"/>
                <w:lang w:val="en-US" w:eastAsia="zh-CN"/>
              </w:rPr>
              <w:t>氮</w:t>
            </w:r>
            <w:r>
              <w:rPr>
                <w:rFonts w:hint="eastAsia" w:ascii="Times New Roman" w:hAnsi="Times New Roman" w:cs="Times New Roman"/>
                <w:color w:val="auto"/>
                <w:sz w:val="21"/>
                <w:szCs w:val="21"/>
                <w:highlight w:val="none"/>
                <w:u w:val="none" w:color="auto"/>
                <w:lang w:val="en-US" w:eastAsia="zh-CN"/>
              </w:rPr>
              <w:t>N</w:t>
            </w:r>
            <w:r>
              <w:rPr>
                <w:rFonts w:hint="default" w:ascii="Times New Roman" w:hAnsi="Times New Roman" w:cs="Times New Roman"/>
                <w:color w:val="auto"/>
                <w:sz w:val="21"/>
                <w:szCs w:val="21"/>
                <w:highlight w:val="none"/>
                <w:u w:val="none" w:color="auto"/>
              </w:rPr>
              <w:t>O</w:t>
            </w:r>
            <w:r>
              <w:rPr>
                <w:rFonts w:hint="default" w:ascii="Times New Roman" w:hAnsi="Times New Roman" w:cs="Times New Roman"/>
                <w:color w:val="auto"/>
                <w:sz w:val="21"/>
                <w:szCs w:val="21"/>
                <w:highlight w:val="none"/>
                <w:u w:val="none" w:color="auto"/>
                <w:vertAlign w:val="subscript"/>
              </w:rPr>
              <w:t>2</w:t>
            </w:r>
          </w:p>
        </w:tc>
        <w:tc>
          <w:tcPr>
            <w:tcW w:w="2071" w:type="dxa"/>
            <w:tcBorders>
              <w:tl2br w:val="nil"/>
              <w:tr2bl w:val="nil"/>
            </w:tcBorders>
            <w:noWrap w:val="0"/>
            <w:vAlign w:val="center"/>
          </w:tcPr>
          <w:p w14:paraId="30CDA47E">
            <w:pPr>
              <w:topLinePunct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年平均</w:t>
            </w:r>
          </w:p>
        </w:tc>
        <w:tc>
          <w:tcPr>
            <w:tcW w:w="1531" w:type="dxa"/>
            <w:tcBorders>
              <w:tl2br w:val="nil"/>
              <w:tr2bl w:val="nil"/>
            </w:tcBorders>
            <w:noWrap w:val="0"/>
            <w:vAlign w:val="center"/>
          </w:tcPr>
          <w:p w14:paraId="6D5465C6">
            <w:pPr>
              <w:tabs>
                <w:tab w:val="left" w:pos="1021"/>
              </w:tabs>
              <w:adjustRightInd w:val="0"/>
              <w:snapToGrid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40μg/m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22F87CD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6568D9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7F73802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1789E74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2C7CB0DC">
            <w:pPr>
              <w:topLinePunct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noWrap w:val="0"/>
            <w:vAlign w:val="center"/>
          </w:tcPr>
          <w:p w14:paraId="482BE1E6">
            <w:pPr>
              <w:tabs>
                <w:tab w:val="left" w:pos="1021"/>
              </w:tabs>
              <w:adjustRightInd w:val="0"/>
              <w:snapToGrid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80μg/m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13CFBF2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03A93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25651DA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5CCE218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4AFA8D22">
            <w:pPr>
              <w:topLinePunct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1小时平均</w:t>
            </w:r>
          </w:p>
        </w:tc>
        <w:tc>
          <w:tcPr>
            <w:tcW w:w="1531" w:type="dxa"/>
            <w:tcBorders>
              <w:tl2br w:val="nil"/>
              <w:tr2bl w:val="nil"/>
            </w:tcBorders>
            <w:noWrap w:val="0"/>
            <w:vAlign w:val="center"/>
          </w:tcPr>
          <w:p w14:paraId="32BC514A">
            <w:pPr>
              <w:tabs>
                <w:tab w:val="left" w:pos="1021"/>
              </w:tabs>
              <w:adjustRightInd w:val="0"/>
              <w:snapToGrid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200μg/m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2C705B6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2FE86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56937589">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3</w:t>
            </w:r>
          </w:p>
        </w:tc>
        <w:tc>
          <w:tcPr>
            <w:tcW w:w="1531" w:type="dxa"/>
            <w:vMerge w:val="restart"/>
            <w:tcBorders>
              <w:tl2br w:val="nil"/>
              <w:tr2bl w:val="nil"/>
            </w:tcBorders>
            <w:noWrap w:val="0"/>
            <w:vAlign w:val="center"/>
          </w:tcPr>
          <w:p w14:paraId="370CA8A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PM</w:t>
            </w:r>
            <w:r>
              <w:rPr>
                <w:rFonts w:hint="default" w:ascii="Times New Roman" w:hAnsi="Times New Roman" w:cs="Times New Roman"/>
                <w:color w:val="auto"/>
                <w:sz w:val="21"/>
                <w:szCs w:val="21"/>
                <w:highlight w:val="none"/>
                <w:u w:val="none" w:color="auto"/>
                <w:vertAlign w:val="subscript"/>
              </w:rPr>
              <w:t>10</w:t>
            </w:r>
          </w:p>
        </w:tc>
        <w:tc>
          <w:tcPr>
            <w:tcW w:w="2071" w:type="dxa"/>
            <w:tcBorders>
              <w:tl2br w:val="nil"/>
              <w:tr2bl w:val="nil"/>
            </w:tcBorders>
            <w:noWrap w:val="0"/>
            <w:vAlign w:val="center"/>
          </w:tcPr>
          <w:p w14:paraId="42AED06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1531" w:type="dxa"/>
            <w:tcBorders>
              <w:tl2br w:val="nil"/>
              <w:tr2bl w:val="nil"/>
            </w:tcBorders>
            <w:noWrap w:val="0"/>
            <w:vAlign w:val="center"/>
          </w:tcPr>
          <w:p w14:paraId="1F10DDC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6</w:t>
            </w:r>
            <w:r>
              <w:rPr>
                <w:rFonts w:hint="default" w:ascii="Times New Roman" w:hAnsi="Times New Roman" w:cs="Times New Roman"/>
                <w:color w:val="auto"/>
                <w:sz w:val="21"/>
                <w:szCs w:val="21"/>
                <w:highlight w:val="none"/>
                <w:u w:val="none" w:color="auto"/>
              </w:rPr>
              <w:t>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12DD592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7C1B8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420E9C8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3C3F98C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0B78DB7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noWrap w:val="0"/>
            <w:vAlign w:val="center"/>
          </w:tcPr>
          <w:p w14:paraId="0E88081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r>
              <w:rPr>
                <w:rFonts w:hint="eastAsia"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rPr>
              <w:t>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7CAC5C7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122635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3AA58856">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4</w:t>
            </w:r>
          </w:p>
        </w:tc>
        <w:tc>
          <w:tcPr>
            <w:tcW w:w="1531" w:type="dxa"/>
            <w:vMerge w:val="restart"/>
            <w:tcBorders>
              <w:tl2br w:val="nil"/>
              <w:tr2bl w:val="nil"/>
            </w:tcBorders>
            <w:noWrap w:val="0"/>
            <w:vAlign w:val="center"/>
          </w:tcPr>
          <w:p w14:paraId="15B51F3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PM</w:t>
            </w:r>
            <w:r>
              <w:rPr>
                <w:rFonts w:hint="default" w:ascii="Times New Roman" w:hAnsi="Times New Roman" w:cs="Times New Roman"/>
                <w:color w:val="auto"/>
                <w:sz w:val="21"/>
                <w:szCs w:val="21"/>
                <w:highlight w:val="none"/>
                <w:u w:val="none" w:color="auto"/>
                <w:vertAlign w:val="subscript"/>
              </w:rPr>
              <w:t>2.5</w:t>
            </w:r>
          </w:p>
        </w:tc>
        <w:tc>
          <w:tcPr>
            <w:tcW w:w="2071" w:type="dxa"/>
            <w:tcBorders>
              <w:tl2br w:val="nil"/>
              <w:tr2bl w:val="nil"/>
            </w:tcBorders>
            <w:noWrap w:val="0"/>
            <w:vAlign w:val="center"/>
          </w:tcPr>
          <w:p w14:paraId="5B2D073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1531" w:type="dxa"/>
            <w:tcBorders>
              <w:tl2br w:val="nil"/>
              <w:tr2bl w:val="nil"/>
            </w:tcBorders>
            <w:noWrap w:val="0"/>
            <w:vAlign w:val="center"/>
          </w:tcPr>
          <w:p w14:paraId="3D0306C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3</w:t>
            </w:r>
            <w:r>
              <w:rPr>
                <w:rFonts w:hint="eastAsia" w:cs="Times New Roman"/>
                <w:color w:val="auto"/>
                <w:sz w:val="21"/>
                <w:szCs w:val="21"/>
                <w:highlight w:val="none"/>
                <w:u w:val="none" w:color="auto"/>
                <w:lang w:val="en-US" w:eastAsia="zh-CN"/>
              </w:rPr>
              <w:t>0</w:t>
            </w:r>
            <w:r>
              <w:rPr>
                <w:rFonts w:hint="default" w:ascii="Times New Roman" w:hAnsi="Times New Roman" w:cs="Times New Roman"/>
                <w:color w:val="auto"/>
                <w:sz w:val="21"/>
                <w:szCs w:val="21"/>
                <w:highlight w:val="none"/>
                <w:u w:val="none" w:color="auto"/>
              </w:rPr>
              <w:t>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25E4DDF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58F5B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2325893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49CE9FF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289EF6D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noWrap w:val="0"/>
            <w:vAlign w:val="center"/>
          </w:tcPr>
          <w:p w14:paraId="5A95293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60</w:t>
            </w:r>
            <w:r>
              <w:rPr>
                <w:rFonts w:hint="default" w:ascii="Times New Roman" w:hAnsi="Times New Roman" w:cs="Times New Roman"/>
                <w:color w:val="auto"/>
                <w:sz w:val="21"/>
                <w:szCs w:val="21"/>
                <w:highlight w:val="none"/>
                <w:u w:val="none" w:color="auto"/>
              </w:rPr>
              <w:t>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3E03B84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03107A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1421ED50">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5</w:t>
            </w:r>
          </w:p>
        </w:tc>
        <w:tc>
          <w:tcPr>
            <w:tcW w:w="1531" w:type="dxa"/>
            <w:vMerge w:val="restart"/>
            <w:tcBorders>
              <w:tl2br w:val="nil"/>
              <w:tr2bl w:val="nil"/>
            </w:tcBorders>
            <w:noWrap w:val="0"/>
            <w:vAlign w:val="center"/>
          </w:tcPr>
          <w:p w14:paraId="298E67A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O</w:t>
            </w:r>
            <w:r>
              <w:rPr>
                <w:rFonts w:hint="default" w:ascii="Times New Roman" w:hAnsi="Times New Roman" w:cs="Times New Roman"/>
                <w:color w:val="auto"/>
                <w:sz w:val="21"/>
                <w:szCs w:val="21"/>
                <w:highlight w:val="none"/>
                <w:u w:val="none" w:color="auto"/>
                <w:vertAlign w:val="subscript"/>
              </w:rPr>
              <w:t>3</w:t>
            </w:r>
          </w:p>
        </w:tc>
        <w:tc>
          <w:tcPr>
            <w:tcW w:w="2071" w:type="dxa"/>
            <w:tcBorders>
              <w:tl2br w:val="nil"/>
              <w:tr2bl w:val="nil"/>
            </w:tcBorders>
            <w:noWrap w:val="0"/>
            <w:vAlign w:val="center"/>
          </w:tcPr>
          <w:p w14:paraId="76923D3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1小时平均</w:t>
            </w:r>
          </w:p>
        </w:tc>
        <w:tc>
          <w:tcPr>
            <w:tcW w:w="1531" w:type="dxa"/>
            <w:tcBorders>
              <w:tl2br w:val="nil"/>
              <w:tr2bl w:val="nil"/>
            </w:tcBorders>
            <w:noWrap w:val="0"/>
            <w:vAlign w:val="center"/>
          </w:tcPr>
          <w:p w14:paraId="74B9AF3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200μg/m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13323DA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2D2BD8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33C5E0B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0B0291E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258E393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日最大8小时平均</w:t>
            </w:r>
          </w:p>
        </w:tc>
        <w:tc>
          <w:tcPr>
            <w:tcW w:w="1531" w:type="dxa"/>
            <w:tcBorders>
              <w:tl2br w:val="nil"/>
              <w:tr2bl w:val="nil"/>
            </w:tcBorders>
            <w:noWrap w:val="0"/>
            <w:vAlign w:val="center"/>
          </w:tcPr>
          <w:p w14:paraId="1984841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160μg/m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58590BA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7EA2C7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6F2429F0">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6</w:t>
            </w:r>
          </w:p>
        </w:tc>
        <w:tc>
          <w:tcPr>
            <w:tcW w:w="1531" w:type="dxa"/>
            <w:vMerge w:val="restart"/>
            <w:tcBorders>
              <w:tl2br w:val="nil"/>
              <w:tr2bl w:val="nil"/>
            </w:tcBorders>
            <w:noWrap w:val="0"/>
            <w:vAlign w:val="center"/>
          </w:tcPr>
          <w:p w14:paraId="7B7F9810">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CO</w:t>
            </w:r>
          </w:p>
        </w:tc>
        <w:tc>
          <w:tcPr>
            <w:tcW w:w="2071" w:type="dxa"/>
            <w:tcBorders>
              <w:tl2br w:val="nil"/>
              <w:tr2bl w:val="nil"/>
            </w:tcBorders>
            <w:noWrap w:val="0"/>
            <w:vAlign w:val="center"/>
          </w:tcPr>
          <w:p w14:paraId="0C5CE64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1小时平均</w:t>
            </w:r>
          </w:p>
        </w:tc>
        <w:tc>
          <w:tcPr>
            <w:tcW w:w="1531" w:type="dxa"/>
            <w:tcBorders>
              <w:tl2br w:val="nil"/>
              <w:tr2bl w:val="nil"/>
            </w:tcBorders>
            <w:noWrap w:val="0"/>
            <w:vAlign w:val="center"/>
          </w:tcPr>
          <w:p w14:paraId="7481E91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10mg/m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4566DC1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62C72D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3B23AD1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5DE45DE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64CFA8B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noWrap w:val="0"/>
            <w:vAlign w:val="center"/>
          </w:tcPr>
          <w:p w14:paraId="756708E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4mg/m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53F1B05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3BC93B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restart"/>
            <w:tcBorders>
              <w:tl2br w:val="nil"/>
              <w:tr2bl w:val="nil"/>
            </w:tcBorders>
            <w:noWrap w:val="0"/>
            <w:vAlign w:val="center"/>
          </w:tcPr>
          <w:p w14:paraId="567431C4">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eastAsia="zh-CN"/>
              </w:rPr>
            </w:pPr>
            <w:r>
              <w:rPr>
                <w:rFonts w:hint="eastAsia" w:ascii="Times New Roman" w:hAnsi="Times New Roman" w:cs="Times New Roman"/>
                <w:color w:val="auto"/>
                <w:sz w:val="21"/>
                <w:szCs w:val="21"/>
                <w:highlight w:val="none"/>
                <w:u w:val="none" w:color="auto"/>
                <w:lang w:val="en-US" w:eastAsia="zh-CN"/>
              </w:rPr>
              <w:t>7</w:t>
            </w:r>
          </w:p>
        </w:tc>
        <w:tc>
          <w:tcPr>
            <w:tcW w:w="1531" w:type="dxa"/>
            <w:vMerge w:val="restart"/>
            <w:tcBorders>
              <w:tl2br w:val="nil"/>
              <w:tr2bl w:val="nil"/>
            </w:tcBorders>
            <w:noWrap w:val="0"/>
            <w:vAlign w:val="center"/>
          </w:tcPr>
          <w:p w14:paraId="49B2486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NO</w:t>
            </w:r>
            <w:r>
              <w:rPr>
                <w:rFonts w:hint="default" w:ascii="Times New Roman" w:hAnsi="Times New Roman" w:cs="Times New Roman"/>
                <w:color w:val="auto"/>
                <w:sz w:val="21"/>
                <w:szCs w:val="21"/>
                <w:highlight w:val="none"/>
                <w:u w:val="none" w:color="auto"/>
                <w:vertAlign w:val="subscript"/>
              </w:rPr>
              <w:t>X</w:t>
            </w:r>
          </w:p>
        </w:tc>
        <w:tc>
          <w:tcPr>
            <w:tcW w:w="2071" w:type="dxa"/>
            <w:tcBorders>
              <w:tl2br w:val="nil"/>
              <w:tr2bl w:val="nil"/>
            </w:tcBorders>
            <w:noWrap w:val="0"/>
            <w:vAlign w:val="center"/>
          </w:tcPr>
          <w:p w14:paraId="01E6F29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年平均</w:t>
            </w:r>
          </w:p>
        </w:tc>
        <w:tc>
          <w:tcPr>
            <w:tcW w:w="1531" w:type="dxa"/>
            <w:tcBorders>
              <w:tl2br w:val="nil"/>
              <w:tr2bl w:val="nil"/>
            </w:tcBorders>
            <w:noWrap w:val="0"/>
            <w:vAlign w:val="center"/>
          </w:tcPr>
          <w:p w14:paraId="65BF1C5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ascii="Times New Roman" w:hAnsi="Times New Roman" w:cs="Times New Roman"/>
                <w:color w:val="auto"/>
                <w:sz w:val="21"/>
                <w:szCs w:val="21"/>
                <w:highlight w:val="none"/>
                <w:u w:val="none" w:color="auto"/>
                <w:lang w:val="en-US" w:eastAsia="zh-CN"/>
              </w:rPr>
              <w:t>5</w:t>
            </w:r>
            <w:r>
              <w:rPr>
                <w:rFonts w:hint="default" w:ascii="Times New Roman" w:hAnsi="Times New Roman" w:cs="Times New Roman"/>
                <w:color w:val="auto"/>
                <w:sz w:val="21"/>
                <w:szCs w:val="21"/>
                <w:highlight w:val="none"/>
                <w:u w:val="none" w:color="auto"/>
              </w:rPr>
              <w:t>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39E8291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473BC7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7E710D1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1531" w:type="dxa"/>
            <w:vMerge w:val="continue"/>
            <w:tcBorders>
              <w:tl2br w:val="nil"/>
              <w:tr2bl w:val="nil"/>
            </w:tcBorders>
            <w:noWrap w:val="0"/>
            <w:vAlign w:val="center"/>
          </w:tcPr>
          <w:p w14:paraId="12F31A3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4FA42E8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noWrap w:val="0"/>
            <w:vAlign w:val="center"/>
          </w:tcPr>
          <w:p w14:paraId="0E9D37AE">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0AD7570F">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62C2A9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vMerge w:val="continue"/>
            <w:tcBorders>
              <w:tl2br w:val="nil"/>
              <w:tr2bl w:val="nil"/>
            </w:tcBorders>
            <w:noWrap w:val="0"/>
            <w:vAlign w:val="center"/>
          </w:tcPr>
          <w:p w14:paraId="4C61218B">
            <w:pPr>
              <w:topLinePunct w:val="0"/>
              <w:spacing w:line="240" w:lineRule="auto"/>
              <w:ind w:firstLine="0" w:firstLineChars="0"/>
              <w:jc w:val="center"/>
              <w:rPr>
                <w:rFonts w:hint="default" w:ascii="Times New Roman" w:hAnsi="Times New Roman" w:cs="Times New Roman"/>
                <w:color w:val="auto"/>
                <w:kern w:val="2"/>
                <w:sz w:val="21"/>
                <w:szCs w:val="21"/>
                <w:highlight w:val="none"/>
                <w:u w:val="none" w:color="auto"/>
                <w:lang w:val="en-US" w:eastAsia="zh-CN" w:bidi="ar-SA"/>
              </w:rPr>
            </w:pPr>
          </w:p>
        </w:tc>
        <w:tc>
          <w:tcPr>
            <w:tcW w:w="1531" w:type="dxa"/>
            <w:vMerge w:val="continue"/>
            <w:tcBorders>
              <w:tl2br w:val="nil"/>
              <w:tr2bl w:val="nil"/>
            </w:tcBorders>
            <w:noWrap w:val="0"/>
            <w:vAlign w:val="center"/>
          </w:tcPr>
          <w:p w14:paraId="759DE74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c>
          <w:tcPr>
            <w:tcW w:w="2071" w:type="dxa"/>
            <w:tcBorders>
              <w:tl2br w:val="nil"/>
              <w:tr2bl w:val="nil"/>
            </w:tcBorders>
            <w:noWrap w:val="0"/>
            <w:vAlign w:val="center"/>
          </w:tcPr>
          <w:p w14:paraId="4CD7EE5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1小时平均</w:t>
            </w:r>
          </w:p>
        </w:tc>
        <w:tc>
          <w:tcPr>
            <w:tcW w:w="1531" w:type="dxa"/>
            <w:tcBorders>
              <w:tl2br w:val="nil"/>
              <w:tr2bl w:val="nil"/>
            </w:tcBorders>
            <w:noWrap w:val="0"/>
            <w:vAlign w:val="center"/>
          </w:tcPr>
          <w:p w14:paraId="31E4E14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250μg/m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64860B8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r w14:paraId="057525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3" w:type="dxa"/>
            <w:bottom w:w="0" w:type="dxa"/>
            <w:right w:w="113" w:type="dxa"/>
          </w:tblCellMar>
        </w:tblPrEx>
        <w:trPr>
          <w:trHeight w:val="23" w:hRule="atLeast"/>
          <w:jc w:val="center"/>
        </w:trPr>
        <w:tc>
          <w:tcPr>
            <w:tcW w:w="735" w:type="dxa"/>
            <w:tcBorders>
              <w:tl2br w:val="nil"/>
              <w:tr2bl w:val="nil"/>
            </w:tcBorders>
            <w:shd w:val="clear" w:color="auto" w:fill="auto"/>
            <w:noWrap w:val="0"/>
            <w:vAlign w:val="center"/>
          </w:tcPr>
          <w:p w14:paraId="23A35456">
            <w:pPr>
              <w:topLinePunct w:val="0"/>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8</w:t>
            </w:r>
          </w:p>
        </w:tc>
        <w:tc>
          <w:tcPr>
            <w:tcW w:w="1531" w:type="dxa"/>
            <w:tcBorders>
              <w:tl2br w:val="nil"/>
              <w:tr2bl w:val="nil"/>
            </w:tcBorders>
            <w:noWrap w:val="0"/>
            <w:vAlign w:val="center"/>
          </w:tcPr>
          <w:p w14:paraId="18D58922">
            <w:pPr>
              <w:topLinePunct w:val="0"/>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TSP</w:t>
            </w:r>
          </w:p>
        </w:tc>
        <w:tc>
          <w:tcPr>
            <w:tcW w:w="2071" w:type="dxa"/>
            <w:tcBorders>
              <w:tl2br w:val="nil"/>
              <w:tr2bl w:val="nil"/>
            </w:tcBorders>
            <w:shd w:val="clear" w:color="auto" w:fill="auto"/>
            <w:noWrap w:val="0"/>
            <w:vAlign w:val="center"/>
          </w:tcPr>
          <w:p w14:paraId="2EFFBC2F">
            <w:pPr>
              <w:topLinePunct w:val="0"/>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24小时平均</w:t>
            </w:r>
          </w:p>
        </w:tc>
        <w:tc>
          <w:tcPr>
            <w:tcW w:w="1531" w:type="dxa"/>
            <w:tcBorders>
              <w:tl2br w:val="nil"/>
              <w:tr2bl w:val="nil"/>
            </w:tcBorders>
            <w:shd w:val="clear" w:color="auto" w:fill="auto"/>
            <w:noWrap w:val="0"/>
            <w:vAlign w:val="center"/>
          </w:tcPr>
          <w:p w14:paraId="5EB85747">
            <w:pPr>
              <w:topLinePunct w:val="0"/>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3</w:t>
            </w:r>
            <w:r>
              <w:rPr>
                <w:rFonts w:hint="default" w:ascii="Times New Roman" w:hAnsi="Times New Roman" w:cs="Times New Roman"/>
                <w:color w:val="auto"/>
                <w:sz w:val="21"/>
                <w:szCs w:val="21"/>
                <w:highlight w:val="none"/>
                <w:u w:val="none" w:color="auto"/>
              </w:rPr>
              <w:t>00μg/m</w:t>
            </w:r>
            <w:r>
              <w:rPr>
                <w:rFonts w:hint="default" w:ascii="Times New Roman" w:hAnsi="Times New Roman" w:cs="Times New Roman"/>
                <w:color w:val="auto"/>
                <w:sz w:val="21"/>
                <w:szCs w:val="21"/>
                <w:highlight w:val="none"/>
                <w:u w:val="none" w:color="auto"/>
                <w:vertAlign w:val="superscript"/>
              </w:rPr>
              <w:t>3</w:t>
            </w:r>
          </w:p>
        </w:tc>
        <w:tc>
          <w:tcPr>
            <w:tcW w:w="3431" w:type="dxa"/>
            <w:vMerge w:val="continue"/>
            <w:tcBorders>
              <w:tl2br w:val="nil"/>
              <w:tr2bl w:val="nil"/>
            </w:tcBorders>
            <w:noWrap w:val="0"/>
            <w:vAlign w:val="center"/>
          </w:tcPr>
          <w:p w14:paraId="59B0E71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p>
        </w:tc>
      </w:tr>
    </w:tbl>
    <w:p w14:paraId="44CE248C">
      <w:pPr>
        <w:numPr>
          <w:ilvl w:val="0"/>
          <w:numId w:val="8"/>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地表水环境</w:t>
      </w:r>
    </w:p>
    <w:p w14:paraId="3774C81F">
      <w:pPr>
        <w:topLinePunct w:val="0"/>
        <w:ind w:firstLine="480"/>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val="en-US" w:eastAsia="zh-CN"/>
        </w:rPr>
        <w:t>项目区域地表水</w:t>
      </w:r>
      <w:r>
        <w:rPr>
          <w:rFonts w:hint="default" w:ascii="Times New Roman" w:hAnsi="Times New Roman" w:cs="Times New Roman"/>
          <w:color w:val="auto"/>
          <w:sz w:val="24"/>
          <w:szCs w:val="24"/>
          <w:highlight w:val="none"/>
          <w:u w:val="none" w:color="auto"/>
          <w:lang w:val="en-US" w:eastAsia="zh-CN"/>
        </w:rPr>
        <w:t>执行《地表水环境质量标准》（GB3838-2002</w:t>
      </w:r>
      <w:r>
        <w:rPr>
          <w:rFonts w:hint="default" w:ascii="Times New Roman" w:hAnsi="Times New Roman" w:eastAsia="宋体"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val="en-US" w:eastAsia="zh-CN"/>
        </w:rPr>
        <w:t>Ⅲ</w:t>
      </w:r>
      <w:r>
        <w:rPr>
          <w:rFonts w:hint="default" w:ascii="Times New Roman" w:hAnsi="Times New Roman" w:eastAsia="宋体" w:cs="Times New Roman"/>
          <w:color w:val="auto"/>
          <w:sz w:val="24"/>
          <w:szCs w:val="24"/>
          <w:highlight w:val="none"/>
          <w:u w:val="none" w:color="auto"/>
          <w:lang w:val="en-US" w:eastAsia="zh-CN"/>
        </w:rPr>
        <w:t>类</w:t>
      </w:r>
      <w:r>
        <w:rPr>
          <w:rFonts w:hint="default" w:ascii="Times New Roman" w:hAnsi="Times New Roman" w:cs="Times New Roman"/>
          <w:color w:val="auto"/>
          <w:sz w:val="24"/>
          <w:szCs w:val="24"/>
          <w:highlight w:val="none"/>
          <w:u w:val="none" w:color="auto"/>
          <w:lang w:val="en-US" w:eastAsia="zh-CN"/>
        </w:rPr>
        <w:t>标准。</w:t>
      </w:r>
      <w:r>
        <w:rPr>
          <w:rFonts w:hint="default" w:ascii="Times New Roman" w:hAnsi="Times New Roman" w:cs="Times New Roman"/>
          <w:color w:val="auto"/>
          <w:sz w:val="24"/>
          <w:szCs w:val="24"/>
          <w:highlight w:val="none"/>
          <w:u w:val="none" w:color="auto"/>
        </w:rPr>
        <w:t>具体详见表2.4-3。</w:t>
      </w:r>
    </w:p>
    <w:p w14:paraId="0B541D54">
      <w:pPr>
        <w:topLinePunct w:val="0"/>
        <w:spacing w:line="240" w:lineRule="auto"/>
        <w:ind w:firstLine="0" w:firstLineChars="0"/>
        <w:jc w:val="center"/>
        <w:rPr>
          <w:rFonts w:hint="eastAsia" w:ascii="Times New Roman" w:hAnsi="Times New Roman" w:eastAsia="宋体" w:cs="Times New Roman"/>
          <w:b/>
          <w:bCs/>
          <w:color w:val="auto"/>
          <w:sz w:val="21"/>
          <w:szCs w:val="21"/>
          <w:highlight w:val="none"/>
          <w:u w:val="none" w:color="auto"/>
          <w:lang w:eastAsia="zh-CN"/>
        </w:rPr>
      </w:pPr>
      <w:r>
        <w:rPr>
          <w:rFonts w:hint="default" w:ascii="Times New Roman" w:hAnsi="Times New Roman" w:cs="Times New Roman"/>
          <w:b/>
          <w:bCs/>
          <w:color w:val="auto"/>
          <w:sz w:val="21"/>
          <w:szCs w:val="21"/>
          <w:highlight w:val="none"/>
          <w:u w:val="none" w:color="auto"/>
        </w:rPr>
        <w:t>表2.4-3  《地表水环境质量标准》（GB3838-2002）</w:t>
      </w:r>
    </w:p>
    <w:tbl>
      <w:tblPr>
        <w:tblStyle w:val="46"/>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3" w:type="dxa"/>
          <w:bottom w:w="0" w:type="dxa"/>
          <w:right w:w="113" w:type="dxa"/>
        </w:tblCellMar>
      </w:tblPr>
      <w:tblGrid>
        <w:gridCol w:w="1270"/>
        <w:gridCol w:w="2387"/>
        <w:gridCol w:w="2327"/>
        <w:gridCol w:w="3307"/>
      </w:tblGrid>
      <w:tr w14:paraId="027BCC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0FD34E6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序号</w:t>
            </w:r>
          </w:p>
        </w:tc>
        <w:tc>
          <w:tcPr>
            <w:tcW w:w="1284" w:type="pct"/>
            <w:noWrap w:val="0"/>
            <w:vAlign w:val="center"/>
          </w:tcPr>
          <w:p w14:paraId="2AD97DF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项目</w:t>
            </w:r>
          </w:p>
        </w:tc>
        <w:tc>
          <w:tcPr>
            <w:tcW w:w="1252" w:type="pct"/>
            <w:noWrap w:val="0"/>
            <w:vAlign w:val="center"/>
          </w:tcPr>
          <w:p w14:paraId="445749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单位</w:t>
            </w:r>
          </w:p>
        </w:tc>
        <w:tc>
          <w:tcPr>
            <w:tcW w:w="1779" w:type="pct"/>
            <w:noWrap w:val="0"/>
            <w:vAlign w:val="center"/>
          </w:tcPr>
          <w:p w14:paraId="0D5863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eastAsia" w:ascii="Times New Roman" w:hAnsi="Times New Roman" w:cs="Times New Roman"/>
                <w:b/>
                <w:bCs/>
                <w:color w:val="auto"/>
                <w:sz w:val="21"/>
                <w:szCs w:val="21"/>
                <w:highlight w:val="none"/>
                <w:u w:val="none" w:color="auto"/>
                <w:lang w:eastAsia="zh-CN"/>
              </w:rPr>
              <w:t>Ⅲ</w:t>
            </w:r>
            <w:r>
              <w:rPr>
                <w:rFonts w:hint="default" w:ascii="Times New Roman" w:hAnsi="Times New Roman" w:cs="Times New Roman"/>
                <w:b/>
                <w:bCs/>
                <w:color w:val="auto"/>
                <w:sz w:val="21"/>
                <w:szCs w:val="21"/>
                <w:highlight w:val="none"/>
                <w:u w:val="none" w:color="auto"/>
              </w:rPr>
              <w:t>类标准</w:t>
            </w:r>
          </w:p>
        </w:tc>
      </w:tr>
      <w:tr w14:paraId="6D0ADF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169EAE5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p>
        </w:tc>
        <w:tc>
          <w:tcPr>
            <w:tcW w:w="1284" w:type="pct"/>
            <w:noWrap w:val="0"/>
            <w:vAlign w:val="center"/>
          </w:tcPr>
          <w:p w14:paraId="159693C5">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pH</w:t>
            </w:r>
          </w:p>
        </w:tc>
        <w:tc>
          <w:tcPr>
            <w:tcW w:w="1252" w:type="pct"/>
            <w:noWrap w:val="0"/>
            <w:vAlign w:val="center"/>
          </w:tcPr>
          <w:p w14:paraId="0C06F4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无量纲</w:t>
            </w:r>
          </w:p>
        </w:tc>
        <w:tc>
          <w:tcPr>
            <w:tcW w:w="1779" w:type="pct"/>
            <w:noWrap w:val="0"/>
            <w:vAlign w:val="center"/>
          </w:tcPr>
          <w:p w14:paraId="630447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6~9</w:t>
            </w:r>
          </w:p>
        </w:tc>
      </w:tr>
      <w:tr w14:paraId="77B874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177E225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3</w:t>
            </w:r>
          </w:p>
        </w:tc>
        <w:tc>
          <w:tcPr>
            <w:tcW w:w="1284" w:type="pct"/>
            <w:noWrap w:val="0"/>
            <w:vAlign w:val="center"/>
          </w:tcPr>
          <w:p w14:paraId="0EFAD7D7">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val="0"/>
                <w:color w:val="auto"/>
                <w:kern w:val="2"/>
                <w:sz w:val="21"/>
                <w:szCs w:val="21"/>
                <w:u w:val="none" w:color="auto"/>
                <w:lang w:val="en-US" w:eastAsia="zh-CN" w:bidi="ar-SA"/>
              </w:rPr>
              <w:t>COD</w:t>
            </w:r>
            <w:r>
              <w:rPr>
                <w:rFonts w:hint="default" w:ascii="Times New Roman" w:hAnsi="Times New Roman" w:eastAsia="宋体" w:cs="Times New Roman"/>
                <w:b w:val="0"/>
                <w:bCs w:val="0"/>
                <w:color w:val="auto"/>
                <w:kern w:val="2"/>
                <w:sz w:val="21"/>
                <w:szCs w:val="21"/>
                <w:u w:val="none" w:color="auto"/>
                <w:vertAlign w:val="subscript"/>
                <w:lang w:val="en-US" w:eastAsia="zh-CN" w:bidi="ar-SA"/>
              </w:rPr>
              <w:t>Cr</w:t>
            </w:r>
          </w:p>
        </w:tc>
        <w:tc>
          <w:tcPr>
            <w:tcW w:w="1252" w:type="pct"/>
            <w:noWrap w:val="0"/>
            <w:vAlign w:val="center"/>
          </w:tcPr>
          <w:p w14:paraId="14EBE67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54D072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highlight w:val="none"/>
                <w:u w:val="none" w:color="auto"/>
                <w:lang w:val="en-US" w:eastAsia="zh-CN" w:bidi="ar-SA"/>
              </w:rPr>
            </w:pPr>
            <w:r>
              <w:rPr>
                <w:rFonts w:hint="eastAsia" w:ascii="Times New Roman" w:hAnsi="Times New Roman" w:cs="Times New Roman"/>
                <w:b w:val="0"/>
                <w:bCs w:val="0"/>
                <w:color w:val="auto"/>
                <w:spacing w:val="-2"/>
                <w:sz w:val="21"/>
                <w:szCs w:val="21"/>
                <w:highlight w:val="none"/>
                <w:u w:val="none" w:color="auto"/>
                <w:lang w:val="en-US" w:eastAsia="zh-CN"/>
              </w:rPr>
              <w:t>20</w:t>
            </w:r>
          </w:p>
        </w:tc>
      </w:tr>
      <w:tr w14:paraId="10BB2C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2262BC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w:t>
            </w:r>
          </w:p>
        </w:tc>
        <w:tc>
          <w:tcPr>
            <w:tcW w:w="1284" w:type="pct"/>
            <w:noWrap w:val="0"/>
            <w:vAlign w:val="center"/>
          </w:tcPr>
          <w:p w14:paraId="2DAF31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kern w:val="2"/>
                <w:sz w:val="21"/>
                <w:szCs w:val="21"/>
                <w:u w:val="none" w:color="auto"/>
                <w:lang w:val="en-US" w:eastAsia="zh-CN" w:bidi="ar-SA"/>
              </w:rPr>
            </w:pPr>
            <w:r>
              <w:rPr>
                <w:rFonts w:hint="default" w:ascii="Times New Roman" w:hAnsi="Times New Roman" w:eastAsia="宋体" w:cs="Times New Roman"/>
                <w:b w:val="0"/>
                <w:bCs w:val="0"/>
                <w:color w:val="auto"/>
                <w:sz w:val="21"/>
                <w:szCs w:val="21"/>
                <w:u w:val="none" w:color="auto"/>
                <w:lang w:val="en-US" w:eastAsia="zh-CN"/>
              </w:rPr>
              <w:t>BOD</w:t>
            </w:r>
            <w:r>
              <w:rPr>
                <w:rFonts w:hint="default" w:ascii="Times New Roman" w:hAnsi="Times New Roman" w:eastAsia="宋体" w:cs="Times New Roman"/>
                <w:b w:val="0"/>
                <w:bCs w:val="0"/>
                <w:color w:val="auto"/>
                <w:sz w:val="21"/>
                <w:szCs w:val="21"/>
                <w:u w:val="none" w:color="auto"/>
                <w:vertAlign w:val="subscript"/>
                <w:lang w:val="en-US" w:eastAsia="zh-CN"/>
              </w:rPr>
              <w:t>5</w:t>
            </w:r>
          </w:p>
        </w:tc>
        <w:tc>
          <w:tcPr>
            <w:tcW w:w="1252" w:type="pct"/>
            <w:noWrap w:val="0"/>
            <w:vAlign w:val="center"/>
          </w:tcPr>
          <w:p w14:paraId="6BB4D4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66705E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4</w:t>
            </w:r>
          </w:p>
        </w:tc>
      </w:tr>
      <w:tr w14:paraId="12D973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0515786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5</w:t>
            </w:r>
          </w:p>
        </w:tc>
        <w:tc>
          <w:tcPr>
            <w:tcW w:w="1284" w:type="pct"/>
            <w:noWrap w:val="0"/>
            <w:vAlign w:val="center"/>
          </w:tcPr>
          <w:p w14:paraId="7EAD7A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color w:val="auto"/>
                <w:sz w:val="21"/>
                <w:szCs w:val="21"/>
                <w:u w:val="none" w:color="auto"/>
              </w:rPr>
              <w:t>悬浮物</w:t>
            </w:r>
          </w:p>
        </w:tc>
        <w:tc>
          <w:tcPr>
            <w:tcW w:w="1252" w:type="pct"/>
            <w:noWrap w:val="0"/>
            <w:vAlign w:val="center"/>
          </w:tcPr>
          <w:p w14:paraId="44B4A3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7881FD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w:t>
            </w:r>
          </w:p>
        </w:tc>
      </w:tr>
      <w:tr w14:paraId="1C76CF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4A21466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6</w:t>
            </w:r>
          </w:p>
        </w:tc>
        <w:tc>
          <w:tcPr>
            <w:tcW w:w="1284" w:type="pct"/>
            <w:noWrap w:val="0"/>
            <w:vAlign w:val="center"/>
          </w:tcPr>
          <w:p w14:paraId="35C6BA10">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氨氮</w:t>
            </w:r>
          </w:p>
        </w:tc>
        <w:tc>
          <w:tcPr>
            <w:tcW w:w="1252" w:type="pct"/>
            <w:noWrap w:val="0"/>
            <w:vAlign w:val="center"/>
          </w:tcPr>
          <w:p w14:paraId="185307C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792E45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highlight w:val="none"/>
                <w:u w:val="none" w:color="auto"/>
                <w:lang w:val="en-US" w:eastAsia="zh-CN" w:bidi="ar-SA"/>
              </w:rPr>
            </w:pPr>
            <w:r>
              <w:rPr>
                <w:rFonts w:hint="eastAsia" w:ascii="Times New Roman" w:hAnsi="Times New Roman" w:cs="Times New Roman"/>
                <w:b w:val="0"/>
                <w:bCs w:val="0"/>
                <w:color w:val="auto"/>
                <w:spacing w:val="-2"/>
                <w:sz w:val="21"/>
                <w:szCs w:val="21"/>
                <w:highlight w:val="none"/>
                <w:u w:val="none" w:color="auto"/>
                <w:lang w:val="en-US" w:eastAsia="zh-CN"/>
              </w:rPr>
              <w:t>1.0</w:t>
            </w:r>
          </w:p>
        </w:tc>
      </w:tr>
      <w:tr w14:paraId="7BACF0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0990B0E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7</w:t>
            </w:r>
          </w:p>
        </w:tc>
        <w:tc>
          <w:tcPr>
            <w:tcW w:w="1284" w:type="pct"/>
            <w:noWrap w:val="0"/>
            <w:vAlign w:val="center"/>
          </w:tcPr>
          <w:p w14:paraId="4A7CC75F">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总磷</w:t>
            </w:r>
          </w:p>
        </w:tc>
        <w:tc>
          <w:tcPr>
            <w:tcW w:w="1252" w:type="pct"/>
            <w:noWrap w:val="0"/>
            <w:vAlign w:val="center"/>
          </w:tcPr>
          <w:p w14:paraId="3CD461A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0D909A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0.2</w:t>
            </w:r>
          </w:p>
        </w:tc>
      </w:tr>
      <w:tr w14:paraId="0096C0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271A58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8</w:t>
            </w:r>
          </w:p>
        </w:tc>
        <w:tc>
          <w:tcPr>
            <w:tcW w:w="1284" w:type="pct"/>
            <w:noWrap w:val="0"/>
            <w:vAlign w:val="center"/>
          </w:tcPr>
          <w:p w14:paraId="0F3E150D">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总氮</w:t>
            </w:r>
          </w:p>
        </w:tc>
        <w:tc>
          <w:tcPr>
            <w:tcW w:w="1252" w:type="pct"/>
            <w:noWrap w:val="0"/>
            <w:vAlign w:val="center"/>
          </w:tcPr>
          <w:p w14:paraId="4F3088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2C0812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spacing w:val="-2"/>
                <w:kern w:val="2"/>
                <w:sz w:val="21"/>
                <w:szCs w:val="21"/>
                <w:u w:val="none" w:color="auto"/>
                <w:lang w:val="en-US" w:eastAsia="zh-CN" w:bidi="ar-SA"/>
              </w:rPr>
            </w:pPr>
            <w:r>
              <w:rPr>
                <w:rFonts w:hint="eastAsia" w:cs="Times New Roman"/>
                <w:b w:val="0"/>
                <w:bCs w:val="0"/>
                <w:color w:val="auto"/>
                <w:spacing w:val="-2"/>
                <w:sz w:val="21"/>
                <w:szCs w:val="21"/>
                <w:u w:val="none" w:color="auto"/>
                <w:lang w:val="en-US" w:eastAsia="zh-CN"/>
              </w:rPr>
              <w:t>/</w:t>
            </w:r>
          </w:p>
        </w:tc>
      </w:tr>
      <w:tr w14:paraId="7D1EF4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7E8CDAE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9</w:t>
            </w:r>
          </w:p>
        </w:tc>
        <w:tc>
          <w:tcPr>
            <w:tcW w:w="1284" w:type="pct"/>
            <w:noWrap w:val="0"/>
            <w:vAlign w:val="center"/>
          </w:tcPr>
          <w:p w14:paraId="14E7F6CF">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石油类</w:t>
            </w:r>
          </w:p>
        </w:tc>
        <w:tc>
          <w:tcPr>
            <w:tcW w:w="1252" w:type="pct"/>
            <w:noWrap w:val="0"/>
            <w:vAlign w:val="center"/>
          </w:tcPr>
          <w:p w14:paraId="5C2903C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61C883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0.05</w:t>
            </w:r>
          </w:p>
        </w:tc>
      </w:tr>
      <w:tr w14:paraId="04A1E4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528363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10</w:t>
            </w:r>
          </w:p>
        </w:tc>
        <w:tc>
          <w:tcPr>
            <w:tcW w:w="1284" w:type="pct"/>
            <w:noWrap w:val="0"/>
            <w:vAlign w:val="center"/>
          </w:tcPr>
          <w:p w14:paraId="417F8A9B">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阴离子表面活性剂</w:t>
            </w:r>
          </w:p>
        </w:tc>
        <w:tc>
          <w:tcPr>
            <w:tcW w:w="1252" w:type="pct"/>
            <w:noWrap w:val="0"/>
            <w:vAlign w:val="center"/>
          </w:tcPr>
          <w:p w14:paraId="3182FCC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00AA6C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0.2</w:t>
            </w:r>
          </w:p>
        </w:tc>
      </w:tr>
      <w:tr w14:paraId="25EFF1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63519E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11</w:t>
            </w:r>
          </w:p>
        </w:tc>
        <w:tc>
          <w:tcPr>
            <w:tcW w:w="1284" w:type="pct"/>
            <w:noWrap w:val="0"/>
            <w:vAlign w:val="center"/>
          </w:tcPr>
          <w:p w14:paraId="512F0A71">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铜</w:t>
            </w:r>
          </w:p>
        </w:tc>
        <w:tc>
          <w:tcPr>
            <w:tcW w:w="1252" w:type="pct"/>
            <w:noWrap w:val="0"/>
            <w:vAlign w:val="center"/>
          </w:tcPr>
          <w:p w14:paraId="60B113B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0CC3E7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1.0</w:t>
            </w:r>
          </w:p>
        </w:tc>
      </w:tr>
      <w:tr w14:paraId="7547C8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07208E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12</w:t>
            </w:r>
          </w:p>
        </w:tc>
        <w:tc>
          <w:tcPr>
            <w:tcW w:w="1284" w:type="pct"/>
            <w:noWrap w:val="0"/>
            <w:vAlign w:val="center"/>
          </w:tcPr>
          <w:p w14:paraId="1A815370">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铅</w:t>
            </w:r>
          </w:p>
        </w:tc>
        <w:tc>
          <w:tcPr>
            <w:tcW w:w="1252" w:type="pct"/>
            <w:noWrap w:val="0"/>
            <w:vAlign w:val="center"/>
          </w:tcPr>
          <w:p w14:paraId="765464F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0FE7CA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0.05</w:t>
            </w:r>
          </w:p>
        </w:tc>
      </w:tr>
      <w:tr w14:paraId="53A950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581EFC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13</w:t>
            </w:r>
          </w:p>
        </w:tc>
        <w:tc>
          <w:tcPr>
            <w:tcW w:w="1284" w:type="pct"/>
            <w:noWrap w:val="0"/>
            <w:vAlign w:val="center"/>
          </w:tcPr>
          <w:p w14:paraId="0DBD61D6">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砷</w:t>
            </w:r>
          </w:p>
        </w:tc>
        <w:tc>
          <w:tcPr>
            <w:tcW w:w="1252" w:type="pct"/>
            <w:noWrap w:val="0"/>
            <w:vAlign w:val="center"/>
          </w:tcPr>
          <w:p w14:paraId="3E7D95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793BEB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0.05</w:t>
            </w:r>
          </w:p>
        </w:tc>
      </w:tr>
      <w:tr w14:paraId="583379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5BE049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14</w:t>
            </w:r>
          </w:p>
        </w:tc>
        <w:tc>
          <w:tcPr>
            <w:tcW w:w="1284" w:type="pct"/>
            <w:noWrap w:val="0"/>
            <w:vAlign w:val="center"/>
          </w:tcPr>
          <w:p w14:paraId="769D3F15">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汞</w:t>
            </w:r>
          </w:p>
        </w:tc>
        <w:tc>
          <w:tcPr>
            <w:tcW w:w="1252" w:type="pct"/>
            <w:noWrap w:val="0"/>
            <w:vAlign w:val="center"/>
          </w:tcPr>
          <w:p w14:paraId="324768C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423451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kern w:val="2"/>
                <w:sz w:val="21"/>
                <w:szCs w:val="21"/>
                <w:u w:val="none" w:color="auto"/>
                <w:lang w:val="en-US" w:eastAsia="zh-CN" w:bidi="ar-SA"/>
              </w:rPr>
              <w:t>0.0001</w:t>
            </w:r>
          </w:p>
        </w:tc>
      </w:tr>
      <w:tr w14:paraId="082F1D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65A2FB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15</w:t>
            </w:r>
          </w:p>
        </w:tc>
        <w:tc>
          <w:tcPr>
            <w:tcW w:w="1284" w:type="pct"/>
            <w:noWrap w:val="0"/>
            <w:vAlign w:val="center"/>
          </w:tcPr>
          <w:p w14:paraId="7B87C98C">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锌</w:t>
            </w:r>
          </w:p>
        </w:tc>
        <w:tc>
          <w:tcPr>
            <w:tcW w:w="1252" w:type="pct"/>
            <w:noWrap w:val="0"/>
            <w:vAlign w:val="center"/>
          </w:tcPr>
          <w:p w14:paraId="738407F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0E8A65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1.0</w:t>
            </w:r>
          </w:p>
        </w:tc>
      </w:tr>
      <w:tr w14:paraId="417F9F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4FE189A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16</w:t>
            </w:r>
          </w:p>
        </w:tc>
        <w:tc>
          <w:tcPr>
            <w:tcW w:w="1284" w:type="pct"/>
            <w:noWrap w:val="0"/>
            <w:vAlign w:val="center"/>
          </w:tcPr>
          <w:p w14:paraId="225E1689">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镉</w:t>
            </w:r>
          </w:p>
        </w:tc>
        <w:tc>
          <w:tcPr>
            <w:tcW w:w="1252" w:type="pct"/>
            <w:noWrap w:val="0"/>
            <w:vAlign w:val="center"/>
          </w:tcPr>
          <w:p w14:paraId="61531E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4E2479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0.005</w:t>
            </w:r>
          </w:p>
        </w:tc>
      </w:tr>
      <w:tr w14:paraId="4493EE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683" w:type="pct"/>
            <w:noWrap w:val="0"/>
            <w:vAlign w:val="center"/>
          </w:tcPr>
          <w:p w14:paraId="772CC37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17</w:t>
            </w:r>
          </w:p>
        </w:tc>
        <w:tc>
          <w:tcPr>
            <w:tcW w:w="1284" w:type="pct"/>
            <w:noWrap w:val="0"/>
            <w:vAlign w:val="center"/>
          </w:tcPr>
          <w:p w14:paraId="47AC6F2C">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铬（六价）</w:t>
            </w:r>
          </w:p>
        </w:tc>
        <w:tc>
          <w:tcPr>
            <w:tcW w:w="1252" w:type="pct"/>
            <w:noWrap w:val="0"/>
            <w:vAlign w:val="center"/>
          </w:tcPr>
          <w:p w14:paraId="0D68D6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1779" w:type="pct"/>
            <w:noWrap w:val="0"/>
            <w:vAlign w:val="center"/>
          </w:tcPr>
          <w:p w14:paraId="1BE55C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0.05</w:t>
            </w:r>
          </w:p>
        </w:tc>
      </w:tr>
      <w:tr w14:paraId="6D5B3D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0" w:type="auto"/>
            <w:shd w:val="clear" w:color="auto" w:fill="auto"/>
            <w:noWrap w:val="0"/>
            <w:vAlign w:val="center"/>
          </w:tcPr>
          <w:p w14:paraId="2EE2166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val="en-US" w:eastAsia="zh-CN"/>
              </w:rPr>
              <w:t>18</w:t>
            </w:r>
          </w:p>
        </w:tc>
        <w:tc>
          <w:tcPr>
            <w:tcW w:w="0" w:type="auto"/>
            <w:noWrap w:val="0"/>
            <w:vAlign w:val="center"/>
          </w:tcPr>
          <w:p w14:paraId="45806C89">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镍</w:t>
            </w:r>
          </w:p>
        </w:tc>
        <w:tc>
          <w:tcPr>
            <w:tcW w:w="0" w:type="auto"/>
            <w:noWrap w:val="0"/>
            <w:vAlign w:val="top"/>
          </w:tcPr>
          <w:p w14:paraId="4D9DCBC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0" w:type="auto"/>
            <w:noWrap w:val="0"/>
            <w:vAlign w:val="center"/>
          </w:tcPr>
          <w:p w14:paraId="145041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cs="Times New Roman"/>
                <w:b w:val="0"/>
                <w:bCs w:val="0"/>
                <w:color w:val="auto"/>
                <w:spacing w:val="-2"/>
                <w:sz w:val="21"/>
                <w:szCs w:val="21"/>
                <w:u w:val="none" w:color="auto"/>
                <w:lang w:val="en-US" w:eastAsia="zh-CN"/>
              </w:rPr>
              <w:t>0.02（参照执行）</w:t>
            </w:r>
          </w:p>
        </w:tc>
      </w:tr>
      <w:tr w14:paraId="5F8CFB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0" w:type="auto"/>
            <w:shd w:val="clear" w:color="auto" w:fill="auto"/>
            <w:noWrap w:val="0"/>
            <w:vAlign w:val="center"/>
          </w:tcPr>
          <w:p w14:paraId="3299BF6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cs="Times New Roman"/>
                <w:color w:val="auto"/>
                <w:sz w:val="21"/>
                <w:szCs w:val="21"/>
                <w:highlight w:val="none"/>
                <w:u w:val="none" w:color="auto"/>
                <w:lang w:val="en-US" w:eastAsia="zh-CN"/>
              </w:rPr>
              <w:t>19</w:t>
            </w:r>
          </w:p>
        </w:tc>
        <w:tc>
          <w:tcPr>
            <w:tcW w:w="0" w:type="auto"/>
            <w:noWrap w:val="0"/>
            <w:vAlign w:val="center"/>
          </w:tcPr>
          <w:p w14:paraId="4428FD05">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粪大肠菌群</w:t>
            </w:r>
          </w:p>
        </w:tc>
        <w:tc>
          <w:tcPr>
            <w:tcW w:w="0" w:type="auto"/>
            <w:noWrap w:val="0"/>
            <w:vAlign w:val="top"/>
          </w:tcPr>
          <w:p w14:paraId="268422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eastAsia" w:ascii="Times New Roman" w:hAnsi="Times New Roman" w:cs="Times New Roman"/>
                <w:b w:val="0"/>
                <w:bCs w:val="0"/>
                <w:color w:val="auto"/>
                <w:sz w:val="21"/>
                <w:szCs w:val="21"/>
                <w:highlight w:val="none"/>
                <w:u w:val="none" w:color="auto"/>
                <w:lang w:val="en-US" w:eastAsia="zh-CN"/>
              </w:rPr>
              <w:t>MPN</w:t>
            </w:r>
            <w:r>
              <w:rPr>
                <w:rFonts w:hint="default" w:ascii="Times New Roman" w:hAnsi="Times New Roman" w:cs="Times New Roman"/>
                <w:b w:val="0"/>
                <w:bCs w:val="0"/>
                <w:color w:val="auto"/>
                <w:sz w:val="21"/>
                <w:szCs w:val="21"/>
                <w:highlight w:val="none"/>
                <w:u w:val="none" w:color="auto"/>
              </w:rPr>
              <w:t>/</w:t>
            </w:r>
            <w:r>
              <w:rPr>
                <w:rFonts w:hint="eastAsia" w:ascii="Times New Roman" w:hAnsi="Times New Roman" w:cs="Times New Roman"/>
                <w:b w:val="0"/>
                <w:bCs w:val="0"/>
                <w:color w:val="auto"/>
                <w:sz w:val="21"/>
                <w:szCs w:val="21"/>
                <w:highlight w:val="none"/>
                <w:u w:val="none" w:color="auto"/>
                <w:lang w:val="en-US" w:eastAsia="zh-CN"/>
              </w:rPr>
              <w:t>L</w:t>
            </w:r>
          </w:p>
        </w:tc>
        <w:tc>
          <w:tcPr>
            <w:tcW w:w="0" w:type="auto"/>
            <w:noWrap w:val="0"/>
            <w:vAlign w:val="center"/>
          </w:tcPr>
          <w:p w14:paraId="592FCB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10000</w:t>
            </w:r>
          </w:p>
        </w:tc>
      </w:tr>
      <w:tr w14:paraId="0DE28D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0" w:type="auto"/>
            <w:shd w:val="clear" w:color="auto" w:fill="auto"/>
            <w:noWrap w:val="0"/>
            <w:vAlign w:val="top"/>
          </w:tcPr>
          <w:p w14:paraId="32AC086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20</w:t>
            </w:r>
          </w:p>
        </w:tc>
        <w:tc>
          <w:tcPr>
            <w:tcW w:w="0" w:type="auto"/>
            <w:noWrap w:val="0"/>
            <w:vAlign w:val="center"/>
          </w:tcPr>
          <w:p w14:paraId="685CAEE3">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氟化物</w:t>
            </w:r>
          </w:p>
        </w:tc>
        <w:tc>
          <w:tcPr>
            <w:tcW w:w="0" w:type="auto"/>
            <w:noWrap w:val="0"/>
            <w:vAlign w:val="top"/>
          </w:tcPr>
          <w:p w14:paraId="1CDA4C0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0" w:type="auto"/>
            <w:noWrap w:val="0"/>
            <w:vAlign w:val="center"/>
          </w:tcPr>
          <w:p w14:paraId="4D3781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1.0</w:t>
            </w:r>
          </w:p>
        </w:tc>
      </w:tr>
      <w:tr w14:paraId="498FE0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0" w:type="auto"/>
            <w:shd w:val="clear" w:color="auto" w:fill="auto"/>
            <w:noWrap w:val="0"/>
            <w:vAlign w:val="top"/>
          </w:tcPr>
          <w:p w14:paraId="04D62C6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21</w:t>
            </w:r>
          </w:p>
        </w:tc>
        <w:tc>
          <w:tcPr>
            <w:tcW w:w="0" w:type="auto"/>
            <w:noWrap w:val="0"/>
            <w:vAlign w:val="center"/>
          </w:tcPr>
          <w:p w14:paraId="41F5D65F">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挥发酚</w:t>
            </w:r>
          </w:p>
        </w:tc>
        <w:tc>
          <w:tcPr>
            <w:tcW w:w="0" w:type="auto"/>
            <w:noWrap w:val="0"/>
            <w:vAlign w:val="top"/>
          </w:tcPr>
          <w:p w14:paraId="0D778E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0" w:type="auto"/>
            <w:noWrap w:val="0"/>
            <w:vAlign w:val="center"/>
          </w:tcPr>
          <w:p w14:paraId="20525D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0.005</w:t>
            </w:r>
          </w:p>
        </w:tc>
      </w:tr>
      <w:tr w14:paraId="21F781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0" w:type="auto"/>
            <w:shd w:val="clear" w:color="auto" w:fill="auto"/>
            <w:noWrap w:val="0"/>
            <w:vAlign w:val="top"/>
          </w:tcPr>
          <w:p w14:paraId="50B89A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22</w:t>
            </w:r>
          </w:p>
        </w:tc>
        <w:tc>
          <w:tcPr>
            <w:tcW w:w="0" w:type="auto"/>
            <w:noWrap w:val="0"/>
            <w:vAlign w:val="center"/>
          </w:tcPr>
          <w:p w14:paraId="1D4A7B74">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氰化物</w:t>
            </w:r>
          </w:p>
        </w:tc>
        <w:tc>
          <w:tcPr>
            <w:tcW w:w="0" w:type="auto"/>
            <w:noWrap w:val="0"/>
            <w:vAlign w:val="top"/>
          </w:tcPr>
          <w:p w14:paraId="45EED2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0" w:type="auto"/>
            <w:noWrap w:val="0"/>
            <w:vAlign w:val="center"/>
          </w:tcPr>
          <w:p w14:paraId="51DEFA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_GB2312" w:cs="Times New Roman"/>
                <w:b w:val="0"/>
                <w:bCs w:val="0"/>
                <w:color w:val="auto"/>
                <w:spacing w:val="-2"/>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0.2</w:t>
            </w:r>
          </w:p>
        </w:tc>
      </w:tr>
      <w:tr w14:paraId="4CB52A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cantSplit/>
          <w:trHeight w:val="23" w:hRule="atLeast"/>
          <w:jc w:val="center"/>
        </w:trPr>
        <w:tc>
          <w:tcPr>
            <w:tcW w:w="0" w:type="auto"/>
            <w:shd w:val="clear" w:color="auto" w:fill="auto"/>
            <w:noWrap w:val="0"/>
            <w:vAlign w:val="top"/>
          </w:tcPr>
          <w:p w14:paraId="287BC6A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23</w:t>
            </w:r>
          </w:p>
        </w:tc>
        <w:tc>
          <w:tcPr>
            <w:tcW w:w="0" w:type="auto"/>
            <w:noWrap w:val="0"/>
            <w:vAlign w:val="center"/>
          </w:tcPr>
          <w:p w14:paraId="5793EC84">
            <w:pPr>
              <w:keepNext w:val="0"/>
              <w:keepLines w:val="0"/>
              <w:pageBreakBefore w:val="0"/>
              <w:kinsoku/>
              <w:wordWrap/>
              <w:overflow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kern w:val="2"/>
                <w:sz w:val="21"/>
                <w:szCs w:val="21"/>
                <w:u w:val="none" w:color="auto"/>
                <w:lang w:val="en-US" w:eastAsia="zh-CN" w:bidi="ar-SA"/>
              </w:rPr>
            </w:pPr>
            <w:r>
              <w:rPr>
                <w:rFonts w:hint="default" w:ascii="Times New Roman" w:hAnsi="Times New Roman" w:eastAsia="宋体" w:cs="Times New Roman"/>
                <w:b w:val="0"/>
                <w:bCs/>
                <w:color w:val="auto"/>
                <w:sz w:val="21"/>
                <w:szCs w:val="21"/>
                <w:u w:val="none" w:color="auto"/>
                <w:lang w:val="en-US" w:eastAsia="zh-CN"/>
              </w:rPr>
              <w:t>硫化物</w:t>
            </w:r>
          </w:p>
        </w:tc>
        <w:tc>
          <w:tcPr>
            <w:tcW w:w="0" w:type="auto"/>
            <w:noWrap w:val="0"/>
            <w:vAlign w:val="top"/>
          </w:tcPr>
          <w:p w14:paraId="14480A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mg/L</w:t>
            </w:r>
          </w:p>
        </w:tc>
        <w:tc>
          <w:tcPr>
            <w:tcW w:w="0" w:type="auto"/>
            <w:noWrap w:val="0"/>
            <w:vAlign w:val="center"/>
          </w:tcPr>
          <w:p w14:paraId="38E347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b w:val="0"/>
                <w:bCs/>
                <w:color w:val="auto"/>
                <w:kern w:val="2"/>
                <w:sz w:val="21"/>
                <w:szCs w:val="21"/>
                <w:u w:val="none" w:color="auto"/>
                <w:lang w:val="en-US" w:eastAsia="zh-CN" w:bidi="ar-SA"/>
              </w:rPr>
            </w:pPr>
            <w:r>
              <w:rPr>
                <w:rFonts w:hint="eastAsia" w:ascii="Times New Roman" w:hAnsi="Times New Roman" w:cs="Times New Roman"/>
                <w:b w:val="0"/>
                <w:bCs w:val="0"/>
                <w:color w:val="auto"/>
                <w:spacing w:val="-2"/>
                <w:sz w:val="21"/>
                <w:szCs w:val="21"/>
                <w:u w:val="none" w:color="auto"/>
                <w:lang w:val="en-US" w:eastAsia="zh-CN"/>
              </w:rPr>
              <w:t>0.2</w:t>
            </w:r>
          </w:p>
        </w:tc>
      </w:tr>
    </w:tbl>
    <w:p w14:paraId="7683AC37">
      <w:pPr>
        <w:numPr>
          <w:ilvl w:val="0"/>
          <w:numId w:val="8"/>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地下水环境</w:t>
      </w:r>
    </w:p>
    <w:p w14:paraId="6E6E421B">
      <w:pPr>
        <w:topLinePunct w:val="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项目所在区域地下水水质执行《地下水质量标准》（GB/T14848-2017）</w:t>
      </w:r>
      <w:r>
        <w:rPr>
          <w:rFonts w:hint="eastAsia" w:ascii="宋体" w:hAnsi="宋体" w:eastAsia="宋体" w:cs="宋体"/>
          <w:color w:val="auto"/>
          <w:sz w:val="24"/>
          <w:szCs w:val="24"/>
          <w:highlight w:val="none"/>
          <w:u w:val="none" w:color="auto"/>
        </w:rPr>
        <w:t>Ⅲ</w:t>
      </w:r>
      <w:r>
        <w:rPr>
          <w:rFonts w:hint="default" w:ascii="Times New Roman" w:hAnsi="Times New Roman" w:cs="Times New Roman"/>
          <w:color w:val="auto"/>
          <w:sz w:val="24"/>
          <w:szCs w:val="24"/>
          <w:highlight w:val="none"/>
          <w:u w:val="none" w:color="auto"/>
        </w:rPr>
        <w:t>类水质标准，各水质指标详见下表2.4-4。</w:t>
      </w:r>
    </w:p>
    <w:p w14:paraId="7E09C95C">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p>
    <w:p w14:paraId="4585903D">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p>
    <w:p w14:paraId="19A3E07E">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p>
    <w:p w14:paraId="12F523A1">
      <w:pPr>
        <w:topLinePunct w:val="0"/>
        <w:spacing w:line="240" w:lineRule="auto"/>
        <w:ind w:firstLine="0" w:firstLineChars="0"/>
        <w:jc w:val="center"/>
        <w:rPr>
          <w:rFonts w:hint="eastAsia" w:ascii="Times New Roman" w:hAnsi="Times New Roman" w:eastAsia="宋体" w:cs="Times New Roman"/>
          <w:b/>
          <w:bCs/>
          <w:color w:val="auto"/>
          <w:sz w:val="21"/>
          <w:szCs w:val="21"/>
          <w:highlight w:val="none"/>
          <w:u w:val="none" w:color="auto"/>
          <w:lang w:eastAsia="zh-CN"/>
        </w:rPr>
      </w:pPr>
      <w:r>
        <w:rPr>
          <w:rFonts w:hint="default" w:ascii="Times New Roman" w:hAnsi="Times New Roman" w:cs="Times New Roman"/>
          <w:b/>
          <w:bCs/>
          <w:color w:val="auto"/>
          <w:sz w:val="21"/>
          <w:szCs w:val="21"/>
          <w:highlight w:val="none"/>
          <w:u w:val="none" w:color="auto"/>
        </w:rPr>
        <w:t>表2.4-4  地下水水质标准</w:t>
      </w:r>
      <w:r>
        <w:rPr>
          <w:rFonts w:hint="eastAsia" w:ascii="Times New Roman" w:hAnsi="Times New Roman" w:cs="Times New Roman"/>
          <w:b/>
          <w:bCs/>
          <w:color w:val="auto"/>
          <w:sz w:val="21"/>
          <w:szCs w:val="21"/>
          <w:highlight w:val="none"/>
          <w:u w:val="none" w:color="auto"/>
          <w:lang w:eastAsia="zh-CN"/>
        </w:rPr>
        <w:t>（</w:t>
      </w:r>
      <w:r>
        <w:rPr>
          <w:rFonts w:hint="eastAsia" w:ascii="Times New Roman" w:hAnsi="Times New Roman" w:cs="Times New Roman"/>
          <w:b/>
          <w:bCs/>
          <w:color w:val="auto"/>
          <w:sz w:val="21"/>
          <w:szCs w:val="21"/>
          <w:highlight w:val="none"/>
          <w:u w:val="none" w:color="auto"/>
          <w:lang w:val="en-US" w:eastAsia="zh-CN"/>
        </w:rPr>
        <w:t>pH：无量纲</w:t>
      </w:r>
      <w:r>
        <w:rPr>
          <w:rFonts w:hint="eastAsia" w:ascii="Times New Roman" w:hAnsi="Times New Roman" w:cs="Times New Roman"/>
          <w:b/>
          <w:bCs/>
          <w:color w:val="auto"/>
          <w:sz w:val="21"/>
          <w:szCs w:val="21"/>
          <w:highlight w:val="none"/>
          <w:u w:val="none" w:color="auto"/>
          <w:lang w:eastAsia="zh-CN"/>
        </w:rPr>
        <w:t>）</w:t>
      </w:r>
    </w:p>
    <w:tbl>
      <w:tblPr>
        <w:tblStyle w:val="4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28" w:type="dxa"/>
          <w:left w:w="28" w:type="dxa"/>
          <w:bottom w:w="28" w:type="dxa"/>
          <w:right w:w="28" w:type="dxa"/>
        </w:tblCellMar>
      </w:tblPr>
      <w:tblGrid>
        <w:gridCol w:w="1088"/>
        <w:gridCol w:w="2833"/>
        <w:gridCol w:w="2813"/>
        <w:gridCol w:w="2389"/>
      </w:tblGrid>
      <w:tr w14:paraId="61B850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57607FC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序号</w:t>
            </w:r>
          </w:p>
        </w:tc>
        <w:tc>
          <w:tcPr>
            <w:tcW w:w="1552" w:type="pct"/>
            <w:tcBorders>
              <w:tl2br w:val="nil"/>
              <w:tr2bl w:val="nil"/>
            </w:tcBorders>
            <w:noWrap w:val="0"/>
            <w:vAlign w:val="center"/>
          </w:tcPr>
          <w:p w14:paraId="5F6428F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项目</w:t>
            </w:r>
          </w:p>
        </w:tc>
        <w:tc>
          <w:tcPr>
            <w:tcW w:w="1541" w:type="pct"/>
            <w:tcBorders>
              <w:tl2br w:val="nil"/>
              <w:tr2bl w:val="nil"/>
            </w:tcBorders>
            <w:noWrap w:val="0"/>
            <w:vAlign w:val="center"/>
          </w:tcPr>
          <w:p w14:paraId="21FBEC1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标准值</w:t>
            </w:r>
          </w:p>
        </w:tc>
        <w:tc>
          <w:tcPr>
            <w:tcW w:w="1309" w:type="pct"/>
            <w:tcBorders>
              <w:tl2br w:val="nil"/>
              <w:tr2bl w:val="nil"/>
            </w:tcBorders>
            <w:noWrap w:val="0"/>
            <w:vAlign w:val="center"/>
          </w:tcPr>
          <w:p w14:paraId="30FC290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标准来源</w:t>
            </w:r>
          </w:p>
        </w:tc>
      </w:tr>
      <w:tr w14:paraId="31A317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4A33774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w:t>
            </w:r>
          </w:p>
        </w:tc>
        <w:tc>
          <w:tcPr>
            <w:tcW w:w="1552" w:type="pct"/>
            <w:tcBorders>
              <w:tl2br w:val="nil"/>
              <w:tr2bl w:val="nil"/>
            </w:tcBorders>
            <w:noWrap w:val="0"/>
            <w:vAlign w:val="center"/>
          </w:tcPr>
          <w:p w14:paraId="6125B649">
            <w:pPr>
              <w:keepNext w:val="0"/>
              <w:keepLines w:val="0"/>
              <w:pageBreakBefore w:val="0"/>
              <w:widowControl/>
              <w:kinsoku/>
              <w:wordWrap/>
              <w:topLinePunct/>
              <w:bidi w:val="0"/>
              <w:snapToGrid/>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pH</w:t>
            </w:r>
          </w:p>
        </w:tc>
        <w:tc>
          <w:tcPr>
            <w:tcW w:w="1541" w:type="pct"/>
            <w:tcBorders>
              <w:tl2br w:val="nil"/>
              <w:tr2bl w:val="nil"/>
            </w:tcBorders>
            <w:noWrap w:val="0"/>
            <w:vAlign w:val="center"/>
          </w:tcPr>
          <w:p w14:paraId="5C2BA6D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6.5~8.5</w:t>
            </w:r>
          </w:p>
        </w:tc>
        <w:tc>
          <w:tcPr>
            <w:tcW w:w="1309" w:type="pct"/>
            <w:vMerge w:val="restart"/>
            <w:tcBorders>
              <w:tl2br w:val="nil"/>
              <w:tr2bl w:val="nil"/>
            </w:tcBorders>
            <w:noWrap w:val="0"/>
            <w:vAlign w:val="center"/>
          </w:tcPr>
          <w:p w14:paraId="5CFB9E6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《地下水质量标准》</w:t>
            </w:r>
          </w:p>
          <w:p w14:paraId="0D88C38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sz w:val="21"/>
                <w:szCs w:val="21"/>
                <w:highlight w:val="none"/>
                <w:u w:val="none" w:color="auto"/>
              </w:rPr>
              <w:t>（GB/T14848－2017）中</w:t>
            </w:r>
            <w:r>
              <w:rPr>
                <w:rFonts w:hint="eastAsia" w:ascii="宋体" w:hAnsi="宋体" w:eastAsia="宋体" w:cs="宋体"/>
                <w:color w:val="auto"/>
                <w:sz w:val="21"/>
                <w:szCs w:val="21"/>
                <w:highlight w:val="none"/>
                <w:u w:val="none" w:color="auto"/>
                <w:lang w:eastAsia="zh-CN"/>
              </w:rPr>
              <w:t>Ⅲ</w:t>
            </w:r>
            <w:r>
              <w:rPr>
                <w:rFonts w:hint="default" w:ascii="Times New Roman" w:hAnsi="Times New Roman" w:cs="Times New Roman"/>
                <w:color w:val="auto"/>
                <w:sz w:val="21"/>
                <w:szCs w:val="21"/>
                <w:highlight w:val="none"/>
                <w:u w:val="none" w:color="auto"/>
                <w:lang w:eastAsia="zh-CN"/>
              </w:rPr>
              <w:t>类</w:t>
            </w:r>
            <w:r>
              <w:rPr>
                <w:rFonts w:hint="default" w:ascii="Times New Roman" w:hAnsi="Times New Roman" w:eastAsia="宋体" w:cs="Times New Roman"/>
                <w:color w:val="auto"/>
                <w:sz w:val="21"/>
                <w:szCs w:val="21"/>
                <w:highlight w:val="none"/>
                <w:u w:val="none" w:color="auto"/>
              </w:rPr>
              <w:t>标准</w:t>
            </w:r>
          </w:p>
        </w:tc>
      </w:tr>
      <w:tr w14:paraId="2D65B4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5FACC6FE">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w:t>
            </w:r>
          </w:p>
        </w:tc>
        <w:tc>
          <w:tcPr>
            <w:tcW w:w="1552" w:type="pct"/>
            <w:tcBorders>
              <w:tl2br w:val="nil"/>
              <w:tr2bl w:val="nil"/>
            </w:tcBorders>
            <w:noWrap w:val="0"/>
            <w:vAlign w:val="center"/>
          </w:tcPr>
          <w:p w14:paraId="5D18D9A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挥发酚（mg/L）</w:t>
            </w:r>
          </w:p>
        </w:tc>
        <w:tc>
          <w:tcPr>
            <w:tcW w:w="1541" w:type="pct"/>
            <w:tcBorders>
              <w:tl2br w:val="nil"/>
              <w:tr2bl w:val="nil"/>
            </w:tcBorders>
            <w:noWrap w:val="0"/>
            <w:vAlign w:val="center"/>
          </w:tcPr>
          <w:p w14:paraId="6271A5E2">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≤0.002</w:t>
            </w:r>
          </w:p>
        </w:tc>
        <w:tc>
          <w:tcPr>
            <w:tcW w:w="1309" w:type="pct"/>
            <w:vMerge w:val="continue"/>
            <w:tcBorders>
              <w:tl2br w:val="nil"/>
              <w:tr2bl w:val="nil"/>
            </w:tcBorders>
            <w:noWrap w:val="0"/>
            <w:vAlign w:val="center"/>
          </w:tcPr>
          <w:p w14:paraId="6D8C1AAD">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5BEB7C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F5AA20F">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w:t>
            </w:r>
          </w:p>
        </w:tc>
        <w:tc>
          <w:tcPr>
            <w:tcW w:w="1552" w:type="pct"/>
            <w:tcBorders>
              <w:tl2br w:val="nil"/>
              <w:tr2bl w:val="nil"/>
            </w:tcBorders>
            <w:noWrap w:val="0"/>
            <w:vAlign w:val="center"/>
          </w:tcPr>
          <w:p w14:paraId="1A4CFE0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硝酸盐（mg/L）</w:t>
            </w:r>
          </w:p>
        </w:tc>
        <w:tc>
          <w:tcPr>
            <w:tcW w:w="1541" w:type="pct"/>
            <w:tcBorders>
              <w:tl2br w:val="nil"/>
              <w:tr2bl w:val="nil"/>
            </w:tcBorders>
            <w:noWrap w:val="0"/>
            <w:vAlign w:val="center"/>
          </w:tcPr>
          <w:p w14:paraId="105B423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≤20.0</w:t>
            </w:r>
          </w:p>
        </w:tc>
        <w:tc>
          <w:tcPr>
            <w:tcW w:w="1309" w:type="pct"/>
            <w:vMerge w:val="continue"/>
            <w:tcBorders>
              <w:tl2br w:val="nil"/>
              <w:tr2bl w:val="nil"/>
            </w:tcBorders>
            <w:noWrap w:val="0"/>
            <w:vAlign w:val="center"/>
          </w:tcPr>
          <w:p w14:paraId="4A30B98B">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65EBFF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00FD7AE0">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4</w:t>
            </w:r>
          </w:p>
        </w:tc>
        <w:tc>
          <w:tcPr>
            <w:tcW w:w="1552" w:type="pct"/>
            <w:tcBorders>
              <w:tl2br w:val="nil"/>
              <w:tr2bl w:val="nil"/>
            </w:tcBorders>
            <w:noWrap w:val="0"/>
            <w:vAlign w:val="center"/>
          </w:tcPr>
          <w:p w14:paraId="0D190F6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耗氧量（高锰酸盐指数）（mg/L）</w:t>
            </w:r>
          </w:p>
        </w:tc>
        <w:tc>
          <w:tcPr>
            <w:tcW w:w="1541" w:type="pct"/>
            <w:tcBorders>
              <w:tl2br w:val="nil"/>
              <w:tr2bl w:val="nil"/>
            </w:tcBorders>
            <w:noWrap w:val="0"/>
            <w:vAlign w:val="center"/>
          </w:tcPr>
          <w:p w14:paraId="6E0E285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w:t>
            </w:r>
            <w:r>
              <w:rPr>
                <w:rFonts w:hint="eastAsia" w:ascii="Times New Roman" w:hAnsi="Times New Roman" w:eastAsia="宋体" w:cs="Times New Roman"/>
                <w:color w:val="auto"/>
                <w:sz w:val="21"/>
                <w:szCs w:val="21"/>
                <w:highlight w:val="none"/>
                <w:u w:val="none" w:color="auto"/>
                <w:lang w:val="en-US" w:eastAsia="zh-CN"/>
              </w:rPr>
              <w:t>3.0</w:t>
            </w:r>
          </w:p>
        </w:tc>
        <w:tc>
          <w:tcPr>
            <w:tcW w:w="1309" w:type="pct"/>
            <w:vMerge w:val="continue"/>
            <w:tcBorders>
              <w:tl2br w:val="nil"/>
              <w:tr2bl w:val="nil"/>
            </w:tcBorders>
            <w:noWrap w:val="0"/>
            <w:vAlign w:val="center"/>
          </w:tcPr>
          <w:p w14:paraId="599B8D75">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703B30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03D68B91">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5</w:t>
            </w:r>
          </w:p>
        </w:tc>
        <w:tc>
          <w:tcPr>
            <w:tcW w:w="1552" w:type="pct"/>
            <w:tcBorders>
              <w:tl2br w:val="nil"/>
              <w:tr2bl w:val="nil"/>
            </w:tcBorders>
            <w:noWrap w:val="0"/>
            <w:vAlign w:val="center"/>
          </w:tcPr>
          <w:p w14:paraId="3BE2C53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氨氮（mg/L）</w:t>
            </w:r>
          </w:p>
        </w:tc>
        <w:tc>
          <w:tcPr>
            <w:tcW w:w="1541" w:type="pct"/>
            <w:tcBorders>
              <w:tl2br w:val="nil"/>
              <w:tr2bl w:val="nil"/>
            </w:tcBorders>
            <w:noWrap w:val="0"/>
            <w:vAlign w:val="center"/>
          </w:tcPr>
          <w:p w14:paraId="05B34A55">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≤0.50</w:t>
            </w:r>
          </w:p>
        </w:tc>
        <w:tc>
          <w:tcPr>
            <w:tcW w:w="1309" w:type="pct"/>
            <w:vMerge w:val="continue"/>
            <w:tcBorders>
              <w:tl2br w:val="nil"/>
              <w:tr2bl w:val="nil"/>
            </w:tcBorders>
            <w:noWrap w:val="0"/>
            <w:vAlign w:val="center"/>
          </w:tcPr>
          <w:p w14:paraId="674E56DD">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11323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309306C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6</w:t>
            </w:r>
          </w:p>
        </w:tc>
        <w:tc>
          <w:tcPr>
            <w:tcW w:w="1552" w:type="pct"/>
            <w:tcBorders>
              <w:tl2br w:val="nil"/>
              <w:tr2bl w:val="nil"/>
            </w:tcBorders>
            <w:noWrap w:val="0"/>
            <w:vAlign w:val="center"/>
          </w:tcPr>
          <w:p w14:paraId="1569D39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氟化物（mg/L）</w:t>
            </w:r>
          </w:p>
        </w:tc>
        <w:tc>
          <w:tcPr>
            <w:tcW w:w="1541" w:type="pct"/>
            <w:tcBorders>
              <w:tl2br w:val="nil"/>
              <w:tr2bl w:val="nil"/>
            </w:tcBorders>
            <w:noWrap w:val="0"/>
            <w:vAlign w:val="center"/>
          </w:tcPr>
          <w:p w14:paraId="71B4A10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w:t>
            </w:r>
          </w:p>
        </w:tc>
        <w:tc>
          <w:tcPr>
            <w:tcW w:w="1309" w:type="pct"/>
            <w:vMerge w:val="continue"/>
            <w:tcBorders>
              <w:tl2br w:val="nil"/>
              <w:tr2bl w:val="nil"/>
            </w:tcBorders>
            <w:noWrap w:val="0"/>
            <w:vAlign w:val="center"/>
          </w:tcPr>
          <w:p w14:paraId="4F4C3CB6">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42B913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01620C3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7</w:t>
            </w:r>
          </w:p>
        </w:tc>
        <w:tc>
          <w:tcPr>
            <w:tcW w:w="1552" w:type="pct"/>
            <w:tcBorders>
              <w:tl2br w:val="nil"/>
              <w:tr2bl w:val="nil"/>
            </w:tcBorders>
            <w:noWrap w:val="0"/>
            <w:vAlign w:val="center"/>
          </w:tcPr>
          <w:p w14:paraId="35B1AF4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磷酸盐（以P计）（mg/L）</w:t>
            </w:r>
          </w:p>
        </w:tc>
        <w:tc>
          <w:tcPr>
            <w:tcW w:w="1541" w:type="pct"/>
            <w:tcBorders>
              <w:tl2br w:val="nil"/>
              <w:tr2bl w:val="nil"/>
            </w:tcBorders>
            <w:noWrap w:val="0"/>
            <w:vAlign w:val="center"/>
          </w:tcPr>
          <w:p w14:paraId="61EFCF8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415C594A">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7D8A6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8BA8F91">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bookmarkStart w:id="252" w:name="_Hlk519774414"/>
            <w:bookmarkStart w:id="253" w:name="OLE_LINK28" w:colFirst="2" w:colLast="2"/>
            <w:bookmarkStart w:id="254" w:name="OLE_LINK27" w:colFirst="2" w:colLast="2"/>
            <w:r>
              <w:rPr>
                <w:rFonts w:hint="default" w:ascii="Times New Roman" w:hAnsi="Times New Roman" w:eastAsia="宋体" w:cs="Times New Roman"/>
                <w:color w:val="auto"/>
                <w:sz w:val="21"/>
                <w:szCs w:val="21"/>
                <w:highlight w:val="none"/>
                <w:u w:val="none" w:color="auto"/>
              </w:rPr>
              <w:t>8</w:t>
            </w:r>
          </w:p>
        </w:tc>
        <w:tc>
          <w:tcPr>
            <w:tcW w:w="1552" w:type="pct"/>
            <w:tcBorders>
              <w:tl2br w:val="nil"/>
              <w:tr2bl w:val="nil"/>
            </w:tcBorders>
            <w:noWrap w:val="0"/>
            <w:vAlign w:val="center"/>
          </w:tcPr>
          <w:p w14:paraId="501EBB6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六价铬（mg/L）</w:t>
            </w:r>
          </w:p>
        </w:tc>
        <w:tc>
          <w:tcPr>
            <w:tcW w:w="1541" w:type="pct"/>
            <w:tcBorders>
              <w:tl2br w:val="nil"/>
              <w:tr2bl w:val="nil"/>
            </w:tcBorders>
            <w:noWrap w:val="0"/>
            <w:vAlign w:val="center"/>
          </w:tcPr>
          <w:p w14:paraId="51CF962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≤0.05</w:t>
            </w:r>
          </w:p>
        </w:tc>
        <w:tc>
          <w:tcPr>
            <w:tcW w:w="1309" w:type="pct"/>
            <w:vMerge w:val="continue"/>
            <w:tcBorders>
              <w:tl2br w:val="nil"/>
              <w:tr2bl w:val="nil"/>
            </w:tcBorders>
            <w:noWrap w:val="0"/>
            <w:vAlign w:val="center"/>
          </w:tcPr>
          <w:p w14:paraId="1F4C7D61">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6F1E9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3C29BADE">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9</w:t>
            </w:r>
          </w:p>
        </w:tc>
        <w:tc>
          <w:tcPr>
            <w:tcW w:w="1552" w:type="pct"/>
            <w:tcBorders>
              <w:tl2br w:val="nil"/>
              <w:tr2bl w:val="nil"/>
            </w:tcBorders>
            <w:noWrap w:val="0"/>
            <w:vAlign w:val="center"/>
          </w:tcPr>
          <w:p w14:paraId="121900E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亚硝酸盐（mg/L）</w:t>
            </w:r>
          </w:p>
        </w:tc>
        <w:tc>
          <w:tcPr>
            <w:tcW w:w="1541" w:type="pct"/>
            <w:tcBorders>
              <w:tl2br w:val="nil"/>
              <w:tr2bl w:val="nil"/>
            </w:tcBorders>
            <w:noWrap w:val="0"/>
            <w:vAlign w:val="center"/>
          </w:tcPr>
          <w:p w14:paraId="661E4748">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w:t>
            </w:r>
          </w:p>
        </w:tc>
        <w:tc>
          <w:tcPr>
            <w:tcW w:w="1309" w:type="pct"/>
            <w:vMerge w:val="continue"/>
            <w:tcBorders>
              <w:tl2br w:val="nil"/>
              <w:tr2bl w:val="nil"/>
            </w:tcBorders>
            <w:noWrap w:val="0"/>
            <w:vAlign w:val="center"/>
          </w:tcPr>
          <w:p w14:paraId="16141285">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3C336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62F64F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w:t>
            </w:r>
          </w:p>
        </w:tc>
        <w:tc>
          <w:tcPr>
            <w:tcW w:w="1552" w:type="pct"/>
            <w:tcBorders>
              <w:tl2br w:val="nil"/>
              <w:tr2bl w:val="nil"/>
            </w:tcBorders>
            <w:noWrap w:val="0"/>
            <w:vAlign w:val="center"/>
          </w:tcPr>
          <w:p w14:paraId="23F34A0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总大肠菌群（MPN/100mL）</w:t>
            </w:r>
          </w:p>
        </w:tc>
        <w:tc>
          <w:tcPr>
            <w:tcW w:w="1541" w:type="pct"/>
            <w:tcBorders>
              <w:tl2br w:val="nil"/>
              <w:tr2bl w:val="nil"/>
            </w:tcBorders>
            <w:noWrap w:val="0"/>
            <w:vAlign w:val="center"/>
          </w:tcPr>
          <w:p w14:paraId="779ACAC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w:t>
            </w:r>
          </w:p>
        </w:tc>
        <w:tc>
          <w:tcPr>
            <w:tcW w:w="1309" w:type="pct"/>
            <w:vMerge w:val="continue"/>
            <w:tcBorders>
              <w:tl2br w:val="nil"/>
              <w:tr2bl w:val="nil"/>
            </w:tcBorders>
            <w:noWrap w:val="0"/>
            <w:vAlign w:val="center"/>
          </w:tcPr>
          <w:p w14:paraId="11B326D6">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7E82BC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41EA7CA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11</w:t>
            </w:r>
          </w:p>
        </w:tc>
        <w:tc>
          <w:tcPr>
            <w:tcW w:w="1552" w:type="pct"/>
            <w:tcBorders>
              <w:tl2br w:val="nil"/>
              <w:tr2bl w:val="nil"/>
            </w:tcBorders>
            <w:noWrap w:val="0"/>
            <w:vAlign w:val="center"/>
          </w:tcPr>
          <w:p w14:paraId="6A1CB31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菌落总数（CFU/mL）</w:t>
            </w:r>
          </w:p>
        </w:tc>
        <w:tc>
          <w:tcPr>
            <w:tcW w:w="1541" w:type="pct"/>
            <w:tcBorders>
              <w:tl2br w:val="nil"/>
              <w:tr2bl w:val="nil"/>
            </w:tcBorders>
            <w:noWrap w:val="0"/>
            <w:vAlign w:val="center"/>
          </w:tcPr>
          <w:p w14:paraId="030F0712">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≤100</w:t>
            </w:r>
          </w:p>
        </w:tc>
        <w:tc>
          <w:tcPr>
            <w:tcW w:w="1309" w:type="pct"/>
            <w:vMerge w:val="continue"/>
            <w:tcBorders>
              <w:tl2br w:val="nil"/>
              <w:tr2bl w:val="nil"/>
            </w:tcBorders>
            <w:noWrap w:val="0"/>
            <w:vAlign w:val="center"/>
          </w:tcPr>
          <w:p w14:paraId="366CFC4D">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1E8F6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5BCA5D0F">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12</w:t>
            </w:r>
          </w:p>
        </w:tc>
        <w:tc>
          <w:tcPr>
            <w:tcW w:w="1552" w:type="pct"/>
            <w:tcBorders>
              <w:tl2br w:val="nil"/>
              <w:tr2bl w:val="nil"/>
            </w:tcBorders>
            <w:noWrap w:val="0"/>
            <w:vAlign w:val="center"/>
          </w:tcPr>
          <w:p w14:paraId="41E86E7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溶解性总固体</w:t>
            </w:r>
            <w:r>
              <w:rPr>
                <w:rFonts w:hint="default" w:ascii="Times New Roman" w:hAnsi="Times New Roman" w:eastAsia="宋体" w:cs="Times New Roman"/>
                <w:color w:val="auto"/>
                <w:sz w:val="21"/>
                <w:szCs w:val="21"/>
                <w:highlight w:val="none"/>
                <w:u w:val="none" w:color="auto"/>
              </w:rPr>
              <w:t>（mg/L）</w:t>
            </w:r>
          </w:p>
        </w:tc>
        <w:tc>
          <w:tcPr>
            <w:tcW w:w="1541" w:type="pct"/>
            <w:tcBorders>
              <w:tl2br w:val="nil"/>
              <w:tr2bl w:val="nil"/>
            </w:tcBorders>
            <w:noWrap w:val="0"/>
            <w:vAlign w:val="center"/>
          </w:tcPr>
          <w:p w14:paraId="2378B9AF">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w:t>
            </w:r>
            <w:r>
              <w:rPr>
                <w:rFonts w:hint="eastAsia" w:ascii="Times New Roman" w:hAnsi="Times New Roman" w:eastAsia="宋体" w:cs="Times New Roman"/>
                <w:color w:val="auto"/>
                <w:sz w:val="21"/>
                <w:szCs w:val="21"/>
                <w:highlight w:val="none"/>
                <w:u w:val="none" w:color="auto"/>
                <w:lang w:val="en-US" w:eastAsia="zh-CN"/>
              </w:rPr>
              <w:t>1000</w:t>
            </w:r>
          </w:p>
        </w:tc>
        <w:tc>
          <w:tcPr>
            <w:tcW w:w="1309" w:type="pct"/>
            <w:vMerge w:val="continue"/>
            <w:tcBorders>
              <w:tl2br w:val="nil"/>
              <w:tr2bl w:val="nil"/>
            </w:tcBorders>
            <w:noWrap w:val="0"/>
            <w:vAlign w:val="center"/>
          </w:tcPr>
          <w:p w14:paraId="0CE9D249">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14840C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6F9C920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13</w:t>
            </w:r>
          </w:p>
        </w:tc>
        <w:tc>
          <w:tcPr>
            <w:tcW w:w="1552" w:type="pct"/>
            <w:tcBorders>
              <w:tl2br w:val="nil"/>
              <w:tr2bl w:val="nil"/>
            </w:tcBorders>
            <w:noWrap w:val="0"/>
            <w:vAlign w:val="center"/>
          </w:tcPr>
          <w:p w14:paraId="4CE8C7C1">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钠离子（mg/L）</w:t>
            </w:r>
          </w:p>
        </w:tc>
        <w:tc>
          <w:tcPr>
            <w:tcW w:w="1541" w:type="pct"/>
            <w:tcBorders>
              <w:tl2br w:val="nil"/>
              <w:tr2bl w:val="nil"/>
            </w:tcBorders>
            <w:noWrap w:val="0"/>
            <w:vAlign w:val="center"/>
          </w:tcPr>
          <w:p w14:paraId="2B1DF14E">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≤200</w:t>
            </w:r>
          </w:p>
        </w:tc>
        <w:tc>
          <w:tcPr>
            <w:tcW w:w="1309" w:type="pct"/>
            <w:vMerge w:val="continue"/>
            <w:tcBorders>
              <w:tl2br w:val="nil"/>
              <w:tr2bl w:val="nil"/>
            </w:tcBorders>
            <w:noWrap w:val="0"/>
            <w:vAlign w:val="center"/>
          </w:tcPr>
          <w:p w14:paraId="1B8FFECA">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2BB0F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6098DF4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14</w:t>
            </w:r>
          </w:p>
        </w:tc>
        <w:tc>
          <w:tcPr>
            <w:tcW w:w="1552" w:type="pct"/>
            <w:tcBorders>
              <w:tl2br w:val="nil"/>
              <w:tr2bl w:val="nil"/>
            </w:tcBorders>
            <w:noWrap w:val="0"/>
            <w:vAlign w:val="center"/>
          </w:tcPr>
          <w:p w14:paraId="3B5B1078">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钾离子（mg/L）</w:t>
            </w:r>
          </w:p>
        </w:tc>
        <w:tc>
          <w:tcPr>
            <w:tcW w:w="1541" w:type="pct"/>
            <w:tcBorders>
              <w:tl2br w:val="nil"/>
              <w:tr2bl w:val="nil"/>
            </w:tcBorders>
            <w:noWrap w:val="0"/>
            <w:vAlign w:val="center"/>
          </w:tcPr>
          <w:p w14:paraId="0D78C85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3C4B19D1">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176D75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190D041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15</w:t>
            </w:r>
          </w:p>
        </w:tc>
        <w:tc>
          <w:tcPr>
            <w:tcW w:w="1552" w:type="pct"/>
            <w:tcBorders>
              <w:tl2br w:val="nil"/>
              <w:tr2bl w:val="nil"/>
            </w:tcBorders>
            <w:noWrap w:val="0"/>
            <w:vAlign w:val="center"/>
          </w:tcPr>
          <w:p w14:paraId="0BFE61EF">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镁离子（mg/L）</w:t>
            </w:r>
          </w:p>
        </w:tc>
        <w:tc>
          <w:tcPr>
            <w:tcW w:w="1541" w:type="pct"/>
            <w:tcBorders>
              <w:tl2br w:val="nil"/>
              <w:tr2bl w:val="nil"/>
            </w:tcBorders>
            <w:noWrap w:val="0"/>
            <w:vAlign w:val="center"/>
          </w:tcPr>
          <w:p w14:paraId="38DABF9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00B7ACBA">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43A99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5281F17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16</w:t>
            </w:r>
          </w:p>
        </w:tc>
        <w:tc>
          <w:tcPr>
            <w:tcW w:w="1552" w:type="pct"/>
            <w:tcBorders>
              <w:tl2br w:val="nil"/>
              <w:tr2bl w:val="nil"/>
            </w:tcBorders>
            <w:noWrap w:val="0"/>
            <w:vAlign w:val="center"/>
          </w:tcPr>
          <w:p w14:paraId="615D32C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钙离子（mg/L）</w:t>
            </w:r>
          </w:p>
        </w:tc>
        <w:tc>
          <w:tcPr>
            <w:tcW w:w="1541" w:type="pct"/>
            <w:tcBorders>
              <w:tl2br w:val="nil"/>
              <w:tr2bl w:val="nil"/>
            </w:tcBorders>
            <w:noWrap w:val="0"/>
            <w:vAlign w:val="center"/>
          </w:tcPr>
          <w:p w14:paraId="510BCD4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2E643EBB">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79817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3DB9F8B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17</w:t>
            </w:r>
          </w:p>
        </w:tc>
        <w:tc>
          <w:tcPr>
            <w:tcW w:w="1552" w:type="pct"/>
            <w:tcBorders>
              <w:tl2br w:val="nil"/>
              <w:tr2bl w:val="nil"/>
            </w:tcBorders>
            <w:noWrap w:val="0"/>
            <w:vAlign w:val="center"/>
          </w:tcPr>
          <w:p w14:paraId="1EB4B4B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氯离子（mg/L）</w:t>
            </w:r>
          </w:p>
        </w:tc>
        <w:tc>
          <w:tcPr>
            <w:tcW w:w="1541" w:type="pct"/>
            <w:tcBorders>
              <w:tl2br w:val="nil"/>
              <w:tr2bl w:val="nil"/>
            </w:tcBorders>
            <w:noWrap w:val="0"/>
            <w:vAlign w:val="center"/>
          </w:tcPr>
          <w:p w14:paraId="633F035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22347216">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49827C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E46F70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18</w:t>
            </w:r>
          </w:p>
        </w:tc>
        <w:tc>
          <w:tcPr>
            <w:tcW w:w="1552" w:type="pct"/>
            <w:tcBorders>
              <w:tl2br w:val="nil"/>
              <w:tr2bl w:val="nil"/>
            </w:tcBorders>
            <w:noWrap w:val="0"/>
            <w:vAlign w:val="center"/>
          </w:tcPr>
          <w:p w14:paraId="477CEC11">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碳酸盐（mg/L）</w:t>
            </w:r>
          </w:p>
        </w:tc>
        <w:tc>
          <w:tcPr>
            <w:tcW w:w="1541" w:type="pct"/>
            <w:tcBorders>
              <w:tl2br w:val="nil"/>
              <w:tr2bl w:val="nil"/>
            </w:tcBorders>
            <w:noWrap w:val="0"/>
            <w:vAlign w:val="center"/>
          </w:tcPr>
          <w:p w14:paraId="55C8050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54EE443E">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0B5856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3A7758D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19</w:t>
            </w:r>
          </w:p>
        </w:tc>
        <w:tc>
          <w:tcPr>
            <w:tcW w:w="1552" w:type="pct"/>
            <w:tcBorders>
              <w:tl2br w:val="nil"/>
              <w:tr2bl w:val="nil"/>
            </w:tcBorders>
            <w:noWrap w:val="0"/>
            <w:vAlign w:val="center"/>
          </w:tcPr>
          <w:p w14:paraId="4AEA565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氰化物（mg/L）</w:t>
            </w:r>
          </w:p>
        </w:tc>
        <w:tc>
          <w:tcPr>
            <w:tcW w:w="1541" w:type="pct"/>
            <w:tcBorders>
              <w:tl2br w:val="nil"/>
              <w:tr2bl w:val="nil"/>
            </w:tcBorders>
            <w:noWrap w:val="0"/>
            <w:vAlign w:val="center"/>
          </w:tcPr>
          <w:p w14:paraId="14C4F14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≤0.</w:t>
            </w:r>
            <w:r>
              <w:rPr>
                <w:rFonts w:hint="eastAsia" w:ascii="Times New Roman" w:hAnsi="Times New Roman" w:eastAsia="宋体" w:cs="Times New Roman"/>
                <w:color w:val="auto"/>
                <w:sz w:val="21"/>
                <w:szCs w:val="21"/>
                <w:highlight w:val="none"/>
                <w:u w:val="none" w:color="auto"/>
                <w:lang w:val="en-US" w:eastAsia="zh-CN"/>
              </w:rPr>
              <w:t>05</w:t>
            </w:r>
          </w:p>
        </w:tc>
        <w:tc>
          <w:tcPr>
            <w:tcW w:w="1309" w:type="pct"/>
            <w:vMerge w:val="continue"/>
            <w:tcBorders>
              <w:tl2br w:val="nil"/>
              <w:tr2bl w:val="nil"/>
            </w:tcBorders>
            <w:noWrap w:val="0"/>
            <w:vAlign w:val="center"/>
          </w:tcPr>
          <w:p w14:paraId="465610FB">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05353E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33600E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20</w:t>
            </w:r>
          </w:p>
        </w:tc>
        <w:tc>
          <w:tcPr>
            <w:tcW w:w="1552" w:type="pct"/>
            <w:tcBorders>
              <w:tl2br w:val="nil"/>
              <w:tr2bl w:val="nil"/>
            </w:tcBorders>
            <w:noWrap w:val="0"/>
            <w:vAlign w:val="center"/>
          </w:tcPr>
          <w:p w14:paraId="0CEE5E18">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重碳酸盐（mg/L）</w:t>
            </w:r>
          </w:p>
        </w:tc>
        <w:tc>
          <w:tcPr>
            <w:tcW w:w="1541" w:type="pct"/>
            <w:tcBorders>
              <w:tl2br w:val="nil"/>
              <w:tr2bl w:val="nil"/>
            </w:tcBorders>
            <w:noWrap w:val="0"/>
            <w:vAlign w:val="center"/>
          </w:tcPr>
          <w:p w14:paraId="3FD5BE4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1309" w:type="pct"/>
            <w:vMerge w:val="continue"/>
            <w:tcBorders>
              <w:tl2br w:val="nil"/>
              <w:tr2bl w:val="nil"/>
            </w:tcBorders>
            <w:noWrap w:val="0"/>
            <w:vAlign w:val="center"/>
          </w:tcPr>
          <w:p w14:paraId="2457DAF7">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78A9F4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5497044E">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21</w:t>
            </w:r>
          </w:p>
        </w:tc>
        <w:tc>
          <w:tcPr>
            <w:tcW w:w="1552" w:type="pct"/>
            <w:tcBorders>
              <w:tl2br w:val="nil"/>
              <w:tr2bl w:val="nil"/>
            </w:tcBorders>
            <w:noWrap w:val="0"/>
            <w:vAlign w:val="center"/>
          </w:tcPr>
          <w:p w14:paraId="58267F2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氯化物（mg/L）</w:t>
            </w:r>
          </w:p>
        </w:tc>
        <w:tc>
          <w:tcPr>
            <w:tcW w:w="1541" w:type="pct"/>
            <w:tcBorders>
              <w:tl2br w:val="nil"/>
              <w:tr2bl w:val="nil"/>
            </w:tcBorders>
            <w:noWrap w:val="0"/>
            <w:vAlign w:val="center"/>
          </w:tcPr>
          <w:p w14:paraId="63B23575">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≤250</w:t>
            </w:r>
          </w:p>
        </w:tc>
        <w:tc>
          <w:tcPr>
            <w:tcW w:w="1309" w:type="pct"/>
            <w:vMerge w:val="continue"/>
            <w:tcBorders>
              <w:tl2br w:val="nil"/>
              <w:tr2bl w:val="nil"/>
            </w:tcBorders>
            <w:noWrap w:val="0"/>
            <w:vAlign w:val="center"/>
          </w:tcPr>
          <w:p w14:paraId="1E1B8140">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0949B4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02B8DC3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22</w:t>
            </w:r>
          </w:p>
        </w:tc>
        <w:tc>
          <w:tcPr>
            <w:tcW w:w="1552" w:type="pct"/>
            <w:tcBorders>
              <w:tl2br w:val="nil"/>
              <w:tr2bl w:val="nil"/>
            </w:tcBorders>
            <w:noWrap w:val="0"/>
            <w:vAlign w:val="center"/>
          </w:tcPr>
          <w:p w14:paraId="045E6E6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硫酸盐（mg/L）</w:t>
            </w:r>
          </w:p>
        </w:tc>
        <w:tc>
          <w:tcPr>
            <w:tcW w:w="1541" w:type="pct"/>
            <w:tcBorders>
              <w:tl2br w:val="nil"/>
              <w:tr2bl w:val="nil"/>
            </w:tcBorders>
            <w:noWrap w:val="0"/>
            <w:vAlign w:val="center"/>
          </w:tcPr>
          <w:p w14:paraId="55533048">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≤250</w:t>
            </w:r>
          </w:p>
        </w:tc>
        <w:tc>
          <w:tcPr>
            <w:tcW w:w="1309" w:type="pct"/>
            <w:vMerge w:val="continue"/>
            <w:tcBorders>
              <w:tl2br w:val="nil"/>
              <w:tr2bl w:val="nil"/>
            </w:tcBorders>
            <w:noWrap w:val="0"/>
            <w:vAlign w:val="center"/>
          </w:tcPr>
          <w:p w14:paraId="2531F06C">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589D99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6B071796">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23</w:t>
            </w:r>
          </w:p>
        </w:tc>
        <w:tc>
          <w:tcPr>
            <w:tcW w:w="1552" w:type="pct"/>
            <w:tcBorders>
              <w:tl2br w:val="nil"/>
              <w:tr2bl w:val="nil"/>
            </w:tcBorders>
            <w:noWrap w:val="0"/>
            <w:vAlign w:val="center"/>
          </w:tcPr>
          <w:p w14:paraId="660A286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总硬度（mg/L）</w:t>
            </w:r>
          </w:p>
        </w:tc>
        <w:tc>
          <w:tcPr>
            <w:tcW w:w="1541" w:type="pct"/>
            <w:tcBorders>
              <w:tl2br w:val="nil"/>
              <w:tr2bl w:val="nil"/>
            </w:tcBorders>
            <w:noWrap w:val="0"/>
            <w:vAlign w:val="center"/>
          </w:tcPr>
          <w:p w14:paraId="4E594B31">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≤450</w:t>
            </w:r>
          </w:p>
        </w:tc>
        <w:tc>
          <w:tcPr>
            <w:tcW w:w="1309" w:type="pct"/>
            <w:vMerge w:val="continue"/>
            <w:tcBorders>
              <w:tl2br w:val="nil"/>
              <w:tr2bl w:val="nil"/>
            </w:tcBorders>
            <w:noWrap w:val="0"/>
            <w:vAlign w:val="center"/>
          </w:tcPr>
          <w:p w14:paraId="5E100CD0">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3BE7B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6E9E8CEA">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24</w:t>
            </w:r>
          </w:p>
        </w:tc>
        <w:tc>
          <w:tcPr>
            <w:tcW w:w="1552" w:type="pct"/>
            <w:tcBorders>
              <w:tl2br w:val="nil"/>
              <w:tr2bl w:val="nil"/>
            </w:tcBorders>
            <w:noWrap w:val="0"/>
            <w:vAlign w:val="center"/>
          </w:tcPr>
          <w:p w14:paraId="56185C5C">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铁（mg/L）</w:t>
            </w:r>
          </w:p>
        </w:tc>
        <w:tc>
          <w:tcPr>
            <w:tcW w:w="1541" w:type="pct"/>
            <w:tcBorders>
              <w:tl2br w:val="nil"/>
              <w:tr2bl w:val="nil"/>
            </w:tcBorders>
            <w:noWrap w:val="0"/>
            <w:vAlign w:val="center"/>
          </w:tcPr>
          <w:p w14:paraId="64AAF0BF">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≤0.3</w:t>
            </w:r>
          </w:p>
        </w:tc>
        <w:tc>
          <w:tcPr>
            <w:tcW w:w="1309" w:type="pct"/>
            <w:vMerge w:val="continue"/>
            <w:tcBorders>
              <w:tl2br w:val="nil"/>
              <w:tr2bl w:val="nil"/>
            </w:tcBorders>
            <w:noWrap w:val="0"/>
            <w:vAlign w:val="center"/>
          </w:tcPr>
          <w:p w14:paraId="4187D725">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371A74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4BBE71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25</w:t>
            </w:r>
          </w:p>
        </w:tc>
        <w:tc>
          <w:tcPr>
            <w:tcW w:w="1552" w:type="pct"/>
            <w:tcBorders>
              <w:tl2br w:val="nil"/>
              <w:tr2bl w:val="nil"/>
            </w:tcBorders>
            <w:noWrap w:val="0"/>
            <w:vAlign w:val="center"/>
          </w:tcPr>
          <w:p w14:paraId="74C93FA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锰（mg/L）</w:t>
            </w:r>
          </w:p>
        </w:tc>
        <w:tc>
          <w:tcPr>
            <w:tcW w:w="1541" w:type="pct"/>
            <w:tcBorders>
              <w:tl2br w:val="nil"/>
              <w:tr2bl w:val="nil"/>
            </w:tcBorders>
            <w:noWrap w:val="0"/>
            <w:vAlign w:val="center"/>
          </w:tcPr>
          <w:p w14:paraId="2D05023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≤0.1</w:t>
            </w:r>
          </w:p>
        </w:tc>
        <w:tc>
          <w:tcPr>
            <w:tcW w:w="1309" w:type="pct"/>
            <w:vMerge w:val="continue"/>
            <w:tcBorders>
              <w:tl2br w:val="nil"/>
              <w:tr2bl w:val="nil"/>
            </w:tcBorders>
            <w:noWrap w:val="0"/>
            <w:vAlign w:val="center"/>
          </w:tcPr>
          <w:p w14:paraId="713BFB68">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24BBF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794DFC4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26</w:t>
            </w:r>
          </w:p>
        </w:tc>
        <w:tc>
          <w:tcPr>
            <w:tcW w:w="1552" w:type="pct"/>
            <w:tcBorders>
              <w:tl2br w:val="nil"/>
              <w:tr2bl w:val="nil"/>
            </w:tcBorders>
            <w:noWrap w:val="0"/>
            <w:vAlign w:val="center"/>
          </w:tcPr>
          <w:p w14:paraId="40B62F4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铜（mg/L）</w:t>
            </w:r>
          </w:p>
        </w:tc>
        <w:tc>
          <w:tcPr>
            <w:tcW w:w="1541" w:type="pct"/>
            <w:tcBorders>
              <w:tl2br w:val="nil"/>
              <w:tr2bl w:val="nil"/>
            </w:tcBorders>
            <w:noWrap w:val="0"/>
            <w:vAlign w:val="center"/>
          </w:tcPr>
          <w:p w14:paraId="0D689B8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w:t>
            </w:r>
          </w:p>
        </w:tc>
        <w:tc>
          <w:tcPr>
            <w:tcW w:w="1309" w:type="pct"/>
            <w:vMerge w:val="continue"/>
            <w:tcBorders>
              <w:tl2br w:val="nil"/>
              <w:tr2bl w:val="nil"/>
            </w:tcBorders>
            <w:noWrap w:val="0"/>
            <w:vAlign w:val="center"/>
          </w:tcPr>
          <w:p w14:paraId="216FA7DE">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2DD011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551438DD">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27</w:t>
            </w:r>
          </w:p>
        </w:tc>
        <w:tc>
          <w:tcPr>
            <w:tcW w:w="1552" w:type="pct"/>
            <w:tcBorders>
              <w:tl2br w:val="nil"/>
              <w:tr2bl w:val="nil"/>
            </w:tcBorders>
            <w:noWrap w:val="0"/>
            <w:vAlign w:val="center"/>
          </w:tcPr>
          <w:p w14:paraId="3CA8C22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锌（mg/L）</w:t>
            </w:r>
          </w:p>
        </w:tc>
        <w:tc>
          <w:tcPr>
            <w:tcW w:w="1541" w:type="pct"/>
            <w:tcBorders>
              <w:tl2br w:val="nil"/>
              <w:tr2bl w:val="nil"/>
            </w:tcBorders>
            <w:noWrap w:val="0"/>
            <w:vAlign w:val="center"/>
          </w:tcPr>
          <w:p w14:paraId="185DD230">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≤1.0</w:t>
            </w:r>
          </w:p>
        </w:tc>
        <w:tc>
          <w:tcPr>
            <w:tcW w:w="1309" w:type="pct"/>
            <w:vMerge w:val="continue"/>
            <w:tcBorders>
              <w:tl2br w:val="nil"/>
              <w:tr2bl w:val="nil"/>
            </w:tcBorders>
            <w:noWrap w:val="0"/>
            <w:vAlign w:val="center"/>
          </w:tcPr>
          <w:p w14:paraId="6049F413">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49BD46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2514128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28</w:t>
            </w:r>
          </w:p>
        </w:tc>
        <w:tc>
          <w:tcPr>
            <w:tcW w:w="1552" w:type="pct"/>
            <w:tcBorders>
              <w:tl2br w:val="nil"/>
              <w:tr2bl w:val="nil"/>
            </w:tcBorders>
            <w:noWrap w:val="0"/>
            <w:vAlign w:val="center"/>
          </w:tcPr>
          <w:p w14:paraId="2510D77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砷（mg/L）</w:t>
            </w:r>
          </w:p>
        </w:tc>
        <w:tc>
          <w:tcPr>
            <w:tcW w:w="1541" w:type="pct"/>
            <w:tcBorders>
              <w:tl2br w:val="nil"/>
              <w:tr2bl w:val="nil"/>
            </w:tcBorders>
            <w:noWrap w:val="0"/>
            <w:vAlign w:val="center"/>
          </w:tcPr>
          <w:p w14:paraId="1DB02B7F">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≤0.01</w:t>
            </w:r>
          </w:p>
        </w:tc>
        <w:tc>
          <w:tcPr>
            <w:tcW w:w="1309" w:type="pct"/>
            <w:vMerge w:val="continue"/>
            <w:tcBorders>
              <w:tl2br w:val="nil"/>
              <w:tr2bl w:val="nil"/>
            </w:tcBorders>
            <w:noWrap w:val="0"/>
            <w:vAlign w:val="center"/>
          </w:tcPr>
          <w:p w14:paraId="105DB967">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033634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37EE26BB">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kern w:val="2"/>
                <w:sz w:val="21"/>
                <w:szCs w:val="21"/>
                <w:highlight w:val="none"/>
                <w:u w:val="none" w:color="auto"/>
                <w:lang w:val="en-US" w:eastAsia="zh-CN" w:bidi="ar-SA"/>
              </w:rPr>
              <w:t>29</w:t>
            </w:r>
          </w:p>
        </w:tc>
        <w:tc>
          <w:tcPr>
            <w:tcW w:w="1552" w:type="pct"/>
            <w:tcBorders>
              <w:tl2br w:val="nil"/>
              <w:tr2bl w:val="nil"/>
            </w:tcBorders>
            <w:noWrap w:val="0"/>
            <w:vAlign w:val="center"/>
          </w:tcPr>
          <w:p w14:paraId="153BFB2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镉（mg/L）</w:t>
            </w:r>
          </w:p>
        </w:tc>
        <w:tc>
          <w:tcPr>
            <w:tcW w:w="1541" w:type="pct"/>
            <w:tcBorders>
              <w:tl2br w:val="nil"/>
              <w:tr2bl w:val="nil"/>
            </w:tcBorders>
            <w:noWrap w:val="0"/>
            <w:vAlign w:val="center"/>
          </w:tcPr>
          <w:p w14:paraId="63F36602">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≤0.005</w:t>
            </w:r>
          </w:p>
        </w:tc>
        <w:tc>
          <w:tcPr>
            <w:tcW w:w="1309" w:type="pct"/>
            <w:vMerge w:val="continue"/>
            <w:tcBorders>
              <w:tl2br w:val="nil"/>
              <w:tr2bl w:val="nil"/>
            </w:tcBorders>
            <w:noWrap w:val="0"/>
            <w:vAlign w:val="center"/>
          </w:tcPr>
          <w:p w14:paraId="69715E52">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6CAEC8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48F017A5">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eastAsia="宋体" w:cs="Times New Roman"/>
                <w:color w:val="auto"/>
                <w:kern w:val="2"/>
                <w:sz w:val="21"/>
                <w:szCs w:val="21"/>
                <w:highlight w:val="none"/>
                <w:u w:val="none" w:color="auto"/>
                <w:lang w:val="en-US" w:eastAsia="zh-CN" w:bidi="ar-SA"/>
              </w:rPr>
              <w:t>30</w:t>
            </w:r>
          </w:p>
        </w:tc>
        <w:tc>
          <w:tcPr>
            <w:tcW w:w="1552" w:type="pct"/>
            <w:tcBorders>
              <w:tl2br w:val="nil"/>
              <w:tr2bl w:val="nil"/>
            </w:tcBorders>
            <w:noWrap w:val="0"/>
            <w:vAlign w:val="center"/>
          </w:tcPr>
          <w:p w14:paraId="13424680">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铅（mg/L）</w:t>
            </w:r>
          </w:p>
        </w:tc>
        <w:tc>
          <w:tcPr>
            <w:tcW w:w="1541" w:type="pct"/>
            <w:tcBorders>
              <w:tl2br w:val="nil"/>
              <w:tr2bl w:val="nil"/>
            </w:tcBorders>
            <w:noWrap w:val="0"/>
            <w:vAlign w:val="center"/>
          </w:tcPr>
          <w:p w14:paraId="075ADCA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≤0.01</w:t>
            </w:r>
          </w:p>
        </w:tc>
        <w:tc>
          <w:tcPr>
            <w:tcW w:w="1309" w:type="pct"/>
            <w:vMerge w:val="continue"/>
            <w:tcBorders>
              <w:tl2br w:val="nil"/>
              <w:tr2bl w:val="nil"/>
            </w:tcBorders>
            <w:noWrap w:val="0"/>
            <w:vAlign w:val="center"/>
          </w:tcPr>
          <w:p w14:paraId="68352454">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4FCF5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4EE2F3B7">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eastAsia="宋体" w:cs="Times New Roman"/>
                <w:color w:val="auto"/>
                <w:kern w:val="2"/>
                <w:sz w:val="21"/>
                <w:szCs w:val="21"/>
                <w:highlight w:val="none"/>
                <w:u w:val="none" w:color="auto"/>
                <w:lang w:val="en-US" w:eastAsia="zh-CN" w:bidi="ar-SA"/>
              </w:rPr>
              <w:t>31</w:t>
            </w:r>
          </w:p>
        </w:tc>
        <w:tc>
          <w:tcPr>
            <w:tcW w:w="1552" w:type="pct"/>
            <w:tcBorders>
              <w:tl2br w:val="nil"/>
              <w:tr2bl w:val="nil"/>
            </w:tcBorders>
            <w:noWrap w:val="0"/>
            <w:vAlign w:val="center"/>
          </w:tcPr>
          <w:p w14:paraId="1CE7E4EA">
            <w:pPr>
              <w:keepNext w:val="0"/>
              <w:keepLines w:val="0"/>
              <w:pageBreakBefore w:val="0"/>
              <w:widowControl/>
              <w:kinsoku/>
              <w:wordWrap/>
              <w:topLinePunct/>
              <w:bidi w:val="0"/>
              <w:snapToGrid/>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汞</w:t>
            </w:r>
            <w:r>
              <w:rPr>
                <w:rFonts w:hint="default" w:ascii="Times New Roman" w:hAnsi="Times New Roman" w:eastAsia="宋体" w:cs="Times New Roman"/>
                <w:color w:val="auto"/>
                <w:sz w:val="21"/>
                <w:szCs w:val="21"/>
                <w:highlight w:val="none"/>
                <w:u w:val="none" w:color="auto"/>
              </w:rPr>
              <w:t>（mg/L）</w:t>
            </w:r>
          </w:p>
        </w:tc>
        <w:tc>
          <w:tcPr>
            <w:tcW w:w="1541" w:type="pct"/>
            <w:tcBorders>
              <w:tl2br w:val="nil"/>
              <w:tr2bl w:val="nil"/>
            </w:tcBorders>
            <w:noWrap w:val="0"/>
            <w:vAlign w:val="center"/>
          </w:tcPr>
          <w:p w14:paraId="168D7BF9">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rPr>
            </w:pPr>
            <w:r>
              <w:rPr>
                <w:rFonts w:hint="default" w:ascii="Times New Roman" w:hAnsi="Times New Roman" w:eastAsia="宋体" w:cs="Times New Roman"/>
                <w:color w:val="auto"/>
                <w:sz w:val="21"/>
                <w:szCs w:val="21"/>
                <w:highlight w:val="none"/>
                <w:u w:val="none" w:color="auto"/>
              </w:rPr>
              <w:t>≤0.0</w:t>
            </w:r>
            <w:r>
              <w:rPr>
                <w:rFonts w:hint="eastAsia" w:ascii="Times New Roman" w:hAnsi="Times New Roman" w:eastAsia="宋体" w:cs="Times New Roman"/>
                <w:color w:val="auto"/>
                <w:sz w:val="21"/>
                <w:szCs w:val="21"/>
                <w:highlight w:val="none"/>
                <w:u w:val="none" w:color="auto"/>
                <w:lang w:val="en-US" w:eastAsia="zh-CN"/>
              </w:rPr>
              <w:t>01</w:t>
            </w:r>
          </w:p>
        </w:tc>
        <w:tc>
          <w:tcPr>
            <w:tcW w:w="1309" w:type="pct"/>
            <w:vMerge w:val="continue"/>
            <w:tcBorders>
              <w:tl2br w:val="nil"/>
              <w:tr2bl w:val="nil"/>
            </w:tcBorders>
            <w:noWrap w:val="0"/>
            <w:vAlign w:val="center"/>
          </w:tcPr>
          <w:p w14:paraId="050E5838">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4E89EC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44694669">
            <w:pPr>
              <w:keepNext w:val="0"/>
              <w:keepLines w:val="0"/>
              <w:pageBreakBefore w:val="0"/>
              <w:widowControl/>
              <w:kinsoku/>
              <w:wordWrap/>
              <w:topLinePunct/>
              <w:bidi w:val="0"/>
              <w:snapToGrid/>
              <w:spacing w:line="240" w:lineRule="auto"/>
              <w:ind w:firstLine="0" w:firstLineChars="0"/>
              <w:jc w:val="center"/>
              <w:rPr>
                <w:rFonts w:hint="default" w:eastAsia="宋体" w:cs="Times New Roman"/>
                <w:color w:val="auto"/>
                <w:kern w:val="2"/>
                <w:sz w:val="21"/>
                <w:szCs w:val="21"/>
                <w:highlight w:val="none"/>
                <w:u w:val="none" w:color="auto"/>
                <w:lang w:val="en-US" w:eastAsia="zh-CN" w:bidi="ar-SA"/>
              </w:rPr>
            </w:pPr>
            <w:r>
              <w:rPr>
                <w:rFonts w:hint="eastAsia" w:eastAsia="宋体" w:cs="Times New Roman"/>
                <w:color w:val="auto"/>
                <w:kern w:val="2"/>
                <w:sz w:val="21"/>
                <w:szCs w:val="21"/>
                <w:highlight w:val="none"/>
                <w:u w:val="none" w:color="auto"/>
                <w:lang w:val="en-US" w:eastAsia="zh-CN" w:bidi="ar-SA"/>
              </w:rPr>
              <w:t>32</w:t>
            </w:r>
          </w:p>
        </w:tc>
        <w:tc>
          <w:tcPr>
            <w:tcW w:w="1552" w:type="pct"/>
            <w:tcBorders>
              <w:tl2br w:val="nil"/>
              <w:tr2bl w:val="nil"/>
            </w:tcBorders>
            <w:noWrap w:val="0"/>
            <w:vAlign w:val="center"/>
          </w:tcPr>
          <w:p w14:paraId="47366081">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硒</w:t>
            </w:r>
            <w:r>
              <w:rPr>
                <w:rFonts w:hint="default" w:ascii="Times New Roman" w:hAnsi="Times New Roman" w:eastAsia="宋体" w:cs="Times New Roman"/>
                <w:color w:val="auto"/>
                <w:sz w:val="21"/>
                <w:szCs w:val="21"/>
                <w:highlight w:val="none"/>
                <w:u w:val="none" w:color="auto"/>
              </w:rPr>
              <w:t>（mg/L）</w:t>
            </w:r>
          </w:p>
        </w:tc>
        <w:tc>
          <w:tcPr>
            <w:tcW w:w="1541" w:type="pct"/>
            <w:tcBorders>
              <w:tl2br w:val="nil"/>
              <w:tr2bl w:val="nil"/>
            </w:tcBorders>
            <w:noWrap w:val="0"/>
            <w:vAlign w:val="center"/>
          </w:tcPr>
          <w:p w14:paraId="71F717E4">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w:t>
            </w:r>
            <w:r>
              <w:rPr>
                <w:rFonts w:hint="eastAsia" w:ascii="Times New Roman" w:hAnsi="Times New Roman" w:eastAsia="宋体" w:cs="Times New Roman"/>
                <w:color w:val="auto"/>
                <w:sz w:val="21"/>
                <w:szCs w:val="21"/>
                <w:highlight w:val="none"/>
                <w:u w:val="none" w:color="auto"/>
                <w:lang w:val="en-US" w:eastAsia="zh-CN"/>
              </w:rPr>
              <w:t>0.01</w:t>
            </w:r>
          </w:p>
        </w:tc>
        <w:tc>
          <w:tcPr>
            <w:tcW w:w="1309" w:type="pct"/>
            <w:vMerge w:val="continue"/>
            <w:tcBorders>
              <w:tl2br w:val="nil"/>
              <w:tr2bl w:val="nil"/>
            </w:tcBorders>
            <w:noWrap w:val="0"/>
            <w:vAlign w:val="center"/>
          </w:tcPr>
          <w:p w14:paraId="27E7CF58">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03D202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00BB5177">
            <w:pPr>
              <w:keepNext w:val="0"/>
              <w:keepLines w:val="0"/>
              <w:pageBreakBefore w:val="0"/>
              <w:widowControl/>
              <w:kinsoku/>
              <w:wordWrap/>
              <w:topLinePunct/>
              <w:bidi w:val="0"/>
              <w:snapToGrid/>
              <w:spacing w:line="240" w:lineRule="auto"/>
              <w:ind w:firstLine="0" w:firstLineChars="0"/>
              <w:jc w:val="center"/>
              <w:rPr>
                <w:rFonts w:hint="default" w:eastAsia="宋体" w:cs="Times New Roman"/>
                <w:color w:val="auto"/>
                <w:kern w:val="2"/>
                <w:sz w:val="21"/>
                <w:szCs w:val="21"/>
                <w:highlight w:val="none"/>
                <w:u w:val="none" w:color="auto"/>
                <w:lang w:val="en-US" w:eastAsia="zh-CN" w:bidi="ar-SA"/>
              </w:rPr>
            </w:pPr>
            <w:r>
              <w:rPr>
                <w:rFonts w:hint="eastAsia" w:eastAsia="宋体" w:cs="Times New Roman"/>
                <w:color w:val="auto"/>
                <w:kern w:val="2"/>
                <w:sz w:val="21"/>
                <w:szCs w:val="21"/>
                <w:highlight w:val="none"/>
                <w:u w:val="none" w:color="auto"/>
                <w:lang w:val="en-US" w:eastAsia="zh-CN" w:bidi="ar-SA"/>
              </w:rPr>
              <w:t>33</w:t>
            </w:r>
          </w:p>
        </w:tc>
        <w:tc>
          <w:tcPr>
            <w:tcW w:w="1552" w:type="pct"/>
            <w:tcBorders>
              <w:tl2br w:val="nil"/>
              <w:tr2bl w:val="nil"/>
            </w:tcBorders>
            <w:noWrap w:val="0"/>
            <w:vAlign w:val="center"/>
          </w:tcPr>
          <w:p w14:paraId="0F916743">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铬</w:t>
            </w:r>
            <w:r>
              <w:rPr>
                <w:rFonts w:hint="default" w:ascii="Times New Roman" w:hAnsi="Times New Roman" w:eastAsia="宋体" w:cs="Times New Roman"/>
                <w:color w:val="auto"/>
                <w:sz w:val="21"/>
                <w:szCs w:val="21"/>
                <w:highlight w:val="none"/>
                <w:u w:val="none" w:color="auto"/>
              </w:rPr>
              <w:t>（mg/L）</w:t>
            </w:r>
          </w:p>
        </w:tc>
        <w:tc>
          <w:tcPr>
            <w:tcW w:w="1541" w:type="pct"/>
            <w:tcBorders>
              <w:tl2br w:val="nil"/>
              <w:tr2bl w:val="nil"/>
            </w:tcBorders>
            <w:noWrap w:val="0"/>
            <w:vAlign w:val="center"/>
          </w:tcPr>
          <w:p w14:paraId="1C3940C7">
            <w:pPr>
              <w:keepNext w:val="0"/>
              <w:keepLines w:val="0"/>
              <w:pageBreakBefore w:val="0"/>
              <w:widowControl/>
              <w:kinsoku/>
              <w:wordWrap/>
              <w:topLinePunct/>
              <w:bidi w:val="0"/>
              <w:snapToGrid/>
              <w:spacing w:line="240" w:lineRule="auto"/>
              <w:ind w:firstLine="0" w:firstLineChars="0"/>
              <w:jc w:val="center"/>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w:t>
            </w:r>
          </w:p>
        </w:tc>
        <w:tc>
          <w:tcPr>
            <w:tcW w:w="1309" w:type="pct"/>
            <w:vMerge w:val="continue"/>
            <w:tcBorders>
              <w:tl2br w:val="nil"/>
              <w:tr2bl w:val="nil"/>
            </w:tcBorders>
            <w:noWrap w:val="0"/>
            <w:vAlign w:val="center"/>
          </w:tcPr>
          <w:p w14:paraId="10B22F4B">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tr w14:paraId="10C743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23" w:hRule="atLeast"/>
          <w:jc w:val="center"/>
        </w:trPr>
        <w:tc>
          <w:tcPr>
            <w:tcW w:w="596" w:type="pct"/>
            <w:tcBorders>
              <w:tl2br w:val="nil"/>
              <w:tr2bl w:val="nil"/>
            </w:tcBorders>
            <w:noWrap w:val="0"/>
            <w:vAlign w:val="center"/>
          </w:tcPr>
          <w:p w14:paraId="43BCF0AE">
            <w:pPr>
              <w:keepNext w:val="0"/>
              <w:keepLines w:val="0"/>
              <w:pageBreakBefore w:val="0"/>
              <w:widowControl/>
              <w:kinsoku/>
              <w:wordWrap/>
              <w:topLinePunct/>
              <w:bidi w:val="0"/>
              <w:snapToGrid/>
              <w:spacing w:line="240" w:lineRule="auto"/>
              <w:ind w:firstLine="0" w:firstLineChars="0"/>
              <w:jc w:val="center"/>
              <w:rPr>
                <w:rFonts w:hint="default" w:eastAsia="宋体" w:cs="Times New Roman"/>
                <w:color w:val="auto"/>
                <w:kern w:val="2"/>
                <w:sz w:val="21"/>
                <w:szCs w:val="21"/>
                <w:highlight w:val="none"/>
                <w:u w:val="none" w:color="auto"/>
                <w:lang w:val="en-US" w:eastAsia="zh-CN" w:bidi="ar-SA"/>
              </w:rPr>
            </w:pPr>
            <w:r>
              <w:rPr>
                <w:rFonts w:hint="eastAsia" w:eastAsia="宋体" w:cs="Times New Roman"/>
                <w:color w:val="auto"/>
                <w:kern w:val="2"/>
                <w:sz w:val="21"/>
                <w:szCs w:val="21"/>
                <w:highlight w:val="none"/>
                <w:u w:val="none" w:color="auto"/>
                <w:lang w:val="en-US" w:eastAsia="zh-CN" w:bidi="ar-SA"/>
              </w:rPr>
              <w:t>34</w:t>
            </w:r>
          </w:p>
        </w:tc>
        <w:tc>
          <w:tcPr>
            <w:tcW w:w="1552" w:type="pct"/>
            <w:tcBorders>
              <w:tl2br w:val="nil"/>
              <w:tr2bl w:val="nil"/>
            </w:tcBorders>
            <w:noWrap w:val="0"/>
            <w:vAlign w:val="center"/>
          </w:tcPr>
          <w:p w14:paraId="764CA1C5">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镍</w:t>
            </w:r>
            <w:r>
              <w:rPr>
                <w:rFonts w:hint="default" w:ascii="Times New Roman" w:hAnsi="Times New Roman" w:eastAsia="宋体" w:cs="Times New Roman"/>
                <w:color w:val="auto"/>
                <w:sz w:val="21"/>
                <w:szCs w:val="21"/>
                <w:highlight w:val="none"/>
                <w:u w:val="none" w:color="auto"/>
              </w:rPr>
              <w:t>（mg/L）</w:t>
            </w:r>
          </w:p>
        </w:tc>
        <w:tc>
          <w:tcPr>
            <w:tcW w:w="1541" w:type="pct"/>
            <w:tcBorders>
              <w:tl2br w:val="nil"/>
              <w:tr2bl w:val="nil"/>
            </w:tcBorders>
            <w:noWrap w:val="0"/>
            <w:vAlign w:val="center"/>
          </w:tcPr>
          <w:p w14:paraId="7B4AB338">
            <w:pPr>
              <w:keepNext w:val="0"/>
              <w:keepLines w:val="0"/>
              <w:pageBreakBefore w:val="0"/>
              <w:widowControl/>
              <w:kinsoku/>
              <w:wordWrap/>
              <w:topLinePunct/>
              <w:bidi w:val="0"/>
              <w:snapToGrid/>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rPr>
              <w:t>≤</w:t>
            </w:r>
            <w:r>
              <w:rPr>
                <w:rFonts w:hint="eastAsia" w:ascii="Times New Roman" w:hAnsi="Times New Roman" w:eastAsia="宋体" w:cs="Times New Roman"/>
                <w:color w:val="auto"/>
                <w:sz w:val="21"/>
                <w:szCs w:val="21"/>
                <w:highlight w:val="none"/>
                <w:u w:val="none" w:color="auto"/>
                <w:lang w:val="en-US" w:eastAsia="zh-CN"/>
              </w:rPr>
              <w:t>0.02</w:t>
            </w:r>
          </w:p>
        </w:tc>
        <w:tc>
          <w:tcPr>
            <w:tcW w:w="1309" w:type="pct"/>
            <w:vMerge w:val="continue"/>
            <w:tcBorders>
              <w:tl2br w:val="nil"/>
              <w:tr2bl w:val="nil"/>
            </w:tcBorders>
            <w:noWrap w:val="0"/>
            <w:vAlign w:val="center"/>
          </w:tcPr>
          <w:p w14:paraId="65874DF4">
            <w:pPr>
              <w:keepNext w:val="0"/>
              <w:keepLines w:val="0"/>
              <w:pageBreakBefore w:val="0"/>
              <w:widowControl/>
              <w:kinsoku/>
              <w:wordWrap/>
              <w:overflowPunct w:val="0"/>
              <w:topLinePunct/>
              <w:autoSpaceDE w:val="0"/>
              <w:autoSpaceDN w:val="0"/>
              <w:bidi w:val="0"/>
              <w:adjustRightInd w:val="0"/>
              <w:snapToGrid/>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u w:val="none" w:color="auto"/>
              </w:rPr>
            </w:pPr>
          </w:p>
        </w:tc>
      </w:tr>
      <w:bookmarkEnd w:id="252"/>
      <w:bookmarkEnd w:id="253"/>
      <w:bookmarkEnd w:id="254"/>
    </w:tbl>
    <w:p w14:paraId="11B2E3F6">
      <w:pPr>
        <w:numPr>
          <w:ilvl w:val="0"/>
          <w:numId w:val="8"/>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声环境</w:t>
      </w:r>
    </w:p>
    <w:p w14:paraId="2605C757">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项目位于所在区域声环境属于</w:t>
      </w:r>
      <w:r>
        <w:rPr>
          <w:rFonts w:hint="eastAsia" w:cs="Times New Roman"/>
          <w:color w:val="auto"/>
          <w:sz w:val="24"/>
          <w:szCs w:val="24"/>
          <w:highlight w:val="none"/>
          <w:u w:val="none" w:color="auto"/>
          <w:lang w:val="en-US" w:eastAsia="zh-CN"/>
        </w:rPr>
        <w:t>2</w:t>
      </w:r>
      <w:r>
        <w:rPr>
          <w:rFonts w:hint="default" w:ascii="Times New Roman" w:hAnsi="Times New Roman" w:cs="Times New Roman"/>
          <w:color w:val="auto"/>
          <w:sz w:val="24"/>
          <w:szCs w:val="24"/>
          <w:highlight w:val="none"/>
          <w:u w:val="none" w:color="auto"/>
        </w:rPr>
        <w:t>类区，</w:t>
      </w:r>
      <w:r>
        <w:rPr>
          <w:rFonts w:hint="eastAsia" w:ascii="Times New Roman" w:hAnsi="Times New Roman" w:cs="Times New Roman"/>
          <w:color w:val="auto"/>
          <w:sz w:val="24"/>
          <w:szCs w:val="24"/>
          <w:highlight w:val="none"/>
          <w:u w:val="none" w:color="auto"/>
          <w:lang w:val="en-US" w:eastAsia="zh-CN"/>
        </w:rPr>
        <w:t>项目所在地</w:t>
      </w:r>
      <w:r>
        <w:rPr>
          <w:rFonts w:hint="default" w:ascii="Times New Roman" w:hAnsi="Times New Roman" w:cs="Times New Roman"/>
          <w:color w:val="auto"/>
          <w:sz w:val="24"/>
          <w:szCs w:val="24"/>
          <w:highlight w:val="none"/>
          <w:u w:val="none" w:color="auto"/>
        </w:rPr>
        <w:t>声环境质量执行《声环境质量标准》（GB 3096-2008）中的</w:t>
      </w:r>
      <w:r>
        <w:rPr>
          <w:rFonts w:hint="eastAsia" w:cs="Times New Roman"/>
          <w:color w:val="auto"/>
          <w:sz w:val="24"/>
          <w:szCs w:val="24"/>
          <w:highlight w:val="none"/>
          <w:u w:val="none" w:color="auto"/>
          <w:lang w:val="en-US" w:eastAsia="zh-CN"/>
        </w:rPr>
        <w:t>2</w:t>
      </w:r>
      <w:r>
        <w:rPr>
          <w:rFonts w:hint="default" w:ascii="Times New Roman" w:hAnsi="Times New Roman" w:cs="Times New Roman"/>
          <w:color w:val="auto"/>
          <w:sz w:val="24"/>
          <w:szCs w:val="24"/>
          <w:highlight w:val="none"/>
          <w:u w:val="none" w:color="auto"/>
        </w:rPr>
        <w:t>类标准。</w:t>
      </w:r>
    </w:p>
    <w:p w14:paraId="65FB0D0B">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表2.4-5  声环境质量标准</w:t>
      </w:r>
    </w:p>
    <w:tbl>
      <w:tblPr>
        <w:tblStyle w:val="4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13" w:type="dxa"/>
          <w:bottom w:w="0" w:type="dxa"/>
          <w:right w:w="113" w:type="dxa"/>
        </w:tblCellMar>
      </w:tblPr>
      <w:tblGrid>
        <w:gridCol w:w="3663"/>
        <w:gridCol w:w="2741"/>
        <w:gridCol w:w="2894"/>
      </w:tblGrid>
      <w:tr w14:paraId="0DF32E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3663" w:type="dxa"/>
            <w:noWrap w:val="0"/>
            <w:vAlign w:val="center"/>
          </w:tcPr>
          <w:p w14:paraId="52AE71F6">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声功能区类别</w:t>
            </w:r>
          </w:p>
        </w:tc>
        <w:tc>
          <w:tcPr>
            <w:tcW w:w="2741" w:type="dxa"/>
            <w:noWrap w:val="0"/>
            <w:vAlign w:val="center"/>
          </w:tcPr>
          <w:p w14:paraId="508EE87E">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昼间（dB（A））</w:t>
            </w:r>
          </w:p>
        </w:tc>
        <w:tc>
          <w:tcPr>
            <w:tcW w:w="2894" w:type="dxa"/>
            <w:noWrap w:val="0"/>
            <w:vAlign w:val="center"/>
          </w:tcPr>
          <w:p w14:paraId="1E9A08F5">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夜间（dB（A））</w:t>
            </w:r>
          </w:p>
        </w:tc>
      </w:tr>
      <w:tr w14:paraId="1D0F7B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3663" w:type="dxa"/>
            <w:noWrap w:val="0"/>
            <w:vAlign w:val="center"/>
          </w:tcPr>
          <w:p w14:paraId="344F1C8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w:t>
            </w:r>
            <w:r>
              <w:rPr>
                <w:rFonts w:hint="eastAsia" w:ascii="Times New Roman" w:hAnsi="Times New Roman" w:cs="Times New Roman"/>
                <w:color w:val="auto"/>
                <w:sz w:val="21"/>
                <w:szCs w:val="21"/>
                <w:highlight w:val="none"/>
                <w:u w:val="none" w:color="auto"/>
                <w:lang w:val="en-US" w:eastAsia="zh-CN"/>
              </w:rPr>
              <w:t>类</w:t>
            </w:r>
          </w:p>
        </w:tc>
        <w:tc>
          <w:tcPr>
            <w:tcW w:w="2741" w:type="dxa"/>
            <w:noWrap w:val="0"/>
            <w:vAlign w:val="center"/>
          </w:tcPr>
          <w:p w14:paraId="200E96AB">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6</w:t>
            </w:r>
            <w:r>
              <w:rPr>
                <w:rFonts w:hint="eastAsia" w:cs="Times New Roman"/>
                <w:color w:val="auto"/>
                <w:sz w:val="21"/>
                <w:szCs w:val="21"/>
                <w:highlight w:val="none"/>
                <w:u w:val="none" w:color="auto"/>
                <w:lang w:val="en-US" w:eastAsia="zh-CN"/>
              </w:rPr>
              <w:t>0</w:t>
            </w:r>
          </w:p>
        </w:tc>
        <w:tc>
          <w:tcPr>
            <w:tcW w:w="2894" w:type="dxa"/>
            <w:noWrap w:val="0"/>
            <w:vAlign w:val="center"/>
          </w:tcPr>
          <w:p w14:paraId="1400EA19">
            <w:pPr>
              <w:topLinePunct w:val="0"/>
              <w:spacing w:line="240" w:lineRule="auto"/>
              <w:ind w:firstLine="0" w:firstLineChars="0"/>
              <w:jc w:val="center"/>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5</w:t>
            </w:r>
            <w:r>
              <w:rPr>
                <w:rFonts w:hint="eastAsia" w:cs="Times New Roman"/>
                <w:color w:val="auto"/>
                <w:sz w:val="21"/>
                <w:szCs w:val="21"/>
                <w:highlight w:val="none"/>
                <w:u w:val="none" w:color="auto"/>
                <w:lang w:val="en-US" w:eastAsia="zh-CN"/>
              </w:rPr>
              <w:t>0</w:t>
            </w:r>
          </w:p>
        </w:tc>
      </w:tr>
    </w:tbl>
    <w:p w14:paraId="40FD8434">
      <w:pPr>
        <w:numPr>
          <w:ilvl w:val="0"/>
          <w:numId w:val="8"/>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土壤环境</w:t>
      </w:r>
    </w:p>
    <w:p w14:paraId="35A89CE0">
      <w:pPr>
        <w:keepNext w:val="0"/>
        <w:keepLines w:val="0"/>
        <w:pageBreakBefore w:val="0"/>
        <w:widowControl w:val="0"/>
        <w:kinsoku/>
        <w:wordWrap w:val="0"/>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结合评价范围内土壤目前和将来可能的功能用途，项目厂区建设用地土壤执行《土壤环境质量建设用地土壤污染风险管控标准（试行）》（GB36600-2018）风险筛选值的第二类用地筛选值标准</w:t>
      </w:r>
      <w:r>
        <w:rPr>
          <w:rFonts w:hint="eastAsia" w:ascii="Times New Roman" w:hAnsi="Times New Roman" w:cs="Times New Roman"/>
          <w:color w:val="auto"/>
          <w:sz w:val="24"/>
          <w:szCs w:val="24"/>
          <w:highlight w:val="none"/>
          <w:u w:val="none" w:color="auto"/>
          <w:lang w:eastAsia="zh-CN"/>
        </w:rPr>
        <w:t>。</w:t>
      </w:r>
      <w:r>
        <w:rPr>
          <w:rFonts w:hint="default" w:ascii="Times New Roman" w:hAnsi="Times New Roman" w:cs="Times New Roman"/>
          <w:color w:val="auto"/>
          <w:sz w:val="24"/>
          <w:szCs w:val="24"/>
          <w:highlight w:val="none"/>
          <w:u w:val="none" w:color="auto"/>
        </w:rPr>
        <w:t>详见下表2.4-6。</w:t>
      </w:r>
    </w:p>
    <w:p w14:paraId="7EEBD361">
      <w:pPr>
        <w:topLinePunct w:val="0"/>
        <w:spacing w:line="240" w:lineRule="atLeast"/>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表2.4-6  建设用地土壤污染风险筛选值（节选）  单位：mg/kg</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28" w:type="dxa"/>
          <w:left w:w="57" w:type="dxa"/>
          <w:bottom w:w="28" w:type="dxa"/>
          <w:right w:w="57" w:type="dxa"/>
        </w:tblCellMar>
      </w:tblPr>
      <w:tblGrid>
        <w:gridCol w:w="914"/>
        <w:gridCol w:w="3011"/>
        <w:gridCol w:w="1538"/>
        <w:gridCol w:w="1541"/>
        <w:gridCol w:w="2175"/>
      </w:tblGrid>
      <w:tr w14:paraId="2A173B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vMerge w:val="restart"/>
            <w:tcBorders>
              <w:tl2br w:val="nil"/>
              <w:tr2bl w:val="nil"/>
            </w:tcBorders>
            <w:noWrap w:val="0"/>
            <w:vAlign w:val="center"/>
          </w:tcPr>
          <w:p w14:paraId="228EA6C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序号</w:t>
            </w:r>
          </w:p>
        </w:tc>
        <w:tc>
          <w:tcPr>
            <w:tcW w:w="1639" w:type="pct"/>
            <w:vMerge w:val="restart"/>
            <w:tcBorders>
              <w:tl2br w:val="nil"/>
              <w:tr2bl w:val="nil"/>
            </w:tcBorders>
            <w:noWrap w:val="0"/>
            <w:vAlign w:val="center"/>
          </w:tcPr>
          <w:p w14:paraId="5CB4319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污染物项目</w:t>
            </w:r>
          </w:p>
        </w:tc>
        <w:tc>
          <w:tcPr>
            <w:tcW w:w="1676" w:type="pct"/>
            <w:gridSpan w:val="2"/>
            <w:tcBorders>
              <w:tl2br w:val="nil"/>
              <w:tr2bl w:val="nil"/>
            </w:tcBorders>
            <w:noWrap w:val="0"/>
            <w:vAlign w:val="center"/>
          </w:tcPr>
          <w:p w14:paraId="607023C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筛选值</w:t>
            </w:r>
          </w:p>
        </w:tc>
        <w:tc>
          <w:tcPr>
            <w:tcW w:w="1184" w:type="pct"/>
            <w:tcBorders>
              <w:tl2br w:val="nil"/>
              <w:tr2bl w:val="nil"/>
            </w:tcBorders>
            <w:noWrap w:val="0"/>
            <w:vAlign w:val="center"/>
          </w:tcPr>
          <w:p w14:paraId="34B90E8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标准来源</w:t>
            </w:r>
          </w:p>
        </w:tc>
      </w:tr>
      <w:tr w14:paraId="0A4B6E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vMerge w:val="continue"/>
            <w:tcBorders>
              <w:tl2br w:val="nil"/>
              <w:tr2bl w:val="nil"/>
            </w:tcBorders>
            <w:noWrap w:val="0"/>
            <w:vAlign w:val="center"/>
          </w:tcPr>
          <w:p w14:paraId="47EA1C0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u w:val="none" w:color="auto"/>
              </w:rPr>
            </w:pPr>
          </w:p>
        </w:tc>
        <w:tc>
          <w:tcPr>
            <w:tcW w:w="1639" w:type="pct"/>
            <w:vMerge w:val="continue"/>
            <w:tcBorders>
              <w:tl2br w:val="nil"/>
              <w:tr2bl w:val="nil"/>
            </w:tcBorders>
            <w:noWrap w:val="0"/>
            <w:vAlign w:val="center"/>
          </w:tcPr>
          <w:p w14:paraId="3772E98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u w:val="none" w:color="auto"/>
              </w:rPr>
            </w:pPr>
          </w:p>
        </w:tc>
        <w:tc>
          <w:tcPr>
            <w:tcW w:w="837" w:type="pct"/>
            <w:tcBorders>
              <w:tl2br w:val="nil"/>
              <w:tr2bl w:val="nil"/>
            </w:tcBorders>
            <w:noWrap w:val="0"/>
            <w:vAlign w:val="center"/>
          </w:tcPr>
          <w:p w14:paraId="4242B03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第</w:t>
            </w:r>
            <w:r>
              <w:rPr>
                <w:rFonts w:hint="eastAsia" w:ascii="Times New Roman" w:hAnsi="Times New Roman" w:eastAsia="宋体" w:cs="Times New Roman"/>
                <w:b/>
                <w:bCs/>
                <w:color w:val="auto"/>
                <w:kern w:val="0"/>
                <w:sz w:val="21"/>
                <w:szCs w:val="21"/>
                <w:highlight w:val="none"/>
                <w:u w:val="none" w:color="auto"/>
                <w:lang w:val="en-US" w:eastAsia="zh-CN"/>
              </w:rPr>
              <w:t>一</w:t>
            </w:r>
            <w:r>
              <w:rPr>
                <w:rFonts w:hint="default" w:ascii="Times New Roman" w:hAnsi="Times New Roman" w:eastAsia="宋体" w:cs="Times New Roman"/>
                <w:b/>
                <w:bCs/>
                <w:color w:val="auto"/>
                <w:kern w:val="0"/>
                <w:sz w:val="21"/>
                <w:szCs w:val="21"/>
                <w:highlight w:val="none"/>
                <w:u w:val="none" w:color="auto"/>
              </w:rPr>
              <w:t>类用地</w:t>
            </w:r>
          </w:p>
        </w:tc>
        <w:tc>
          <w:tcPr>
            <w:tcW w:w="838" w:type="pct"/>
            <w:tcBorders>
              <w:tl2br w:val="nil"/>
              <w:tr2bl w:val="nil"/>
            </w:tcBorders>
            <w:noWrap w:val="0"/>
            <w:vAlign w:val="center"/>
          </w:tcPr>
          <w:p w14:paraId="570D19A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kern w:val="0"/>
                <w:sz w:val="21"/>
                <w:szCs w:val="21"/>
                <w:highlight w:val="none"/>
                <w:u w:val="none" w:color="auto"/>
              </w:rPr>
              <w:t>第二类用地</w:t>
            </w:r>
          </w:p>
        </w:tc>
        <w:tc>
          <w:tcPr>
            <w:tcW w:w="1184" w:type="pct"/>
            <w:vMerge w:val="restart"/>
            <w:tcBorders>
              <w:tl2br w:val="nil"/>
              <w:tr2bl w:val="nil"/>
            </w:tcBorders>
            <w:noWrap w:val="0"/>
            <w:vAlign w:val="center"/>
          </w:tcPr>
          <w:p w14:paraId="788A088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《土壤环境质量建设用地土壤污染风险管控标准》（GB36600-2018）</w:t>
            </w:r>
          </w:p>
        </w:tc>
      </w:tr>
      <w:tr w14:paraId="7E08E1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90" w:hRule="atLeast"/>
          <w:jc w:val="center"/>
        </w:trPr>
        <w:tc>
          <w:tcPr>
            <w:tcW w:w="498" w:type="pct"/>
            <w:tcBorders>
              <w:tl2br w:val="nil"/>
              <w:tr2bl w:val="nil"/>
            </w:tcBorders>
            <w:noWrap w:val="0"/>
            <w:vAlign w:val="center"/>
          </w:tcPr>
          <w:p w14:paraId="1D78CE3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w:t>
            </w:r>
          </w:p>
        </w:tc>
        <w:tc>
          <w:tcPr>
            <w:tcW w:w="1639" w:type="pct"/>
            <w:tcBorders>
              <w:tl2br w:val="nil"/>
              <w:tr2bl w:val="nil"/>
            </w:tcBorders>
            <w:noWrap w:val="0"/>
            <w:vAlign w:val="center"/>
          </w:tcPr>
          <w:p w14:paraId="4D65AC6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砷</w:t>
            </w:r>
          </w:p>
        </w:tc>
        <w:tc>
          <w:tcPr>
            <w:tcW w:w="837" w:type="pct"/>
            <w:tcBorders>
              <w:tl2br w:val="nil"/>
              <w:tr2bl w:val="nil"/>
            </w:tcBorders>
            <w:noWrap w:val="0"/>
            <w:vAlign w:val="center"/>
          </w:tcPr>
          <w:p w14:paraId="4364A94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20</w:t>
            </w:r>
          </w:p>
        </w:tc>
        <w:tc>
          <w:tcPr>
            <w:tcW w:w="838" w:type="pct"/>
            <w:tcBorders>
              <w:tl2br w:val="nil"/>
              <w:tr2bl w:val="nil"/>
            </w:tcBorders>
            <w:noWrap w:val="0"/>
            <w:vAlign w:val="center"/>
          </w:tcPr>
          <w:p w14:paraId="54986DD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60</w:t>
            </w:r>
          </w:p>
        </w:tc>
        <w:tc>
          <w:tcPr>
            <w:tcW w:w="1184" w:type="pct"/>
            <w:vMerge w:val="continue"/>
            <w:tcBorders>
              <w:tl2br w:val="nil"/>
              <w:tr2bl w:val="nil"/>
            </w:tcBorders>
            <w:noWrap w:val="0"/>
            <w:vAlign w:val="center"/>
          </w:tcPr>
          <w:p w14:paraId="67067F0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0B70B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2B78069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w:t>
            </w:r>
          </w:p>
        </w:tc>
        <w:tc>
          <w:tcPr>
            <w:tcW w:w="1639" w:type="pct"/>
            <w:tcBorders>
              <w:tl2br w:val="nil"/>
              <w:tr2bl w:val="nil"/>
            </w:tcBorders>
            <w:noWrap w:val="0"/>
            <w:vAlign w:val="center"/>
          </w:tcPr>
          <w:p w14:paraId="01BE543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镉</w:t>
            </w:r>
          </w:p>
        </w:tc>
        <w:tc>
          <w:tcPr>
            <w:tcW w:w="837" w:type="pct"/>
            <w:tcBorders>
              <w:tl2br w:val="nil"/>
              <w:tr2bl w:val="nil"/>
            </w:tcBorders>
            <w:noWrap w:val="0"/>
            <w:vAlign w:val="center"/>
          </w:tcPr>
          <w:p w14:paraId="122A183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20</w:t>
            </w:r>
          </w:p>
        </w:tc>
        <w:tc>
          <w:tcPr>
            <w:tcW w:w="838" w:type="pct"/>
            <w:tcBorders>
              <w:tl2br w:val="nil"/>
              <w:tr2bl w:val="nil"/>
            </w:tcBorders>
            <w:noWrap w:val="0"/>
            <w:vAlign w:val="center"/>
          </w:tcPr>
          <w:p w14:paraId="7CF5546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65</w:t>
            </w:r>
          </w:p>
        </w:tc>
        <w:tc>
          <w:tcPr>
            <w:tcW w:w="1184" w:type="pct"/>
            <w:vMerge w:val="continue"/>
            <w:tcBorders>
              <w:tl2br w:val="nil"/>
              <w:tr2bl w:val="nil"/>
            </w:tcBorders>
            <w:noWrap w:val="0"/>
            <w:vAlign w:val="center"/>
          </w:tcPr>
          <w:p w14:paraId="052E586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739F32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EF8C70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w:t>
            </w:r>
          </w:p>
        </w:tc>
        <w:tc>
          <w:tcPr>
            <w:tcW w:w="1639" w:type="pct"/>
            <w:tcBorders>
              <w:tl2br w:val="nil"/>
              <w:tr2bl w:val="nil"/>
            </w:tcBorders>
            <w:noWrap w:val="0"/>
            <w:vAlign w:val="center"/>
          </w:tcPr>
          <w:p w14:paraId="1E2B374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铬（六价）</w:t>
            </w:r>
          </w:p>
        </w:tc>
        <w:tc>
          <w:tcPr>
            <w:tcW w:w="837" w:type="pct"/>
            <w:tcBorders>
              <w:tl2br w:val="nil"/>
              <w:tr2bl w:val="nil"/>
            </w:tcBorders>
            <w:noWrap w:val="0"/>
            <w:vAlign w:val="center"/>
          </w:tcPr>
          <w:p w14:paraId="3D9853E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3.0</w:t>
            </w:r>
          </w:p>
        </w:tc>
        <w:tc>
          <w:tcPr>
            <w:tcW w:w="838" w:type="pct"/>
            <w:tcBorders>
              <w:tl2br w:val="nil"/>
              <w:tr2bl w:val="nil"/>
            </w:tcBorders>
            <w:noWrap w:val="0"/>
            <w:vAlign w:val="center"/>
          </w:tcPr>
          <w:p w14:paraId="06FB161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5.7</w:t>
            </w:r>
          </w:p>
        </w:tc>
        <w:tc>
          <w:tcPr>
            <w:tcW w:w="1184" w:type="pct"/>
            <w:vMerge w:val="continue"/>
            <w:tcBorders>
              <w:tl2br w:val="nil"/>
              <w:tr2bl w:val="nil"/>
            </w:tcBorders>
            <w:noWrap w:val="0"/>
            <w:vAlign w:val="center"/>
          </w:tcPr>
          <w:p w14:paraId="59CCD08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716022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1C84124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w:t>
            </w:r>
          </w:p>
        </w:tc>
        <w:tc>
          <w:tcPr>
            <w:tcW w:w="1639" w:type="pct"/>
            <w:tcBorders>
              <w:tl2br w:val="nil"/>
              <w:tr2bl w:val="nil"/>
            </w:tcBorders>
            <w:noWrap w:val="0"/>
            <w:vAlign w:val="center"/>
          </w:tcPr>
          <w:p w14:paraId="4062FA7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铜</w:t>
            </w:r>
          </w:p>
        </w:tc>
        <w:tc>
          <w:tcPr>
            <w:tcW w:w="837" w:type="pct"/>
            <w:tcBorders>
              <w:tl2br w:val="nil"/>
              <w:tr2bl w:val="nil"/>
            </w:tcBorders>
            <w:noWrap w:val="0"/>
            <w:vAlign w:val="center"/>
          </w:tcPr>
          <w:p w14:paraId="1A7B356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2000</w:t>
            </w:r>
          </w:p>
        </w:tc>
        <w:tc>
          <w:tcPr>
            <w:tcW w:w="838" w:type="pct"/>
            <w:tcBorders>
              <w:tl2br w:val="nil"/>
              <w:tr2bl w:val="nil"/>
            </w:tcBorders>
            <w:noWrap w:val="0"/>
            <w:vAlign w:val="center"/>
          </w:tcPr>
          <w:p w14:paraId="10E754D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18000</w:t>
            </w:r>
          </w:p>
        </w:tc>
        <w:tc>
          <w:tcPr>
            <w:tcW w:w="1184" w:type="pct"/>
            <w:vMerge w:val="continue"/>
            <w:tcBorders>
              <w:tl2br w:val="nil"/>
              <w:tr2bl w:val="nil"/>
            </w:tcBorders>
            <w:noWrap w:val="0"/>
            <w:vAlign w:val="center"/>
          </w:tcPr>
          <w:p w14:paraId="209546B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46473C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710F321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w:t>
            </w:r>
          </w:p>
        </w:tc>
        <w:tc>
          <w:tcPr>
            <w:tcW w:w="1639" w:type="pct"/>
            <w:tcBorders>
              <w:tl2br w:val="nil"/>
              <w:tr2bl w:val="nil"/>
            </w:tcBorders>
            <w:noWrap w:val="0"/>
            <w:vAlign w:val="center"/>
          </w:tcPr>
          <w:p w14:paraId="4EF707B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铅</w:t>
            </w:r>
          </w:p>
        </w:tc>
        <w:tc>
          <w:tcPr>
            <w:tcW w:w="837" w:type="pct"/>
            <w:tcBorders>
              <w:tl2br w:val="nil"/>
              <w:tr2bl w:val="nil"/>
            </w:tcBorders>
            <w:noWrap w:val="0"/>
            <w:vAlign w:val="center"/>
          </w:tcPr>
          <w:p w14:paraId="15DBA27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400</w:t>
            </w:r>
          </w:p>
        </w:tc>
        <w:tc>
          <w:tcPr>
            <w:tcW w:w="838" w:type="pct"/>
            <w:tcBorders>
              <w:tl2br w:val="nil"/>
              <w:tr2bl w:val="nil"/>
            </w:tcBorders>
            <w:noWrap w:val="0"/>
            <w:vAlign w:val="center"/>
          </w:tcPr>
          <w:p w14:paraId="3DDAF4A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800</w:t>
            </w:r>
          </w:p>
        </w:tc>
        <w:tc>
          <w:tcPr>
            <w:tcW w:w="1184" w:type="pct"/>
            <w:vMerge w:val="continue"/>
            <w:tcBorders>
              <w:tl2br w:val="nil"/>
              <w:tr2bl w:val="nil"/>
            </w:tcBorders>
            <w:noWrap w:val="0"/>
            <w:vAlign w:val="center"/>
          </w:tcPr>
          <w:p w14:paraId="05F3B9C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189C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42DA03C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w:t>
            </w:r>
          </w:p>
        </w:tc>
        <w:tc>
          <w:tcPr>
            <w:tcW w:w="1639" w:type="pct"/>
            <w:tcBorders>
              <w:tl2br w:val="nil"/>
              <w:tr2bl w:val="nil"/>
            </w:tcBorders>
            <w:noWrap w:val="0"/>
            <w:vAlign w:val="center"/>
          </w:tcPr>
          <w:p w14:paraId="38D5F80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汞</w:t>
            </w:r>
          </w:p>
        </w:tc>
        <w:tc>
          <w:tcPr>
            <w:tcW w:w="837" w:type="pct"/>
            <w:tcBorders>
              <w:tl2br w:val="nil"/>
              <w:tr2bl w:val="nil"/>
            </w:tcBorders>
            <w:noWrap w:val="0"/>
            <w:vAlign w:val="center"/>
          </w:tcPr>
          <w:p w14:paraId="6F3F548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8</w:t>
            </w:r>
          </w:p>
        </w:tc>
        <w:tc>
          <w:tcPr>
            <w:tcW w:w="838" w:type="pct"/>
            <w:tcBorders>
              <w:tl2br w:val="nil"/>
              <w:tr2bl w:val="nil"/>
            </w:tcBorders>
            <w:noWrap w:val="0"/>
            <w:vAlign w:val="center"/>
          </w:tcPr>
          <w:p w14:paraId="29393D6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38</w:t>
            </w:r>
          </w:p>
        </w:tc>
        <w:tc>
          <w:tcPr>
            <w:tcW w:w="1184" w:type="pct"/>
            <w:vMerge w:val="continue"/>
            <w:tcBorders>
              <w:tl2br w:val="nil"/>
              <w:tr2bl w:val="nil"/>
            </w:tcBorders>
            <w:noWrap w:val="0"/>
            <w:vAlign w:val="center"/>
          </w:tcPr>
          <w:p w14:paraId="48C1528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7E5186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535D416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7</w:t>
            </w:r>
          </w:p>
        </w:tc>
        <w:tc>
          <w:tcPr>
            <w:tcW w:w="1639" w:type="pct"/>
            <w:tcBorders>
              <w:tl2br w:val="nil"/>
              <w:tr2bl w:val="nil"/>
            </w:tcBorders>
            <w:noWrap w:val="0"/>
            <w:vAlign w:val="center"/>
          </w:tcPr>
          <w:p w14:paraId="533ABA3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镍</w:t>
            </w:r>
          </w:p>
        </w:tc>
        <w:tc>
          <w:tcPr>
            <w:tcW w:w="837" w:type="pct"/>
            <w:tcBorders>
              <w:tl2br w:val="nil"/>
              <w:tr2bl w:val="nil"/>
            </w:tcBorders>
            <w:noWrap w:val="0"/>
            <w:vAlign w:val="center"/>
          </w:tcPr>
          <w:p w14:paraId="39DD13C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150</w:t>
            </w:r>
          </w:p>
        </w:tc>
        <w:tc>
          <w:tcPr>
            <w:tcW w:w="838" w:type="pct"/>
            <w:tcBorders>
              <w:tl2br w:val="nil"/>
              <w:tr2bl w:val="nil"/>
            </w:tcBorders>
            <w:noWrap w:val="0"/>
            <w:vAlign w:val="center"/>
          </w:tcPr>
          <w:p w14:paraId="020F95C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900</w:t>
            </w:r>
          </w:p>
        </w:tc>
        <w:tc>
          <w:tcPr>
            <w:tcW w:w="1184" w:type="pct"/>
            <w:vMerge w:val="continue"/>
            <w:tcBorders>
              <w:tl2br w:val="nil"/>
              <w:tr2bl w:val="nil"/>
            </w:tcBorders>
            <w:noWrap w:val="0"/>
            <w:vAlign w:val="center"/>
          </w:tcPr>
          <w:p w14:paraId="68F30E3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5FC3B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575110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8</w:t>
            </w:r>
          </w:p>
        </w:tc>
        <w:tc>
          <w:tcPr>
            <w:tcW w:w="1639" w:type="pct"/>
            <w:tcBorders>
              <w:tl2br w:val="nil"/>
              <w:tr2bl w:val="nil"/>
            </w:tcBorders>
            <w:noWrap w:val="0"/>
            <w:vAlign w:val="center"/>
          </w:tcPr>
          <w:p w14:paraId="650C144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四氯化碳</w:t>
            </w:r>
          </w:p>
        </w:tc>
        <w:tc>
          <w:tcPr>
            <w:tcW w:w="837" w:type="pct"/>
            <w:tcBorders>
              <w:tl2br w:val="nil"/>
              <w:tr2bl w:val="nil"/>
            </w:tcBorders>
            <w:noWrap w:val="0"/>
            <w:vAlign w:val="center"/>
          </w:tcPr>
          <w:p w14:paraId="04D96A9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0.9</w:t>
            </w:r>
          </w:p>
        </w:tc>
        <w:tc>
          <w:tcPr>
            <w:tcW w:w="838" w:type="pct"/>
            <w:tcBorders>
              <w:tl2br w:val="nil"/>
              <w:tr2bl w:val="nil"/>
            </w:tcBorders>
            <w:noWrap w:val="0"/>
            <w:vAlign w:val="center"/>
          </w:tcPr>
          <w:p w14:paraId="21EB9D9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2.8</w:t>
            </w:r>
          </w:p>
        </w:tc>
        <w:tc>
          <w:tcPr>
            <w:tcW w:w="1184" w:type="pct"/>
            <w:vMerge w:val="continue"/>
            <w:tcBorders>
              <w:tl2br w:val="nil"/>
              <w:tr2bl w:val="nil"/>
            </w:tcBorders>
            <w:noWrap w:val="0"/>
            <w:vAlign w:val="center"/>
          </w:tcPr>
          <w:p w14:paraId="693C008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44C5FE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3E949F7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9</w:t>
            </w:r>
          </w:p>
        </w:tc>
        <w:tc>
          <w:tcPr>
            <w:tcW w:w="1639" w:type="pct"/>
            <w:tcBorders>
              <w:tl2br w:val="nil"/>
              <w:tr2bl w:val="nil"/>
            </w:tcBorders>
            <w:noWrap w:val="0"/>
            <w:vAlign w:val="center"/>
          </w:tcPr>
          <w:p w14:paraId="274B727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氯仿</w:t>
            </w:r>
          </w:p>
        </w:tc>
        <w:tc>
          <w:tcPr>
            <w:tcW w:w="837" w:type="pct"/>
            <w:tcBorders>
              <w:tl2br w:val="nil"/>
              <w:tr2bl w:val="nil"/>
            </w:tcBorders>
            <w:noWrap w:val="0"/>
            <w:vAlign w:val="center"/>
          </w:tcPr>
          <w:p w14:paraId="68784F8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0.3</w:t>
            </w:r>
          </w:p>
        </w:tc>
        <w:tc>
          <w:tcPr>
            <w:tcW w:w="838" w:type="pct"/>
            <w:tcBorders>
              <w:tl2br w:val="nil"/>
              <w:tr2bl w:val="nil"/>
            </w:tcBorders>
            <w:noWrap w:val="0"/>
            <w:vAlign w:val="center"/>
          </w:tcPr>
          <w:p w14:paraId="7CC3EE4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0.9</w:t>
            </w:r>
          </w:p>
        </w:tc>
        <w:tc>
          <w:tcPr>
            <w:tcW w:w="1184" w:type="pct"/>
            <w:vMerge w:val="continue"/>
            <w:tcBorders>
              <w:tl2br w:val="nil"/>
              <w:tr2bl w:val="nil"/>
            </w:tcBorders>
            <w:noWrap w:val="0"/>
            <w:vAlign w:val="center"/>
          </w:tcPr>
          <w:p w14:paraId="747562F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91F6B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4C84308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10</w:t>
            </w:r>
          </w:p>
        </w:tc>
        <w:tc>
          <w:tcPr>
            <w:tcW w:w="1639" w:type="pct"/>
            <w:tcBorders>
              <w:tl2br w:val="nil"/>
              <w:tr2bl w:val="nil"/>
            </w:tcBorders>
            <w:noWrap w:val="0"/>
            <w:vAlign w:val="center"/>
          </w:tcPr>
          <w:p w14:paraId="7E234CB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氯甲烷</w:t>
            </w:r>
          </w:p>
        </w:tc>
        <w:tc>
          <w:tcPr>
            <w:tcW w:w="837" w:type="pct"/>
            <w:tcBorders>
              <w:tl2br w:val="nil"/>
              <w:tr2bl w:val="nil"/>
            </w:tcBorders>
            <w:noWrap w:val="0"/>
            <w:vAlign w:val="center"/>
          </w:tcPr>
          <w:p w14:paraId="6717596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12</w:t>
            </w:r>
          </w:p>
        </w:tc>
        <w:tc>
          <w:tcPr>
            <w:tcW w:w="838" w:type="pct"/>
            <w:tcBorders>
              <w:tl2br w:val="nil"/>
              <w:tr2bl w:val="nil"/>
            </w:tcBorders>
            <w:noWrap w:val="0"/>
            <w:vAlign w:val="center"/>
          </w:tcPr>
          <w:p w14:paraId="24FC15D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37</w:t>
            </w:r>
          </w:p>
        </w:tc>
        <w:tc>
          <w:tcPr>
            <w:tcW w:w="1184" w:type="pct"/>
            <w:vMerge w:val="continue"/>
            <w:tcBorders>
              <w:tl2br w:val="nil"/>
              <w:tr2bl w:val="nil"/>
            </w:tcBorders>
            <w:noWrap w:val="0"/>
            <w:vAlign w:val="center"/>
          </w:tcPr>
          <w:p w14:paraId="2E9CCB2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54CBA9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75E70AB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w:t>
            </w:r>
          </w:p>
        </w:tc>
        <w:tc>
          <w:tcPr>
            <w:tcW w:w="1639" w:type="pct"/>
            <w:tcBorders>
              <w:tl2br w:val="nil"/>
              <w:tr2bl w:val="nil"/>
            </w:tcBorders>
            <w:noWrap w:val="0"/>
            <w:vAlign w:val="center"/>
          </w:tcPr>
          <w:p w14:paraId="4788043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1,1-二氯乙烷</w:t>
            </w:r>
          </w:p>
        </w:tc>
        <w:tc>
          <w:tcPr>
            <w:tcW w:w="837" w:type="pct"/>
            <w:tcBorders>
              <w:tl2br w:val="nil"/>
              <w:tr2bl w:val="nil"/>
            </w:tcBorders>
            <w:noWrap w:val="0"/>
            <w:vAlign w:val="center"/>
          </w:tcPr>
          <w:p w14:paraId="60EC90F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3</w:t>
            </w:r>
          </w:p>
        </w:tc>
        <w:tc>
          <w:tcPr>
            <w:tcW w:w="838" w:type="pct"/>
            <w:tcBorders>
              <w:tl2br w:val="nil"/>
              <w:tr2bl w:val="nil"/>
            </w:tcBorders>
            <w:noWrap w:val="0"/>
            <w:vAlign w:val="center"/>
          </w:tcPr>
          <w:p w14:paraId="5D92BF7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9</w:t>
            </w:r>
          </w:p>
        </w:tc>
        <w:tc>
          <w:tcPr>
            <w:tcW w:w="1184" w:type="pct"/>
            <w:vMerge w:val="continue"/>
            <w:tcBorders>
              <w:tl2br w:val="nil"/>
              <w:tr2bl w:val="nil"/>
            </w:tcBorders>
            <w:noWrap w:val="0"/>
            <w:vAlign w:val="center"/>
          </w:tcPr>
          <w:p w14:paraId="7EEACDD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F7D46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09C171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w:t>
            </w:r>
          </w:p>
        </w:tc>
        <w:tc>
          <w:tcPr>
            <w:tcW w:w="1639" w:type="pct"/>
            <w:tcBorders>
              <w:tl2br w:val="nil"/>
              <w:tr2bl w:val="nil"/>
            </w:tcBorders>
            <w:noWrap w:val="0"/>
            <w:vAlign w:val="center"/>
          </w:tcPr>
          <w:p w14:paraId="1716459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1,2-二氯乙烷</w:t>
            </w:r>
          </w:p>
        </w:tc>
        <w:tc>
          <w:tcPr>
            <w:tcW w:w="837" w:type="pct"/>
            <w:tcBorders>
              <w:tl2br w:val="nil"/>
              <w:tr2bl w:val="nil"/>
            </w:tcBorders>
            <w:noWrap w:val="0"/>
            <w:vAlign w:val="center"/>
          </w:tcPr>
          <w:p w14:paraId="1E4B898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0.52</w:t>
            </w:r>
          </w:p>
        </w:tc>
        <w:tc>
          <w:tcPr>
            <w:tcW w:w="838" w:type="pct"/>
            <w:tcBorders>
              <w:tl2br w:val="nil"/>
              <w:tr2bl w:val="nil"/>
            </w:tcBorders>
            <w:noWrap w:val="0"/>
            <w:vAlign w:val="center"/>
          </w:tcPr>
          <w:p w14:paraId="5775CE3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w:t>
            </w:r>
          </w:p>
        </w:tc>
        <w:tc>
          <w:tcPr>
            <w:tcW w:w="1184" w:type="pct"/>
            <w:vMerge w:val="continue"/>
            <w:tcBorders>
              <w:tl2br w:val="nil"/>
              <w:tr2bl w:val="nil"/>
            </w:tcBorders>
            <w:noWrap w:val="0"/>
            <w:vAlign w:val="center"/>
          </w:tcPr>
          <w:p w14:paraId="10F56B8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2946EB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65EBFD4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13</w:t>
            </w:r>
          </w:p>
        </w:tc>
        <w:tc>
          <w:tcPr>
            <w:tcW w:w="1639" w:type="pct"/>
            <w:tcBorders>
              <w:tl2br w:val="nil"/>
              <w:tr2bl w:val="nil"/>
            </w:tcBorders>
            <w:noWrap w:val="0"/>
            <w:vAlign w:val="center"/>
          </w:tcPr>
          <w:p w14:paraId="37A82B9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1,1-二氯乙烯</w:t>
            </w:r>
          </w:p>
        </w:tc>
        <w:tc>
          <w:tcPr>
            <w:tcW w:w="837" w:type="pct"/>
            <w:tcBorders>
              <w:tl2br w:val="nil"/>
              <w:tr2bl w:val="nil"/>
            </w:tcBorders>
            <w:noWrap w:val="0"/>
            <w:vAlign w:val="center"/>
          </w:tcPr>
          <w:p w14:paraId="2E4A881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12</w:t>
            </w:r>
          </w:p>
        </w:tc>
        <w:tc>
          <w:tcPr>
            <w:tcW w:w="838" w:type="pct"/>
            <w:tcBorders>
              <w:tl2br w:val="nil"/>
              <w:tr2bl w:val="nil"/>
            </w:tcBorders>
            <w:noWrap w:val="0"/>
            <w:vAlign w:val="center"/>
          </w:tcPr>
          <w:p w14:paraId="6B1B9B7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66</w:t>
            </w:r>
          </w:p>
        </w:tc>
        <w:tc>
          <w:tcPr>
            <w:tcW w:w="1184" w:type="pct"/>
            <w:vMerge w:val="continue"/>
            <w:tcBorders>
              <w:tl2br w:val="nil"/>
              <w:tr2bl w:val="nil"/>
            </w:tcBorders>
            <w:noWrap w:val="0"/>
            <w:vAlign w:val="center"/>
          </w:tcPr>
          <w:p w14:paraId="63EA4D9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39198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09DA44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14</w:t>
            </w:r>
          </w:p>
        </w:tc>
        <w:tc>
          <w:tcPr>
            <w:tcW w:w="1639" w:type="pct"/>
            <w:tcBorders>
              <w:tl2br w:val="nil"/>
              <w:tr2bl w:val="nil"/>
            </w:tcBorders>
            <w:noWrap w:val="0"/>
            <w:vAlign w:val="center"/>
          </w:tcPr>
          <w:p w14:paraId="0C40C6A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顺-1,2-二氯乙烯</w:t>
            </w:r>
          </w:p>
        </w:tc>
        <w:tc>
          <w:tcPr>
            <w:tcW w:w="837" w:type="pct"/>
            <w:tcBorders>
              <w:tl2br w:val="nil"/>
              <w:tr2bl w:val="nil"/>
            </w:tcBorders>
            <w:noWrap w:val="0"/>
            <w:vAlign w:val="center"/>
          </w:tcPr>
          <w:p w14:paraId="7E3B842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66</w:t>
            </w:r>
          </w:p>
        </w:tc>
        <w:tc>
          <w:tcPr>
            <w:tcW w:w="838" w:type="pct"/>
            <w:tcBorders>
              <w:tl2br w:val="nil"/>
              <w:tr2bl w:val="nil"/>
            </w:tcBorders>
            <w:noWrap w:val="0"/>
            <w:vAlign w:val="center"/>
          </w:tcPr>
          <w:p w14:paraId="0B4FDD7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596</w:t>
            </w:r>
          </w:p>
        </w:tc>
        <w:tc>
          <w:tcPr>
            <w:tcW w:w="1184" w:type="pct"/>
            <w:vMerge w:val="continue"/>
            <w:tcBorders>
              <w:tl2br w:val="nil"/>
              <w:tr2bl w:val="nil"/>
            </w:tcBorders>
            <w:noWrap w:val="0"/>
            <w:vAlign w:val="center"/>
          </w:tcPr>
          <w:p w14:paraId="5690622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1F594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4A02A9B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w:t>
            </w:r>
          </w:p>
        </w:tc>
        <w:tc>
          <w:tcPr>
            <w:tcW w:w="1639" w:type="pct"/>
            <w:tcBorders>
              <w:tl2br w:val="nil"/>
              <w:tr2bl w:val="nil"/>
            </w:tcBorders>
            <w:noWrap w:val="0"/>
            <w:vAlign w:val="center"/>
          </w:tcPr>
          <w:p w14:paraId="77945E8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反-1,2-二氯乙烯</w:t>
            </w:r>
          </w:p>
        </w:tc>
        <w:tc>
          <w:tcPr>
            <w:tcW w:w="837" w:type="pct"/>
            <w:tcBorders>
              <w:tl2br w:val="nil"/>
              <w:tr2bl w:val="nil"/>
            </w:tcBorders>
            <w:noWrap w:val="0"/>
            <w:vAlign w:val="center"/>
          </w:tcPr>
          <w:p w14:paraId="73E93A8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10</w:t>
            </w:r>
          </w:p>
        </w:tc>
        <w:tc>
          <w:tcPr>
            <w:tcW w:w="838" w:type="pct"/>
            <w:tcBorders>
              <w:tl2br w:val="nil"/>
              <w:tr2bl w:val="nil"/>
            </w:tcBorders>
            <w:noWrap w:val="0"/>
            <w:vAlign w:val="center"/>
          </w:tcPr>
          <w:p w14:paraId="315D785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54</w:t>
            </w:r>
          </w:p>
        </w:tc>
        <w:tc>
          <w:tcPr>
            <w:tcW w:w="1184" w:type="pct"/>
            <w:vMerge w:val="continue"/>
            <w:tcBorders>
              <w:tl2br w:val="nil"/>
              <w:tr2bl w:val="nil"/>
            </w:tcBorders>
            <w:noWrap w:val="0"/>
            <w:vAlign w:val="center"/>
          </w:tcPr>
          <w:p w14:paraId="54BB50F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23637B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675C9CD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16</w:t>
            </w:r>
          </w:p>
        </w:tc>
        <w:tc>
          <w:tcPr>
            <w:tcW w:w="1639" w:type="pct"/>
            <w:tcBorders>
              <w:tl2br w:val="nil"/>
              <w:tr2bl w:val="nil"/>
            </w:tcBorders>
            <w:noWrap w:val="0"/>
            <w:vAlign w:val="center"/>
          </w:tcPr>
          <w:p w14:paraId="09A6AC6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二氯甲烷</w:t>
            </w:r>
          </w:p>
        </w:tc>
        <w:tc>
          <w:tcPr>
            <w:tcW w:w="837" w:type="pct"/>
            <w:tcBorders>
              <w:tl2br w:val="nil"/>
              <w:tr2bl w:val="nil"/>
            </w:tcBorders>
            <w:noWrap w:val="0"/>
            <w:vAlign w:val="center"/>
          </w:tcPr>
          <w:p w14:paraId="7F18806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94</w:t>
            </w:r>
          </w:p>
        </w:tc>
        <w:tc>
          <w:tcPr>
            <w:tcW w:w="838" w:type="pct"/>
            <w:tcBorders>
              <w:tl2br w:val="nil"/>
              <w:tr2bl w:val="nil"/>
            </w:tcBorders>
            <w:noWrap w:val="0"/>
            <w:vAlign w:val="center"/>
          </w:tcPr>
          <w:p w14:paraId="200E669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616</w:t>
            </w:r>
          </w:p>
        </w:tc>
        <w:tc>
          <w:tcPr>
            <w:tcW w:w="1184" w:type="pct"/>
            <w:vMerge w:val="continue"/>
            <w:tcBorders>
              <w:tl2br w:val="nil"/>
              <w:tr2bl w:val="nil"/>
            </w:tcBorders>
            <w:noWrap w:val="0"/>
            <w:vAlign w:val="center"/>
          </w:tcPr>
          <w:p w14:paraId="53FD861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17EEA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6FDB32F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17</w:t>
            </w:r>
          </w:p>
        </w:tc>
        <w:tc>
          <w:tcPr>
            <w:tcW w:w="1639" w:type="pct"/>
            <w:tcBorders>
              <w:tl2br w:val="nil"/>
              <w:tr2bl w:val="nil"/>
            </w:tcBorders>
            <w:noWrap w:val="0"/>
            <w:vAlign w:val="center"/>
          </w:tcPr>
          <w:p w14:paraId="1E93A4D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1，2-二氯丙烷</w:t>
            </w:r>
          </w:p>
        </w:tc>
        <w:tc>
          <w:tcPr>
            <w:tcW w:w="837" w:type="pct"/>
            <w:tcBorders>
              <w:tl2br w:val="nil"/>
              <w:tr2bl w:val="nil"/>
            </w:tcBorders>
            <w:noWrap w:val="0"/>
            <w:vAlign w:val="center"/>
          </w:tcPr>
          <w:p w14:paraId="52C4B47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w:t>
            </w:r>
          </w:p>
        </w:tc>
        <w:tc>
          <w:tcPr>
            <w:tcW w:w="838" w:type="pct"/>
            <w:tcBorders>
              <w:tl2br w:val="nil"/>
              <w:tr2bl w:val="nil"/>
            </w:tcBorders>
            <w:noWrap w:val="0"/>
            <w:vAlign w:val="center"/>
          </w:tcPr>
          <w:p w14:paraId="03D443B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w:t>
            </w:r>
          </w:p>
        </w:tc>
        <w:tc>
          <w:tcPr>
            <w:tcW w:w="1184" w:type="pct"/>
            <w:vMerge w:val="continue"/>
            <w:tcBorders>
              <w:tl2br w:val="nil"/>
              <w:tr2bl w:val="nil"/>
            </w:tcBorders>
            <w:noWrap w:val="0"/>
            <w:vAlign w:val="center"/>
          </w:tcPr>
          <w:p w14:paraId="0BB0789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767D6D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DF069D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18</w:t>
            </w:r>
          </w:p>
        </w:tc>
        <w:tc>
          <w:tcPr>
            <w:tcW w:w="1639" w:type="pct"/>
            <w:tcBorders>
              <w:tl2br w:val="nil"/>
              <w:tr2bl w:val="nil"/>
            </w:tcBorders>
            <w:noWrap w:val="0"/>
            <w:vAlign w:val="center"/>
          </w:tcPr>
          <w:p w14:paraId="6FCFAD9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1,1,1,2-四氯乙烷</w:t>
            </w:r>
          </w:p>
        </w:tc>
        <w:tc>
          <w:tcPr>
            <w:tcW w:w="837" w:type="pct"/>
            <w:tcBorders>
              <w:tl2br w:val="nil"/>
              <w:tr2bl w:val="nil"/>
            </w:tcBorders>
            <w:noWrap w:val="0"/>
            <w:vAlign w:val="center"/>
          </w:tcPr>
          <w:p w14:paraId="54FA684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2.6</w:t>
            </w:r>
          </w:p>
        </w:tc>
        <w:tc>
          <w:tcPr>
            <w:tcW w:w="838" w:type="pct"/>
            <w:tcBorders>
              <w:tl2br w:val="nil"/>
              <w:tr2bl w:val="nil"/>
            </w:tcBorders>
            <w:noWrap w:val="0"/>
            <w:vAlign w:val="center"/>
          </w:tcPr>
          <w:p w14:paraId="1224C71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10</w:t>
            </w:r>
          </w:p>
        </w:tc>
        <w:tc>
          <w:tcPr>
            <w:tcW w:w="1184" w:type="pct"/>
            <w:vMerge w:val="continue"/>
            <w:tcBorders>
              <w:tl2br w:val="nil"/>
              <w:tr2bl w:val="nil"/>
            </w:tcBorders>
            <w:noWrap w:val="0"/>
            <w:vAlign w:val="center"/>
          </w:tcPr>
          <w:p w14:paraId="613250C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37202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24BB8F6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19</w:t>
            </w:r>
          </w:p>
        </w:tc>
        <w:tc>
          <w:tcPr>
            <w:tcW w:w="1639" w:type="pct"/>
            <w:tcBorders>
              <w:tl2br w:val="nil"/>
              <w:tr2bl w:val="nil"/>
            </w:tcBorders>
            <w:noWrap w:val="0"/>
            <w:vAlign w:val="center"/>
          </w:tcPr>
          <w:p w14:paraId="11D986B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1,1,2,2-四氯乙烷</w:t>
            </w:r>
          </w:p>
        </w:tc>
        <w:tc>
          <w:tcPr>
            <w:tcW w:w="837" w:type="pct"/>
            <w:tcBorders>
              <w:tl2br w:val="nil"/>
              <w:tr2bl w:val="nil"/>
            </w:tcBorders>
            <w:noWrap w:val="0"/>
            <w:vAlign w:val="center"/>
          </w:tcPr>
          <w:p w14:paraId="4B60491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1.6</w:t>
            </w:r>
          </w:p>
        </w:tc>
        <w:tc>
          <w:tcPr>
            <w:tcW w:w="838" w:type="pct"/>
            <w:tcBorders>
              <w:tl2br w:val="nil"/>
              <w:tr2bl w:val="nil"/>
            </w:tcBorders>
            <w:noWrap w:val="0"/>
            <w:vAlign w:val="center"/>
          </w:tcPr>
          <w:p w14:paraId="59B0EF7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6.8</w:t>
            </w:r>
          </w:p>
        </w:tc>
        <w:tc>
          <w:tcPr>
            <w:tcW w:w="1184" w:type="pct"/>
            <w:vMerge w:val="continue"/>
            <w:tcBorders>
              <w:tl2br w:val="nil"/>
              <w:tr2bl w:val="nil"/>
            </w:tcBorders>
            <w:noWrap w:val="0"/>
            <w:vAlign w:val="center"/>
          </w:tcPr>
          <w:p w14:paraId="4FB55D9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48AE38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7828A12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20</w:t>
            </w:r>
          </w:p>
        </w:tc>
        <w:tc>
          <w:tcPr>
            <w:tcW w:w="1639" w:type="pct"/>
            <w:tcBorders>
              <w:tl2br w:val="nil"/>
              <w:tr2bl w:val="nil"/>
            </w:tcBorders>
            <w:noWrap w:val="0"/>
            <w:vAlign w:val="center"/>
          </w:tcPr>
          <w:p w14:paraId="4CC8F06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四氯乙烯</w:t>
            </w:r>
          </w:p>
        </w:tc>
        <w:tc>
          <w:tcPr>
            <w:tcW w:w="837" w:type="pct"/>
            <w:tcBorders>
              <w:tl2br w:val="nil"/>
              <w:tr2bl w:val="nil"/>
            </w:tcBorders>
            <w:noWrap w:val="0"/>
            <w:vAlign w:val="center"/>
          </w:tcPr>
          <w:p w14:paraId="7B43132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11</w:t>
            </w:r>
          </w:p>
        </w:tc>
        <w:tc>
          <w:tcPr>
            <w:tcW w:w="838" w:type="pct"/>
            <w:tcBorders>
              <w:tl2br w:val="nil"/>
              <w:tr2bl w:val="nil"/>
            </w:tcBorders>
            <w:noWrap w:val="0"/>
            <w:vAlign w:val="center"/>
          </w:tcPr>
          <w:p w14:paraId="055B310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53</w:t>
            </w:r>
          </w:p>
        </w:tc>
        <w:tc>
          <w:tcPr>
            <w:tcW w:w="1184" w:type="pct"/>
            <w:vMerge w:val="continue"/>
            <w:tcBorders>
              <w:tl2br w:val="nil"/>
              <w:tr2bl w:val="nil"/>
            </w:tcBorders>
            <w:noWrap w:val="0"/>
            <w:vAlign w:val="center"/>
          </w:tcPr>
          <w:p w14:paraId="6BB48DF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C545F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65C0F9F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21</w:t>
            </w:r>
          </w:p>
        </w:tc>
        <w:tc>
          <w:tcPr>
            <w:tcW w:w="1639" w:type="pct"/>
            <w:tcBorders>
              <w:tl2br w:val="nil"/>
              <w:tr2bl w:val="nil"/>
            </w:tcBorders>
            <w:noWrap w:val="0"/>
            <w:vAlign w:val="center"/>
          </w:tcPr>
          <w:p w14:paraId="102663B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1，1，1-三氯乙烷</w:t>
            </w:r>
          </w:p>
        </w:tc>
        <w:tc>
          <w:tcPr>
            <w:tcW w:w="837" w:type="pct"/>
            <w:tcBorders>
              <w:tl2br w:val="nil"/>
              <w:tr2bl w:val="nil"/>
            </w:tcBorders>
            <w:noWrap w:val="0"/>
            <w:vAlign w:val="center"/>
          </w:tcPr>
          <w:p w14:paraId="7342357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701</w:t>
            </w:r>
          </w:p>
        </w:tc>
        <w:tc>
          <w:tcPr>
            <w:tcW w:w="838" w:type="pct"/>
            <w:tcBorders>
              <w:tl2br w:val="nil"/>
              <w:tr2bl w:val="nil"/>
            </w:tcBorders>
            <w:noWrap w:val="0"/>
            <w:vAlign w:val="center"/>
          </w:tcPr>
          <w:p w14:paraId="654064B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840</w:t>
            </w:r>
          </w:p>
        </w:tc>
        <w:tc>
          <w:tcPr>
            <w:tcW w:w="1184" w:type="pct"/>
            <w:vMerge w:val="continue"/>
            <w:tcBorders>
              <w:tl2br w:val="nil"/>
              <w:tr2bl w:val="nil"/>
            </w:tcBorders>
            <w:noWrap w:val="0"/>
            <w:vAlign w:val="center"/>
          </w:tcPr>
          <w:p w14:paraId="6FD74BA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3BCBFA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263EB4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22</w:t>
            </w:r>
          </w:p>
        </w:tc>
        <w:tc>
          <w:tcPr>
            <w:tcW w:w="1639" w:type="pct"/>
            <w:tcBorders>
              <w:tl2br w:val="nil"/>
              <w:tr2bl w:val="nil"/>
            </w:tcBorders>
            <w:noWrap w:val="0"/>
            <w:vAlign w:val="center"/>
          </w:tcPr>
          <w:p w14:paraId="700FC04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1，1，2三氯乙烷</w:t>
            </w:r>
          </w:p>
        </w:tc>
        <w:tc>
          <w:tcPr>
            <w:tcW w:w="837" w:type="pct"/>
            <w:tcBorders>
              <w:tl2br w:val="nil"/>
              <w:tr2bl w:val="nil"/>
            </w:tcBorders>
            <w:noWrap w:val="0"/>
            <w:vAlign w:val="center"/>
          </w:tcPr>
          <w:p w14:paraId="489A3CD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0.6</w:t>
            </w:r>
          </w:p>
        </w:tc>
        <w:tc>
          <w:tcPr>
            <w:tcW w:w="838" w:type="pct"/>
            <w:tcBorders>
              <w:tl2br w:val="nil"/>
              <w:tr2bl w:val="nil"/>
            </w:tcBorders>
            <w:noWrap w:val="0"/>
            <w:vAlign w:val="center"/>
          </w:tcPr>
          <w:p w14:paraId="40F58F6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2.8</w:t>
            </w:r>
          </w:p>
        </w:tc>
        <w:tc>
          <w:tcPr>
            <w:tcW w:w="1184" w:type="pct"/>
            <w:vMerge w:val="continue"/>
            <w:tcBorders>
              <w:tl2br w:val="nil"/>
              <w:tr2bl w:val="nil"/>
            </w:tcBorders>
            <w:noWrap w:val="0"/>
            <w:vAlign w:val="center"/>
          </w:tcPr>
          <w:p w14:paraId="500C07A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794A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014D58A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23</w:t>
            </w:r>
          </w:p>
        </w:tc>
        <w:tc>
          <w:tcPr>
            <w:tcW w:w="1639" w:type="pct"/>
            <w:tcBorders>
              <w:tl2br w:val="nil"/>
              <w:tr2bl w:val="nil"/>
            </w:tcBorders>
            <w:noWrap w:val="0"/>
            <w:vAlign w:val="center"/>
          </w:tcPr>
          <w:p w14:paraId="4C025D0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三氯乙烯</w:t>
            </w:r>
          </w:p>
        </w:tc>
        <w:tc>
          <w:tcPr>
            <w:tcW w:w="837" w:type="pct"/>
            <w:tcBorders>
              <w:tl2br w:val="nil"/>
              <w:tr2bl w:val="nil"/>
            </w:tcBorders>
            <w:noWrap w:val="0"/>
            <w:vAlign w:val="center"/>
          </w:tcPr>
          <w:p w14:paraId="142B8F4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0.7</w:t>
            </w:r>
          </w:p>
        </w:tc>
        <w:tc>
          <w:tcPr>
            <w:tcW w:w="838" w:type="pct"/>
            <w:tcBorders>
              <w:tl2br w:val="nil"/>
              <w:tr2bl w:val="nil"/>
            </w:tcBorders>
            <w:noWrap w:val="0"/>
            <w:vAlign w:val="center"/>
          </w:tcPr>
          <w:p w14:paraId="5BAB652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2.8</w:t>
            </w:r>
          </w:p>
        </w:tc>
        <w:tc>
          <w:tcPr>
            <w:tcW w:w="1184" w:type="pct"/>
            <w:vMerge w:val="continue"/>
            <w:tcBorders>
              <w:tl2br w:val="nil"/>
              <w:tr2bl w:val="nil"/>
            </w:tcBorders>
            <w:noWrap w:val="0"/>
            <w:vAlign w:val="center"/>
          </w:tcPr>
          <w:p w14:paraId="06B99CC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777D66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352C43D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24</w:t>
            </w:r>
          </w:p>
        </w:tc>
        <w:tc>
          <w:tcPr>
            <w:tcW w:w="1639" w:type="pct"/>
            <w:tcBorders>
              <w:tl2br w:val="nil"/>
              <w:tr2bl w:val="nil"/>
            </w:tcBorders>
            <w:noWrap w:val="0"/>
            <w:vAlign w:val="center"/>
          </w:tcPr>
          <w:p w14:paraId="23E515E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1，2，3-三氯乙烷</w:t>
            </w:r>
          </w:p>
        </w:tc>
        <w:tc>
          <w:tcPr>
            <w:tcW w:w="837" w:type="pct"/>
            <w:tcBorders>
              <w:tl2br w:val="nil"/>
              <w:tr2bl w:val="nil"/>
            </w:tcBorders>
            <w:noWrap w:val="0"/>
            <w:vAlign w:val="center"/>
          </w:tcPr>
          <w:p w14:paraId="03C52A7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0.05</w:t>
            </w:r>
          </w:p>
        </w:tc>
        <w:tc>
          <w:tcPr>
            <w:tcW w:w="838" w:type="pct"/>
            <w:tcBorders>
              <w:tl2br w:val="nil"/>
              <w:tr2bl w:val="nil"/>
            </w:tcBorders>
            <w:noWrap w:val="0"/>
            <w:vAlign w:val="center"/>
          </w:tcPr>
          <w:p w14:paraId="6A7753F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0.5</w:t>
            </w:r>
          </w:p>
        </w:tc>
        <w:tc>
          <w:tcPr>
            <w:tcW w:w="1184" w:type="pct"/>
            <w:vMerge w:val="continue"/>
            <w:tcBorders>
              <w:tl2br w:val="nil"/>
              <w:tr2bl w:val="nil"/>
            </w:tcBorders>
            <w:noWrap w:val="0"/>
            <w:vAlign w:val="center"/>
          </w:tcPr>
          <w:p w14:paraId="406AE8E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3772DD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2BDE4D4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25</w:t>
            </w:r>
          </w:p>
        </w:tc>
        <w:tc>
          <w:tcPr>
            <w:tcW w:w="1639" w:type="pct"/>
            <w:tcBorders>
              <w:tl2br w:val="nil"/>
              <w:tr2bl w:val="nil"/>
            </w:tcBorders>
            <w:noWrap w:val="0"/>
            <w:vAlign w:val="center"/>
          </w:tcPr>
          <w:p w14:paraId="26505B4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氯乙烯</w:t>
            </w:r>
          </w:p>
        </w:tc>
        <w:tc>
          <w:tcPr>
            <w:tcW w:w="837" w:type="pct"/>
            <w:tcBorders>
              <w:tl2br w:val="nil"/>
              <w:tr2bl w:val="nil"/>
            </w:tcBorders>
            <w:noWrap w:val="0"/>
            <w:vAlign w:val="center"/>
          </w:tcPr>
          <w:p w14:paraId="3AC800A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0.12</w:t>
            </w:r>
          </w:p>
        </w:tc>
        <w:tc>
          <w:tcPr>
            <w:tcW w:w="838" w:type="pct"/>
            <w:tcBorders>
              <w:tl2br w:val="nil"/>
              <w:tr2bl w:val="nil"/>
            </w:tcBorders>
            <w:noWrap w:val="0"/>
            <w:vAlign w:val="center"/>
          </w:tcPr>
          <w:p w14:paraId="0162F98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0.43</w:t>
            </w:r>
          </w:p>
        </w:tc>
        <w:tc>
          <w:tcPr>
            <w:tcW w:w="1184" w:type="pct"/>
            <w:vMerge w:val="continue"/>
            <w:tcBorders>
              <w:tl2br w:val="nil"/>
              <w:tr2bl w:val="nil"/>
            </w:tcBorders>
            <w:noWrap w:val="0"/>
            <w:vAlign w:val="center"/>
          </w:tcPr>
          <w:p w14:paraId="0C7A3EC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FB0F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5E09718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26</w:t>
            </w:r>
          </w:p>
        </w:tc>
        <w:tc>
          <w:tcPr>
            <w:tcW w:w="1639" w:type="pct"/>
            <w:tcBorders>
              <w:tl2br w:val="nil"/>
              <w:tr2bl w:val="nil"/>
            </w:tcBorders>
            <w:noWrap w:val="0"/>
            <w:vAlign w:val="center"/>
          </w:tcPr>
          <w:p w14:paraId="6E984F8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w:t>
            </w:r>
          </w:p>
        </w:tc>
        <w:tc>
          <w:tcPr>
            <w:tcW w:w="837" w:type="pct"/>
            <w:tcBorders>
              <w:tl2br w:val="nil"/>
              <w:tr2bl w:val="nil"/>
            </w:tcBorders>
            <w:noWrap w:val="0"/>
            <w:vAlign w:val="center"/>
          </w:tcPr>
          <w:p w14:paraId="6EC866C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w:t>
            </w:r>
          </w:p>
        </w:tc>
        <w:tc>
          <w:tcPr>
            <w:tcW w:w="838" w:type="pct"/>
            <w:tcBorders>
              <w:tl2br w:val="nil"/>
              <w:tr2bl w:val="nil"/>
            </w:tcBorders>
            <w:noWrap w:val="0"/>
            <w:vAlign w:val="center"/>
          </w:tcPr>
          <w:p w14:paraId="100392C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w:t>
            </w:r>
          </w:p>
        </w:tc>
        <w:tc>
          <w:tcPr>
            <w:tcW w:w="1184" w:type="pct"/>
            <w:vMerge w:val="continue"/>
            <w:tcBorders>
              <w:tl2br w:val="nil"/>
              <w:tr2bl w:val="nil"/>
            </w:tcBorders>
            <w:noWrap w:val="0"/>
            <w:vAlign w:val="center"/>
          </w:tcPr>
          <w:p w14:paraId="586975E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2AAEE0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16D49AF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27</w:t>
            </w:r>
          </w:p>
        </w:tc>
        <w:tc>
          <w:tcPr>
            <w:tcW w:w="1639" w:type="pct"/>
            <w:tcBorders>
              <w:tl2br w:val="nil"/>
              <w:tr2bl w:val="nil"/>
            </w:tcBorders>
            <w:noWrap w:val="0"/>
            <w:vAlign w:val="center"/>
          </w:tcPr>
          <w:p w14:paraId="23BE5BF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氯苯</w:t>
            </w:r>
          </w:p>
        </w:tc>
        <w:tc>
          <w:tcPr>
            <w:tcW w:w="837" w:type="pct"/>
            <w:tcBorders>
              <w:tl2br w:val="nil"/>
              <w:tr2bl w:val="nil"/>
            </w:tcBorders>
            <w:noWrap w:val="0"/>
            <w:vAlign w:val="center"/>
          </w:tcPr>
          <w:p w14:paraId="290A550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68</w:t>
            </w:r>
          </w:p>
        </w:tc>
        <w:tc>
          <w:tcPr>
            <w:tcW w:w="838" w:type="pct"/>
            <w:tcBorders>
              <w:tl2br w:val="nil"/>
              <w:tr2bl w:val="nil"/>
            </w:tcBorders>
            <w:noWrap w:val="0"/>
            <w:vAlign w:val="center"/>
          </w:tcPr>
          <w:p w14:paraId="0EBF0A6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270</w:t>
            </w:r>
          </w:p>
        </w:tc>
        <w:tc>
          <w:tcPr>
            <w:tcW w:w="1184" w:type="pct"/>
            <w:vMerge w:val="continue"/>
            <w:tcBorders>
              <w:tl2br w:val="nil"/>
              <w:tr2bl w:val="nil"/>
            </w:tcBorders>
            <w:noWrap w:val="0"/>
            <w:vAlign w:val="center"/>
          </w:tcPr>
          <w:p w14:paraId="6A46FB8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AB17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5FEC26E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28</w:t>
            </w:r>
          </w:p>
        </w:tc>
        <w:tc>
          <w:tcPr>
            <w:tcW w:w="1639" w:type="pct"/>
            <w:tcBorders>
              <w:tl2br w:val="nil"/>
              <w:tr2bl w:val="nil"/>
            </w:tcBorders>
            <w:noWrap w:val="0"/>
            <w:vAlign w:val="center"/>
          </w:tcPr>
          <w:p w14:paraId="7A52C9F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1，2-二氯苯</w:t>
            </w:r>
          </w:p>
        </w:tc>
        <w:tc>
          <w:tcPr>
            <w:tcW w:w="837" w:type="pct"/>
            <w:tcBorders>
              <w:tl2br w:val="nil"/>
              <w:tr2bl w:val="nil"/>
            </w:tcBorders>
            <w:noWrap w:val="0"/>
            <w:vAlign w:val="center"/>
          </w:tcPr>
          <w:p w14:paraId="26A51C8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560</w:t>
            </w:r>
          </w:p>
        </w:tc>
        <w:tc>
          <w:tcPr>
            <w:tcW w:w="838" w:type="pct"/>
            <w:tcBorders>
              <w:tl2br w:val="nil"/>
              <w:tr2bl w:val="nil"/>
            </w:tcBorders>
            <w:noWrap w:val="0"/>
            <w:vAlign w:val="center"/>
          </w:tcPr>
          <w:p w14:paraId="6D9D383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560</w:t>
            </w:r>
          </w:p>
        </w:tc>
        <w:tc>
          <w:tcPr>
            <w:tcW w:w="1184" w:type="pct"/>
            <w:vMerge w:val="continue"/>
            <w:tcBorders>
              <w:tl2br w:val="nil"/>
              <w:tr2bl w:val="nil"/>
            </w:tcBorders>
            <w:noWrap w:val="0"/>
            <w:vAlign w:val="center"/>
          </w:tcPr>
          <w:p w14:paraId="331A7BC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3BA40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1F97EF9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29</w:t>
            </w:r>
          </w:p>
        </w:tc>
        <w:tc>
          <w:tcPr>
            <w:tcW w:w="1639" w:type="pct"/>
            <w:tcBorders>
              <w:tl2br w:val="nil"/>
              <w:tr2bl w:val="nil"/>
            </w:tcBorders>
            <w:noWrap w:val="0"/>
            <w:vAlign w:val="center"/>
          </w:tcPr>
          <w:p w14:paraId="7341755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1，4-二氯苯</w:t>
            </w:r>
          </w:p>
        </w:tc>
        <w:tc>
          <w:tcPr>
            <w:tcW w:w="837" w:type="pct"/>
            <w:tcBorders>
              <w:tl2br w:val="nil"/>
              <w:tr2bl w:val="nil"/>
            </w:tcBorders>
            <w:noWrap w:val="0"/>
            <w:vAlign w:val="center"/>
          </w:tcPr>
          <w:p w14:paraId="7C71EDD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5.6</w:t>
            </w:r>
          </w:p>
        </w:tc>
        <w:tc>
          <w:tcPr>
            <w:tcW w:w="838" w:type="pct"/>
            <w:tcBorders>
              <w:tl2br w:val="nil"/>
              <w:tr2bl w:val="nil"/>
            </w:tcBorders>
            <w:noWrap w:val="0"/>
            <w:vAlign w:val="center"/>
          </w:tcPr>
          <w:p w14:paraId="28FA4AF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20</w:t>
            </w:r>
          </w:p>
        </w:tc>
        <w:tc>
          <w:tcPr>
            <w:tcW w:w="1184" w:type="pct"/>
            <w:vMerge w:val="continue"/>
            <w:tcBorders>
              <w:tl2br w:val="nil"/>
              <w:tr2bl w:val="nil"/>
            </w:tcBorders>
            <w:noWrap w:val="0"/>
            <w:vAlign w:val="center"/>
          </w:tcPr>
          <w:p w14:paraId="455EEC7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428CF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7E9ABD8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30</w:t>
            </w:r>
          </w:p>
        </w:tc>
        <w:tc>
          <w:tcPr>
            <w:tcW w:w="1639" w:type="pct"/>
            <w:tcBorders>
              <w:tl2br w:val="nil"/>
              <w:tr2bl w:val="nil"/>
            </w:tcBorders>
            <w:noWrap w:val="0"/>
            <w:vAlign w:val="center"/>
          </w:tcPr>
          <w:p w14:paraId="45526BB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乙苯</w:t>
            </w:r>
          </w:p>
        </w:tc>
        <w:tc>
          <w:tcPr>
            <w:tcW w:w="837" w:type="pct"/>
            <w:tcBorders>
              <w:tl2br w:val="nil"/>
              <w:tr2bl w:val="nil"/>
            </w:tcBorders>
            <w:noWrap w:val="0"/>
            <w:vAlign w:val="center"/>
          </w:tcPr>
          <w:p w14:paraId="145CA1C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7.2</w:t>
            </w:r>
          </w:p>
        </w:tc>
        <w:tc>
          <w:tcPr>
            <w:tcW w:w="838" w:type="pct"/>
            <w:tcBorders>
              <w:tl2br w:val="nil"/>
              <w:tr2bl w:val="nil"/>
            </w:tcBorders>
            <w:noWrap w:val="0"/>
            <w:vAlign w:val="center"/>
          </w:tcPr>
          <w:p w14:paraId="303C271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28</w:t>
            </w:r>
          </w:p>
        </w:tc>
        <w:tc>
          <w:tcPr>
            <w:tcW w:w="1184" w:type="pct"/>
            <w:vMerge w:val="continue"/>
            <w:tcBorders>
              <w:tl2br w:val="nil"/>
              <w:tr2bl w:val="nil"/>
            </w:tcBorders>
            <w:noWrap w:val="0"/>
            <w:vAlign w:val="center"/>
          </w:tcPr>
          <w:p w14:paraId="6AC882E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5C19E6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1D4C5A8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31</w:t>
            </w:r>
          </w:p>
        </w:tc>
        <w:tc>
          <w:tcPr>
            <w:tcW w:w="1639" w:type="pct"/>
            <w:tcBorders>
              <w:tl2br w:val="nil"/>
              <w:tr2bl w:val="nil"/>
            </w:tcBorders>
            <w:noWrap w:val="0"/>
            <w:vAlign w:val="center"/>
          </w:tcPr>
          <w:p w14:paraId="49D26A3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苯乙烯</w:t>
            </w:r>
          </w:p>
        </w:tc>
        <w:tc>
          <w:tcPr>
            <w:tcW w:w="837" w:type="pct"/>
            <w:tcBorders>
              <w:tl2br w:val="nil"/>
              <w:tr2bl w:val="nil"/>
            </w:tcBorders>
            <w:noWrap w:val="0"/>
            <w:vAlign w:val="center"/>
          </w:tcPr>
          <w:p w14:paraId="6C664EC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1290</w:t>
            </w:r>
          </w:p>
        </w:tc>
        <w:tc>
          <w:tcPr>
            <w:tcW w:w="838" w:type="pct"/>
            <w:tcBorders>
              <w:tl2br w:val="nil"/>
              <w:tr2bl w:val="nil"/>
            </w:tcBorders>
            <w:noWrap w:val="0"/>
            <w:vAlign w:val="center"/>
          </w:tcPr>
          <w:p w14:paraId="24B61D9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1290</w:t>
            </w:r>
          </w:p>
        </w:tc>
        <w:tc>
          <w:tcPr>
            <w:tcW w:w="1184" w:type="pct"/>
            <w:vMerge w:val="continue"/>
            <w:tcBorders>
              <w:tl2br w:val="nil"/>
              <w:tr2bl w:val="nil"/>
            </w:tcBorders>
            <w:noWrap w:val="0"/>
            <w:vAlign w:val="center"/>
          </w:tcPr>
          <w:p w14:paraId="79A40E0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2AA91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226936F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32</w:t>
            </w:r>
          </w:p>
        </w:tc>
        <w:tc>
          <w:tcPr>
            <w:tcW w:w="1639" w:type="pct"/>
            <w:tcBorders>
              <w:tl2br w:val="nil"/>
              <w:tr2bl w:val="nil"/>
            </w:tcBorders>
            <w:noWrap w:val="0"/>
            <w:vAlign w:val="center"/>
          </w:tcPr>
          <w:p w14:paraId="00D8715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甲苯</w:t>
            </w:r>
          </w:p>
        </w:tc>
        <w:tc>
          <w:tcPr>
            <w:tcW w:w="837" w:type="pct"/>
            <w:tcBorders>
              <w:tl2br w:val="nil"/>
              <w:tr2bl w:val="nil"/>
            </w:tcBorders>
            <w:noWrap w:val="0"/>
            <w:vAlign w:val="center"/>
          </w:tcPr>
          <w:p w14:paraId="013814B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1200</w:t>
            </w:r>
          </w:p>
        </w:tc>
        <w:tc>
          <w:tcPr>
            <w:tcW w:w="838" w:type="pct"/>
            <w:tcBorders>
              <w:tl2br w:val="nil"/>
              <w:tr2bl w:val="nil"/>
            </w:tcBorders>
            <w:noWrap w:val="0"/>
            <w:vAlign w:val="center"/>
          </w:tcPr>
          <w:p w14:paraId="2B6E65F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1200</w:t>
            </w:r>
          </w:p>
        </w:tc>
        <w:tc>
          <w:tcPr>
            <w:tcW w:w="1184" w:type="pct"/>
            <w:vMerge w:val="continue"/>
            <w:tcBorders>
              <w:tl2br w:val="nil"/>
              <w:tr2bl w:val="nil"/>
            </w:tcBorders>
            <w:noWrap w:val="0"/>
            <w:vAlign w:val="center"/>
          </w:tcPr>
          <w:p w14:paraId="3712284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5ED61A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4339441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33</w:t>
            </w:r>
          </w:p>
        </w:tc>
        <w:tc>
          <w:tcPr>
            <w:tcW w:w="1639" w:type="pct"/>
            <w:tcBorders>
              <w:tl2br w:val="nil"/>
              <w:tr2bl w:val="nil"/>
            </w:tcBorders>
            <w:noWrap w:val="0"/>
            <w:vAlign w:val="center"/>
          </w:tcPr>
          <w:p w14:paraId="5678AAB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间二甲苯+对二甲苯</w:t>
            </w:r>
          </w:p>
        </w:tc>
        <w:tc>
          <w:tcPr>
            <w:tcW w:w="837" w:type="pct"/>
            <w:tcBorders>
              <w:tl2br w:val="nil"/>
              <w:tr2bl w:val="nil"/>
            </w:tcBorders>
            <w:noWrap w:val="0"/>
            <w:vAlign w:val="center"/>
          </w:tcPr>
          <w:p w14:paraId="4FD866E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163</w:t>
            </w:r>
          </w:p>
        </w:tc>
        <w:tc>
          <w:tcPr>
            <w:tcW w:w="838" w:type="pct"/>
            <w:tcBorders>
              <w:tl2br w:val="nil"/>
              <w:tr2bl w:val="nil"/>
            </w:tcBorders>
            <w:noWrap w:val="0"/>
            <w:vAlign w:val="center"/>
          </w:tcPr>
          <w:p w14:paraId="5EBC8A6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570</w:t>
            </w:r>
          </w:p>
        </w:tc>
        <w:tc>
          <w:tcPr>
            <w:tcW w:w="1184" w:type="pct"/>
            <w:vMerge w:val="continue"/>
            <w:tcBorders>
              <w:tl2br w:val="nil"/>
              <w:tr2bl w:val="nil"/>
            </w:tcBorders>
            <w:noWrap w:val="0"/>
            <w:vAlign w:val="center"/>
          </w:tcPr>
          <w:p w14:paraId="3E8DE00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757994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67C5F56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34</w:t>
            </w:r>
          </w:p>
        </w:tc>
        <w:tc>
          <w:tcPr>
            <w:tcW w:w="1639" w:type="pct"/>
            <w:tcBorders>
              <w:tl2br w:val="nil"/>
              <w:tr2bl w:val="nil"/>
            </w:tcBorders>
            <w:noWrap w:val="0"/>
            <w:vAlign w:val="center"/>
          </w:tcPr>
          <w:p w14:paraId="5DBF203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邻二甲苯</w:t>
            </w:r>
          </w:p>
        </w:tc>
        <w:tc>
          <w:tcPr>
            <w:tcW w:w="837" w:type="pct"/>
            <w:tcBorders>
              <w:tl2br w:val="nil"/>
              <w:tr2bl w:val="nil"/>
            </w:tcBorders>
            <w:noWrap w:val="0"/>
            <w:vAlign w:val="center"/>
          </w:tcPr>
          <w:p w14:paraId="5B5A198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222</w:t>
            </w:r>
          </w:p>
        </w:tc>
        <w:tc>
          <w:tcPr>
            <w:tcW w:w="838" w:type="pct"/>
            <w:tcBorders>
              <w:tl2br w:val="nil"/>
              <w:tr2bl w:val="nil"/>
            </w:tcBorders>
            <w:noWrap w:val="0"/>
            <w:vAlign w:val="center"/>
          </w:tcPr>
          <w:p w14:paraId="793440A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640</w:t>
            </w:r>
          </w:p>
        </w:tc>
        <w:tc>
          <w:tcPr>
            <w:tcW w:w="1184" w:type="pct"/>
            <w:vMerge w:val="continue"/>
            <w:tcBorders>
              <w:tl2br w:val="nil"/>
              <w:tr2bl w:val="nil"/>
            </w:tcBorders>
            <w:noWrap w:val="0"/>
            <w:vAlign w:val="center"/>
          </w:tcPr>
          <w:p w14:paraId="115F906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22F8A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772C6D2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35</w:t>
            </w:r>
          </w:p>
        </w:tc>
        <w:tc>
          <w:tcPr>
            <w:tcW w:w="1639" w:type="pct"/>
            <w:tcBorders>
              <w:tl2br w:val="nil"/>
              <w:tr2bl w:val="nil"/>
            </w:tcBorders>
            <w:noWrap w:val="0"/>
            <w:vAlign w:val="center"/>
          </w:tcPr>
          <w:p w14:paraId="7801841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硝基苯</w:t>
            </w:r>
          </w:p>
        </w:tc>
        <w:tc>
          <w:tcPr>
            <w:tcW w:w="837" w:type="pct"/>
            <w:tcBorders>
              <w:tl2br w:val="nil"/>
              <w:tr2bl w:val="nil"/>
            </w:tcBorders>
            <w:noWrap w:val="0"/>
            <w:vAlign w:val="center"/>
          </w:tcPr>
          <w:p w14:paraId="35C8E08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34</w:t>
            </w:r>
          </w:p>
        </w:tc>
        <w:tc>
          <w:tcPr>
            <w:tcW w:w="838" w:type="pct"/>
            <w:tcBorders>
              <w:tl2br w:val="nil"/>
              <w:tr2bl w:val="nil"/>
            </w:tcBorders>
            <w:noWrap w:val="0"/>
            <w:vAlign w:val="center"/>
          </w:tcPr>
          <w:p w14:paraId="3CC80FD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76</w:t>
            </w:r>
          </w:p>
        </w:tc>
        <w:tc>
          <w:tcPr>
            <w:tcW w:w="1184" w:type="pct"/>
            <w:vMerge w:val="continue"/>
            <w:tcBorders>
              <w:tl2br w:val="nil"/>
              <w:tr2bl w:val="nil"/>
            </w:tcBorders>
            <w:noWrap w:val="0"/>
            <w:vAlign w:val="center"/>
          </w:tcPr>
          <w:p w14:paraId="20B73C6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376FF8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22" w:hRule="atLeast"/>
          <w:jc w:val="center"/>
        </w:trPr>
        <w:tc>
          <w:tcPr>
            <w:tcW w:w="498" w:type="pct"/>
            <w:tcBorders>
              <w:tl2br w:val="nil"/>
              <w:tr2bl w:val="nil"/>
            </w:tcBorders>
            <w:noWrap w:val="0"/>
            <w:vAlign w:val="center"/>
          </w:tcPr>
          <w:p w14:paraId="67E9367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36</w:t>
            </w:r>
          </w:p>
        </w:tc>
        <w:tc>
          <w:tcPr>
            <w:tcW w:w="1639" w:type="pct"/>
            <w:tcBorders>
              <w:tl2br w:val="nil"/>
              <w:tr2bl w:val="nil"/>
            </w:tcBorders>
            <w:noWrap w:val="0"/>
            <w:vAlign w:val="center"/>
          </w:tcPr>
          <w:p w14:paraId="70663E8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苯胺</w:t>
            </w:r>
          </w:p>
        </w:tc>
        <w:tc>
          <w:tcPr>
            <w:tcW w:w="837" w:type="pct"/>
            <w:tcBorders>
              <w:tl2br w:val="nil"/>
              <w:tr2bl w:val="nil"/>
            </w:tcBorders>
            <w:noWrap w:val="0"/>
            <w:vAlign w:val="center"/>
          </w:tcPr>
          <w:p w14:paraId="30BCF75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92</w:t>
            </w:r>
          </w:p>
        </w:tc>
        <w:tc>
          <w:tcPr>
            <w:tcW w:w="838" w:type="pct"/>
            <w:tcBorders>
              <w:tl2br w:val="nil"/>
              <w:tr2bl w:val="nil"/>
            </w:tcBorders>
            <w:noWrap w:val="0"/>
            <w:vAlign w:val="center"/>
          </w:tcPr>
          <w:p w14:paraId="00F4432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260</w:t>
            </w:r>
          </w:p>
        </w:tc>
        <w:tc>
          <w:tcPr>
            <w:tcW w:w="1184" w:type="pct"/>
            <w:vMerge w:val="continue"/>
            <w:tcBorders>
              <w:tl2br w:val="nil"/>
              <w:tr2bl w:val="nil"/>
            </w:tcBorders>
            <w:noWrap w:val="0"/>
            <w:vAlign w:val="center"/>
          </w:tcPr>
          <w:p w14:paraId="565BDCC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B8058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2009B00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37</w:t>
            </w:r>
          </w:p>
        </w:tc>
        <w:tc>
          <w:tcPr>
            <w:tcW w:w="1639" w:type="pct"/>
            <w:tcBorders>
              <w:tl2br w:val="nil"/>
              <w:tr2bl w:val="nil"/>
            </w:tcBorders>
            <w:noWrap w:val="0"/>
            <w:vAlign w:val="center"/>
          </w:tcPr>
          <w:p w14:paraId="502C233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2-氯酚</w:t>
            </w:r>
          </w:p>
        </w:tc>
        <w:tc>
          <w:tcPr>
            <w:tcW w:w="837" w:type="pct"/>
            <w:tcBorders>
              <w:tl2br w:val="nil"/>
              <w:tr2bl w:val="nil"/>
            </w:tcBorders>
            <w:noWrap w:val="0"/>
            <w:vAlign w:val="center"/>
          </w:tcPr>
          <w:p w14:paraId="24E75B7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250</w:t>
            </w:r>
          </w:p>
        </w:tc>
        <w:tc>
          <w:tcPr>
            <w:tcW w:w="838" w:type="pct"/>
            <w:tcBorders>
              <w:tl2br w:val="nil"/>
              <w:tr2bl w:val="nil"/>
            </w:tcBorders>
            <w:noWrap w:val="0"/>
            <w:vAlign w:val="center"/>
          </w:tcPr>
          <w:p w14:paraId="5CDF0A9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2256</w:t>
            </w:r>
          </w:p>
        </w:tc>
        <w:tc>
          <w:tcPr>
            <w:tcW w:w="1184" w:type="pct"/>
            <w:vMerge w:val="continue"/>
            <w:tcBorders>
              <w:tl2br w:val="nil"/>
              <w:tr2bl w:val="nil"/>
            </w:tcBorders>
            <w:noWrap w:val="0"/>
            <w:vAlign w:val="center"/>
          </w:tcPr>
          <w:p w14:paraId="26633F0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3F803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47EC534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38</w:t>
            </w:r>
          </w:p>
        </w:tc>
        <w:tc>
          <w:tcPr>
            <w:tcW w:w="1639" w:type="pct"/>
            <w:tcBorders>
              <w:tl2br w:val="nil"/>
              <w:tr2bl w:val="nil"/>
            </w:tcBorders>
            <w:noWrap w:val="0"/>
            <w:vAlign w:val="center"/>
          </w:tcPr>
          <w:p w14:paraId="453B7B0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苯并[a]蒽</w:t>
            </w:r>
          </w:p>
        </w:tc>
        <w:tc>
          <w:tcPr>
            <w:tcW w:w="837" w:type="pct"/>
            <w:tcBorders>
              <w:tl2br w:val="nil"/>
              <w:tr2bl w:val="nil"/>
            </w:tcBorders>
            <w:noWrap w:val="0"/>
            <w:vAlign w:val="center"/>
          </w:tcPr>
          <w:p w14:paraId="2641ACA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5.5</w:t>
            </w:r>
          </w:p>
        </w:tc>
        <w:tc>
          <w:tcPr>
            <w:tcW w:w="838" w:type="pct"/>
            <w:tcBorders>
              <w:tl2br w:val="nil"/>
              <w:tr2bl w:val="nil"/>
            </w:tcBorders>
            <w:noWrap w:val="0"/>
            <w:vAlign w:val="center"/>
          </w:tcPr>
          <w:p w14:paraId="273B096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w:t>
            </w:r>
          </w:p>
        </w:tc>
        <w:tc>
          <w:tcPr>
            <w:tcW w:w="1184" w:type="pct"/>
            <w:vMerge w:val="continue"/>
            <w:tcBorders>
              <w:tl2br w:val="nil"/>
              <w:tr2bl w:val="nil"/>
            </w:tcBorders>
            <w:noWrap w:val="0"/>
            <w:vAlign w:val="center"/>
          </w:tcPr>
          <w:p w14:paraId="71D1DA0C">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5F1700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09AEE78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39</w:t>
            </w:r>
          </w:p>
        </w:tc>
        <w:tc>
          <w:tcPr>
            <w:tcW w:w="1639" w:type="pct"/>
            <w:tcBorders>
              <w:tl2br w:val="nil"/>
              <w:tr2bl w:val="nil"/>
            </w:tcBorders>
            <w:noWrap w:val="0"/>
            <w:vAlign w:val="center"/>
          </w:tcPr>
          <w:p w14:paraId="3014FC2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苯并[a]芘</w:t>
            </w:r>
          </w:p>
        </w:tc>
        <w:tc>
          <w:tcPr>
            <w:tcW w:w="837" w:type="pct"/>
            <w:tcBorders>
              <w:tl2br w:val="nil"/>
              <w:tr2bl w:val="nil"/>
            </w:tcBorders>
            <w:noWrap w:val="0"/>
            <w:vAlign w:val="center"/>
          </w:tcPr>
          <w:p w14:paraId="2C363F4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0.55</w:t>
            </w:r>
          </w:p>
        </w:tc>
        <w:tc>
          <w:tcPr>
            <w:tcW w:w="838" w:type="pct"/>
            <w:tcBorders>
              <w:tl2br w:val="nil"/>
              <w:tr2bl w:val="nil"/>
            </w:tcBorders>
            <w:noWrap w:val="0"/>
            <w:vAlign w:val="center"/>
          </w:tcPr>
          <w:p w14:paraId="5F1505E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w:t>
            </w:r>
          </w:p>
        </w:tc>
        <w:tc>
          <w:tcPr>
            <w:tcW w:w="1184" w:type="pct"/>
            <w:vMerge w:val="continue"/>
            <w:tcBorders>
              <w:tl2br w:val="nil"/>
              <w:tr2bl w:val="nil"/>
            </w:tcBorders>
            <w:noWrap w:val="0"/>
            <w:vAlign w:val="center"/>
          </w:tcPr>
          <w:p w14:paraId="3CAD939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57A19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47E72C8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40</w:t>
            </w:r>
          </w:p>
        </w:tc>
        <w:tc>
          <w:tcPr>
            <w:tcW w:w="1639" w:type="pct"/>
            <w:tcBorders>
              <w:tl2br w:val="nil"/>
              <w:tr2bl w:val="nil"/>
            </w:tcBorders>
            <w:noWrap w:val="0"/>
            <w:vAlign w:val="center"/>
          </w:tcPr>
          <w:p w14:paraId="5B23FA6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二苯并[a,h]蒽</w:t>
            </w:r>
          </w:p>
        </w:tc>
        <w:tc>
          <w:tcPr>
            <w:tcW w:w="837" w:type="pct"/>
            <w:tcBorders>
              <w:tl2br w:val="nil"/>
              <w:tr2bl w:val="nil"/>
            </w:tcBorders>
            <w:noWrap w:val="0"/>
            <w:vAlign w:val="center"/>
          </w:tcPr>
          <w:p w14:paraId="115CFC0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0.55</w:t>
            </w:r>
          </w:p>
        </w:tc>
        <w:tc>
          <w:tcPr>
            <w:tcW w:w="838" w:type="pct"/>
            <w:tcBorders>
              <w:tl2br w:val="nil"/>
              <w:tr2bl w:val="nil"/>
            </w:tcBorders>
            <w:noWrap w:val="0"/>
            <w:vAlign w:val="center"/>
          </w:tcPr>
          <w:p w14:paraId="7434FA3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w:t>
            </w:r>
          </w:p>
        </w:tc>
        <w:tc>
          <w:tcPr>
            <w:tcW w:w="1184" w:type="pct"/>
            <w:vMerge w:val="continue"/>
            <w:tcBorders>
              <w:tl2br w:val="nil"/>
              <w:tr2bl w:val="nil"/>
            </w:tcBorders>
            <w:noWrap w:val="0"/>
            <w:vAlign w:val="center"/>
          </w:tcPr>
          <w:p w14:paraId="4BD0C2F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444FB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0249218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41</w:t>
            </w:r>
          </w:p>
        </w:tc>
        <w:tc>
          <w:tcPr>
            <w:tcW w:w="1639" w:type="pct"/>
            <w:tcBorders>
              <w:tl2br w:val="nil"/>
              <w:tr2bl w:val="nil"/>
            </w:tcBorders>
            <w:noWrap w:val="0"/>
            <w:vAlign w:val="center"/>
          </w:tcPr>
          <w:p w14:paraId="36FB101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萘</w:t>
            </w:r>
          </w:p>
        </w:tc>
        <w:tc>
          <w:tcPr>
            <w:tcW w:w="837" w:type="pct"/>
            <w:tcBorders>
              <w:tl2br w:val="nil"/>
              <w:tr2bl w:val="nil"/>
            </w:tcBorders>
            <w:noWrap w:val="0"/>
            <w:vAlign w:val="center"/>
          </w:tcPr>
          <w:p w14:paraId="3D71A89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25</w:t>
            </w:r>
          </w:p>
        </w:tc>
        <w:tc>
          <w:tcPr>
            <w:tcW w:w="838" w:type="pct"/>
            <w:tcBorders>
              <w:tl2br w:val="nil"/>
              <w:tr2bl w:val="nil"/>
            </w:tcBorders>
            <w:noWrap w:val="0"/>
            <w:vAlign w:val="center"/>
          </w:tcPr>
          <w:p w14:paraId="6860DFE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70</w:t>
            </w:r>
          </w:p>
        </w:tc>
        <w:tc>
          <w:tcPr>
            <w:tcW w:w="1184" w:type="pct"/>
            <w:vMerge w:val="continue"/>
            <w:tcBorders>
              <w:tl2br w:val="nil"/>
              <w:tr2bl w:val="nil"/>
            </w:tcBorders>
            <w:noWrap w:val="0"/>
            <w:vAlign w:val="center"/>
          </w:tcPr>
          <w:p w14:paraId="37E494C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D1A72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676A2F5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42</w:t>
            </w:r>
          </w:p>
        </w:tc>
        <w:tc>
          <w:tcPr>
            <w:tcW w:w="1639" w:type="pct"/>
            <w:tcBorders>
              <w:tl2br w:val="nil"/>
              <w:tr2bl w:val="nil"/>
            </w:tcBorders>
            <w:noWrap w:val="0"/>
            <w:vAlign w:val="center"/>
          </w:tcPr>
          <w:p w14:paraId="13BA63C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苯并[b]荧蒽</w:t>
            </w:r>
          </w:p>
        </w:tc>
        <w:tc>
          <w:tcPr>
            <w:tcW w:w="837" w:type="pct"/>
            <w:tcBorders>
              <w:tl2br w:val="nil"/>
              <w:tr2bl w:val="nil"/>
            </w:tcBorders>
            <w:noWrap w:val="0"/>
            <w:vAlign w:val="center"/>
          </w:tcPr>
          <w:p w14:paraId="13C28E5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5.5</w:t>
            </w:r>
          </w:p>
        </w:tc>
        <w:tc>
          <w:tcPr>
            <w:tcW w:w="838" w:type="pct"/>
            <w:tcBorders>
              <w:tl2br w:val="nil"/>
              <w:tr2bl w:val="nil"/>
            </w:tcBorders>
            <w:noWrap w:val="0"/>
            <w:vAlign w:val="center"/>
          </w:tcPr>
          <w:p w14:paraId="3E8AA56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w:t>
            </w:r>
          </w:p>
        </w:tc>
        <w:tc>
          <w:tcPr>
            <w:tcW w:w="1184" w:type="pct"/>
            <w:vMerge w:val="continue"/>
            <w:tcBorders>
              <w:tl2br w:val="nil"/>
              <w:tr2bl w:val="nil"/>
            </w:tcBorders>
            <w:noWrap w:val="0"/>
            <w:vAlign w:val="center"/>
          </w:tcPr>
          <w:p w14:paraId="3B7B89C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F071E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2890282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43</w:t>
            </w:r>
          </w:p>
        </w:tc>
        <w:tc>
          <w:tcPr>
            <w:tcW w:w="1639" w:type="pct"/>
            <w:tcBorders>
              <w:tl2br w:val="nil"/>
              <w:tr2bl w:val="nil"/>
            </w:tcBorders>
            <w:noWrap w:val="0"/>
            <w:vAlign w:val="center"/>
          </w:tcPr>
          <w:p w14:paraId="76D2436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苯并[k]荧蒽</w:t>
            </w:r>
          </w:p>
        </w:tc>
        <w:tc>
          <w:tcPr>
            <w:tcW w:w="837" w:type="pct"/>
            <w:tcBorders>
              <w:tl2br w:val="nil"/>
              <w:tr2bl w:val="nil"/>
            </w:tcBorders>
            <w:noWrap w:val="0"/>
            <w:vAlign w:val="center"/>
          </w:tcPr>
          <w:p w14:paraId="37CB787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55</w:t>
            </w:r>
          </w:p>
        </w:tc>
        <w:tc>
          <w:tcPr>
            <w:tcW w:w="838" w:type="pct"/>
            <w:tcBorders>
              <w:tl2br w:val="nil"/>
              <w:tr2bl w:val="nil"/>
            </w:tcBorders>
            <w:noWrap w:val="0"/>
            <w:vAlign w:val="center"/>
          </w:tcPr>
          <w:p w14:paraId="63752F5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151</w:t>
            </w:r>
          </w:p>
        </w:tc>
        <w:tc>
          <w:tcPr>
            <w:tcW w:w="1184" w:type="pct"/>
            <w:vMerge w:val="continue"/>
            <w:tcBorders>
              <w:tl2br w:val="nil"/>
              <w:tr2bl w:val="nil"/>
            </w:tcBorders>
            <w:noWrap w:val="0"/>
            <w:vAlign w:val="center"/>
          </w:tcPr>
          <w:p w14:paraId="2071E4B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54D040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0FA4F93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44</w:t>
            </w:r>
          </w:p>
        </w:tc>
        <w:tc>
          <w:tcPr>
            <w:tcW w:w="1639" w:type="pct"/>
            <w:tcBorders>
              <w:tl2br w:val="nil"/>
              <w:tr2bl w:val="nil"/>
            </w:tcBorders>
            <w:noWrap w:val="0"/>
            <w:vAlign w:val="center"/>
          </w:tcPr>
          <w:p w14:paraId="151B56C4">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茚并[1,2,3-cd]芘</w:t>
            </w:r>
          </w:p>
        </w:tc>
        <w:tc>
          <w:tcPr>
            <w:tcW w:w="837" w:type="pct"/>
            <w:tcBorders>
              <w:tl2br w:val="nil"/>
              <w:tr2bl w:val="nil"/>
            </w:tcBorders>
            <w:noWrap w:val="0"/>
            <w:vAlign w:val="center"/>
          </w:tcPr>
          <w:p w14:paraId="74956997">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eastAsia="宋体" w:cs="Times New Roman"/>
                <w:color w:val="auto"/>
                <w:kern w:val="0"/>
                <w:sz w:val="21"/>
                <w:szCs w:val="21"/>
                <w:highlight w:val="none"/>
                <w:u w:val="none" w:color="auto"/>
                <w:lang w:val="en-US" w:eastAsia="zh-CN"/>
              </w:rPr>
              <w:t>5.5</w:t>
            </w:r>
          </w:p>
        </w:tc>
        <w:tc>
          <w:tcPr>
            <w:tcW w:w="838" w:type="pct"/>
            <w:tcBorders>
              <w:tl2br w:val="nil"/>
              <w:tr2bl w:val="nil"/>
            </w:tcBorders>
            <w:noWrap w:val="0"/>
            <w:vAlign w:val="center"/>
          </w:tcPr>
          <w:p w14:paraId="62121672">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kern w:val="0"/>
                <w:sz w:val="21"/>
                <w:szCs w:val="21"/>
                <w:highlight w:val="none"/>
                <w:u w:val="none" w:color="auto"/>
              </w:rPr>
              <w:t>15</w:t>
            </w:r>
          </w:p>
        </w:tc>
        <w:tc>
          <w:tcPr>
            <w:tcW w:w="1184" w:type="pct"/>
            <w:vMerge w:val="continue"/>
            <w:tcBorders>
              <w:tl2br w:val="nil"/>
              <w:tr2bl w:val="nil"/>
            </w:tcBorders>
            <w:noWrap w:val="0"/>
            <w:vAlign w:val="center"/>
          </w:tcPr>
          <w:p w14:paraId="3B79813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19305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shd w:val="clear" w:color="auto" w:fill="auto"/>
            <w:noWrap w:val="0"/>
            <w:vAlign w:val="center"/>
          </w:tcPr>
          <w:p w14:paraId="64CFA4C9">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rPr>
              <w:t>45</w:t>
            </w:r>
          </w:p>
        </w:tc>
        <w:tc>
          <w:tcPr>
            <w:tcW w:w="1639" w:type="pct"/>
            <w:tcBorders>
              <w:tl2br w:val="nil"/>
              <w:tr2bl w:val="nil"/>
            </w:tcBorders>
            <w:shd w:val="clear" w:color="auto" w:fill="auto"/>
            <w:noWrap w:val="0"/>
            <w:vAlign w:val="center"/>
          </w:tcPr>
          <w:p w14:paraId="3F5F54B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rPr>
              <w:t>䓛</w:t>
            </w:r>
          </w:p>
        </w:tc>
        <w:tc>
          <w:tcPr>
            <w:tcW w:w="837" w:type="pct"/>
            <w:tcBorders>
              <w:tl2br w:val="nil"/>
              <w:tr2bl w:val="nil"/>
            </w:tcBorders>
            <w:shd w:val="clear" w:color="auto" w:fill="auto"/>
            <w:noWrap w:val="0"/>
            <w:vAlign w:val="center"/>
          </w:tcPr>
          <w:p w14:paraId="3F1C207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bidi="ar-SA"/>
              </w:rPr>
            </w:pPr>
            <w:r>
              <w:rPr>
                <w:rFonts w:hint="eastAsia" w:ascii="Times New Roman" w:hAnsi="Times New Roman" w:eastAsia="宋体" w:cs="Times New Roman"/>
                <w:color w:val="auto"/>
                <w:kern w:val="0"/>
                <w:sz w:val="21"/>
                <w:szCs w:val="21"/>
                <w:highlight w:val="none"/>
                <w:u w:val="none" w:color="auto"/>
                <w:lang w:val="en-US" w:eastAsia="zh-CN"/>
              </w:rPr>
              <w:t>490</w:t>
            </w:r>
          </w:p>
        </w:tc>
        <w:tc>
          <w:tcPr>
            <w:tcW w:w="838" w:type="pct"/>
            <w:tcBorders>
              <w:tl2br w:val="nil"/>
              <w:tr2bl w:val="nil"/>
            </w:tcBorders>
            <w:shd w:val="clear" w:color="auto" w:fill="auto"/>
            <w:noWrap w:val="0"/>
            <w:vAlign w:val="center"/>
          </w:tcPr>
          <w:p w14:paraId="1D5F926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color w:val="auto"/>
                <w:kern w:val="0"/>
                <w:sz w:val="21"/>
                <w:szCs w:val="21"/>
                <w:highlight w:val="none"/>
                <w:u w:val="none" w:color="auto"/>
              </w:rPr>
              <w:t>1293</w:t>
            </w:r>
          </w:p>
        </w:tc>
        <w:tc>
          <w:tcPr>
            <w:tcW w:w="1184" w:type="pct"/>
            <w:vMerge w:val="continue"/>
            <w:tcBorders>
              <w:tl2br w:val="nil"/>
              <w:tr2bl w:val="nil"/>
            </w:tcBorders>
            <w:noWrap w:val="0"/>
            <w:vAlign w:val="center"/>
          </w:tcPr>
          <w:p w14:paraId="25AB506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6D2B8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shd w:val="clear" w:color="auto" w:fill="auto"/>
            <w:noWrap w:val="0"/>
            <w:vAlign w:val="center"/>
          </w:tcPr>
          <w:p w14:paraId="7F75F0B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46</w:t>
            </w:r>
          </w:p>
        </w:tc>
        <w:tc>
          <w:tcPr>
            <w:tcW w:w="1639" w:type="pct"/>
            <w:tcBorders>
              <w:tl2br w:val="nil"/>
              <w:tr2bl w:val="nil"/>
            </w:tcBorders>
            <w:shd w:val="clear" w:color="auto" w:fill="auto"/>
            <w:noWrap w:val="0"/>
            <w:vAlign w:val="center"/>
          </w:tcPr>
          <w:p w14:paraId="7392EF2B">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铬</w:t>
            </w:r>
          </w:p>
        </w:tc>
        <w:tc>
          <w:tcPr>
            <w:tcW w:w="837" w:type="pct"/>
            <w:tcBorders>
              <w:tl2br w:val="nil"/>
              <w:tr2bl w:val="nil"/>
            </w:tcBorders>
            <w:shd w:val="clear" w:color="auto" w:fill="auto"/>
            <w:noWrap w:val="0"/>
            <w:vAlign w:val="center"/>
          </w:tcPr>
          <w:p w14:paraId="61D3D2E8">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w:t>
            </w:r>
          </w:p>
        </w:tc>
        <w:tc>
          <w:tcPr>
            <w:tcW w:w="838" w:type="pct"/>
            <w:tcBorders>
              <w:tl2br w:val="nil"/>
              <w:tr2bl w:val="nil"/>
            </w:tcBorders>
            <w:shd w:val="clear" w:color="auto" w:fill="auto"/>
            <w:noWrap w:val="0"/>
            <w:vAlign w:val="center"/>
          </w:tcPr>
          <w:p w14:paraId="485D1581">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w:t>
            </w:r>
          </w:p>
        </w:tc>
        <w:tc>
          <w:tcPr>
            <w:tcW w:w="1184" w:type="pct"/>
            <w:vMerge w:val="continue"/>
            <w:tcBorders>
              <w:tl2br w:val="nil"/>
              <w:tr2bl w:val="nil"/>
            </w:tcBorders>
            <w:noWrap w:val="0"/>
            <w:vAlign w:val="center"/>
          </w:tcPr>
          <w:p w14:paraId="744C2315">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5AE4E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shd w:val="clear" w:color="auto" w:fill="auto"/>
            <w:noWrap w:val="0"/>
            <w:vAlign w:val="center"/>
          </w:tcPr>
          <w:p w14:paraId="3680AB1E">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47</w:t>
            </w:r>
          </w:p>
        </w:tc>
        <w:tc>
          <w:tcPr>
            <w:tcW w:w="1639" w:type="pct"/>
            <w:tcBorders>
              <w:tl2br w:val="nil"/>
              <w:tr2bl w:val="nil"/>
            </w:tcBorders>
            <w:shd w:val="clear" w:color="auto" w:fill="auto"/>
            <w:noWrap w:val="0"/>
            <w:vAlign w:val="center"/>
          </w:tcPr>
          <w:p w14:paraId="00DDC5F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锌</w:t>
            </w:r>
          </w:p>
        </w:tc>
        <w:tc>
          <w:tcPr>
            <w:tcW w:w="837" w:type="pct"/>
            <w:tcBorders>
              <w:tl2br w:val="nil"/>
              <w:tr2bl w:val="nil"/>
            </w:tcBorders>
            <w:shd w:val="clear" w:color="auto" w:fill="auto"/>
            <w:noWrap w:val="0"/>
            <w:vAlign w:val="center"/>
          </w:tcPr>
          <w:p w14:paraId="48CF217A">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w:t>
            </w:r>
          </w:p>
        </w:tc>
        <w:tc>
          <w:tcPr>
            <w:tcW w:w="838" w:type="pct"/>
            <w:tcBorders>
              <w:tl2br w:val="nil"/>
              <w:tr2bl w:val="nil"/>
            </w:tcBorders>
            <w:shd w:val="clear" w:color="auto" w:fill="auto"/>
            <w:noWrap w:val="0"/>
            <w:vAlign w:val="center"/>
          </w:tcPr>
          <w:p w14:paraId="5AC0930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color="auto"/>
                <w:lang w:val="en-US" w:eastAsia="zh-CN"/>
              </w:rPr>
            </w:pPr>
            <w:r>
              <w:rPr>
                <w:rFonts w:hint="eastAsia" w:ascii="Times New Roman" w:hAnsi="Times New Roman" w:cs="Times New Roman"/>
                <w:color w:val="auto"/>
                <w:kern w:val="0"/>
                <w:sz w:val="21"/>
                <w:szCs w:val="21"/>
                <w:highlight w:val="none"/>
                <w:u w:val="none" w:color="auto"/>
                <w:lang w:val="en-US" w:eastAsia="zh-CN"/>
              </w:rPr>
              <w:t>/</w:t>
            </w:r>
          </w:p>
        </w:tc>
        <w:tc>
          <w:tcPr>
            <w:tcW w:w="1184" w:type="pct"/>
            <w:vMerge w:val="continue"/>
            <w:tcBorders>
              <w:tl2br w:val="nil"/>
              <w:tr2bl w:val="nil"/>
            </w:tcBorders>
            <w:noWrap w:val="0"/>
            <w:vAlign w:val="center"/>
          </w:tcPr>
          <w:p w14:paraId="5AA0F96F">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r w14:paraId="08923C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4" w:hRule="atLeast"/>
          <w:jc w:val="center"/>
        </w:trPr>
        <w:tc>
          <w:tcPr>
            <w:tcW w:w="498" w:type="pct"/>
            <w:tcBorders>
              <w:tl2br w:val="nil"/>
              <w:tr2bl w:val="nil"/>
            </w:tcBorders>
            <w:noWrap w:val="0"/>
            <w:vAlign w:val="center"/>
          </w:tcPr>
          <w:p w14:paraId="2324018D">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48</w:t>
            </w:r>
          </w:p>
        </w:tc>
        <w:tc>
          <w:tcPr>
            <w:tcW w:w="1639" w:type="pct"/>
            <w:tcBorders>
              <w:tl2br w:val="nil"/>
              <w:tr2bl w:val="nil"/>
            </w:tcBorders>
            <w:noWrap w:val="0"/>
            <w:vAlign w:val="center"/>
          </w:tcPr>
          <w:p w14:paraId="0AC7BA80">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氰化物</w:t>
            </w:r>
          </w:p>
        </w:tc>
        <w:tc>
          <w:tcPr>
            <w:tcW w:w="837" w:type="pct"/>
            <w:tcBorders>
              <w:tl2br w:val="nil"/>
              <w:tr2bl w:val="nil"/>
            </w:tcBorders>
            <w:noWrap w:val="0"/>
            <w:vAlign w:val="center"/>
          </w:tcPr>
          <w:p w14:paraId="01A1DE03">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lang w:val="en-US" w:eastAsia="zh-CN"/>
              </w:rPr>
            </w:pPr>
            <w:r>
              <w:rPr>
                <w:rFonts w:hint="eastAsia" w:cs="Times New Roman"/>
                <w:color w:val="auto"/>
                <w:kern w:val="0"/>
                <w:sz w:val="21"/>
                <w:szCs w:val="21"/>
                <w:highlight w:val="none"/>
                <w:u w:val="none" w:color="auto"/>
                <w:lang w:val="en-US" w:eastAsia="zh-CN"/>
              </w:rPr>
              <w:t>22</w:t>
            </w:r>
          </w:p>
        </w:tc>
        <w:tc>
          <w:tcPr>
            <w:tcW w:w="838" w:type="pct"/>
            <w:tcBorders>
              <w:tl2br w:val="nil"/>
              <w:tr2bl w:val="nil"/>
            </w:tcBorders>
            <w:noWrap w:val="0"/>
            <w:vAlign w:val="center"/>
          </w:tcPr>
          <w:p w14:paraId="045E202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135</w:t>
            </w:r>
          </w:p>
        </w:tc>
        <w:tc>
          <w:tcPr>
            <w:tcW w:w="1184" w:type="pct"/>
            <w:vMerge w:val="continue"/>
            <w:tcBorders>
              <w:tl2br w:val="nil"/>
              <w:tr2bl w:val="nil"/>
            </w:tcBorders>
            <w:noWrap w:val="0"/>
            <w:vAlign w:val="center"/>
          </w:tcPr>
          <w:p w14:paraId="4A792406">
            <w:pPr>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color="auto"/>
              </w:rPr>
            </w:pPr>
          </w:p>
        </w:tc>
      </w:tr>
    </w:tbl>
    <w:p w14:paraId="40E4E858">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255" w:name="_Toc11016"/>
      <w:bookmarkStart w:id="256" w:name="_Toc28826"/>
      <w:bookmarkStart w:id="257" w:name="_Toc22496"/>
      <w:bookmarkStart w:id="258" w:name="_Toc27664"/>
      <w:r>
        <w:rPr>
          <w:rFonts w:hint="default" w:ascii="Times New Roman" w:hAnsi="Times New Roman" w:cs="Times New Roman"/>
          <w:color w:val="auto"/>
          <w:sz w:val="28"/>
          <w:szCs w:val="28"/>
          <w:highlight w:val="none"/>
          <w:u w:val="none" w:color="auto"/>
        </w:rPr>
        <w:t>2.4.3污染物排放标准</w:t>
      </w:r>
      <w:bookmarkEnd w:id="255"/>
      <w:bookmarkEnd w:id="256"/>
      <w:bookmarkEnd w:id="257"/>
      <w:bookmarkEnd w:id="258"/>
    </w:p>
    <w:p w14:paraId="591563B3">
      <w:pPr>
        <w:numPr>
          <w:ilvl w:val="0"/>
          <w:numId w:val="9"/>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废气</w:t>
      </w:r>
    </w:p>
    <w:p w14:paraId="6C708B5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项目施工期扬尘排放执行《大气污染物综合排放标准》（GB16297-1996）表2中无组织排放监控浓度限值标准</w:t>
      </w:r>
      <w:r>
        <w:rPr>
          <w:rFonts w:hint="eastAsia" w:cs="Times New Roman"/>
          <w:color w:val="auto"/>
          <w:spacing w:val="0"/>
          <w:kern w:val="2"/>
          <w:sz w:val="24"/>
          <w:szCs w:val="24"/>
          <w:u w:val="none"/>
          <w:lang w:val="en-US" w:eastAsia="zh-CN" w:bidi="ar-SA"/>
        </w:rPr>
        <w:t>，</w:t>
      </w:r>
      <w:r>
        <w:rPr>
          <w:rFonts w:hint="default" w:ascii="Times New Roman" w:hAnsi="Times New Roman" w:eastAsia="宋体" w:cs="Times New Roman"/>
          <w:color w:val="auto"/>
          <w:sz w:val="24"/>
          <w:szCs w:val="24"/>
          <w:highlight w:val="none"/>
          <w:u w:val="none" w:color="auto"/>
          <w:lang w:val="en-US" w:eastAsia="zh-CN"/>
        </w:rPr>
        <w:t>具体标准限值详见下表。</w:t>
      </w:r>
    </w:p>
    <w:p w14:paraId="660220AC">
      <w:pPr>
        <w:widowControl w:val="0"/>
        <w:topLinePunct w:val="0"/>
        <w:spacing w:line="240" w:lineRule="auto"/>
        <w:ind w:firstLine="0" w:firstLineChars="0"/>
        <w:jc w:val="center"/>
        <w:rPr>
          <w:rFonts w:hint="default" w:ascii="Times New Roman" w:hAnsi="Times New Roman" w:eastAsia="宋体" w:cs="Times New Roman"/>
          <w:b/>
          <w:bCs/>
          <w:color w:val="auto"/>
          <w:sz w:val="21"/>
          <w:szCs w:val="21"/>
          <w:highlight w:val="none"/>
          <w:u w:val="none" w:color="auto"/>
          <w:lang w:val="en-US" w:eastAsia="zh-CN"/>
        </w:rPr>
      </w:pPr>
      <w:r>
        <w:rPr>
          <w:rFonts w:ascii="Times New Roman" w:hAnsi="Times New Roman" w:eastAsia="宋体" w:cs="Times New Roman"/>
          <w:b/>
          <w:bCs/>
          <w:color w:val="auto"/>
          <w:sz w:val="21"/>
          <w:szCs w:val="21"/>
          <w:highlight w:val="none"/>
          <w:u w:val="none" w:color="auto"/>
        </w:rPr>
        <w:t>表</w:t>
      </w:r>
      <w:r>
        <w:rPr>
          <w:rFonts w:hint="eastAsia" w:ascii="Times New Roman" w:hAnsi="Times New Roman" w:eastAsia="宋体" w:cs="Times New Roman"/>
          <w:b/>
          <w:bCs/>
          <w:color w:val="auto"/>
          <w:sz w:val="21"/>
          <w:szCs w:val="21"/>
          <w:highlight w:val="none"/>
          <w:u w:val="none" w:color="auto"/>
          <w:lang w:val="en-US" w:eastAsia="zh-CN"/>
        </w:rPr>
        <w:t>2.4-</w:t>
      </w:r>
      <w:r>
        <w:rPr>
          <w:rFonts w:hint="eastAsia" w:cs="Times New Roman"/>
          <w:b/>
          <w:bCs/>
          <w:color w:val="auto"/>
          <w:sz w:val="21"/>
          <w:szCs w:val="21"/>
          <w:highlight w:val="none"/>
          <w:u w:val="none" w:color="auto"/>
          <w:lang w:val="en-US" w:eastAsia="zh-CN"/>
        </w:rPr>
        <w:t>7</w:t>
      </w:r>
      <w:r>
        <w:rPr>
          <w:rFonts w:hint="eastAsia" w:ascii="Times New Roman" w:hAnsi="Times New Roman" w:eastAsia="宋体" w:cs="Times New Roman"/>
          <w:b/>
          <w:bCs/>
          <w:color w:val="auto"/>
          <w:sz w:val="21"/>
          <w:szCs w:val="21"/>
          <w:highlight w:val="none"/>
          <w:u w:val="none" w:color="auto"/>
        </w:rPr>
        <w:t xml:space="preserve"> </w:t>
      </w:r>
      <w:r>
        <w:rPr>
          <w:rFonts w:ascii="Times New Roman" w:hAnsi="Times New Roman" w:eastAsia="宋体" w:cs="Times New Roman"/>
          <w:b/>
          <w:bCs/>
          <w:color w:val="auto"/>
          <w:sz w:val="21"/>
          <w:szCs w:val="21"/>
          <w:highlight w:val="none"/>
          <w:u w:val="none" w:color="auto"/>
        </w:rPr>
        <w:t xml:space="preserve"> </w:t>
      </w:r>
      <w:r>
        <w:rPr>
          <w:rFonts w:hint="eastAsia" w:ascii="Times New Roman" w:hAnsi="Times New Roman" w:eastAsia="宋体" w:cs="Times New Roman"/>
          <w:b/>
          <w:bCs/>
          <w:color w:val="auto"/>
          <w:sz w:val="21"/>
          <w:szCs w:val="21"/>
          <w:highlight w:val="none"/>
          <w:u w:val="none" w:color="auto"/>
        </w:rPr>
        <w:t>《大气污染物综合排放标准》（GB16297-1996）</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1205"/>
        <w:gridCol w:w="1465"/>
        <w:gridCol w:w="1677"/>
        <w:gridCol w:w="1192"/>
        <w:gridCol w:w="2877"/>
      </w:tblGrid>
      <w:tr w14:paraId="743F4F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8" w:hRule="atLeast"/>
          <w:jc w:val="center"/>
        </w:trPr>
        <w:tc>
          <w:tcPr>
            <w:tcW w:w="466" w:type="pct"/>
            <w:vMerge w:val="restart"/>
            <w:noWrap w:val="0"/>
            <w:vAlign w:val="center"/>
          </w:tcPr>
          <w:p w14:paraId="71B0CF2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s="Times New Roman"/>
                <w:b/>
                <w:bCs/>
                <w:color w:val="auto"/>
                <w:sz w:val="21"/>
                <w:szCs w:val="21"/>
                <w:highlight w:val="none"/>
                <w:u w:val="none" w:color="auto"/>
                <w:lang w:val="en-US" w:eastAsia="zh-CN"/>
              </w:rPr>
            </w:pPr>
            <w:r>
              <w:rPr>
                <w:rFonts w:hint="eastAsia" w:cs="Times New Roman"/>
                <w:b/>
                <w:bCs/>
                <w:color w:val="auto"/>
                <w:sz w:val="21"/>
                <w:szCs w:val="21"/>
                <w:highlight w:val="none"/>
                <w:u w:val="none" w:color="auto"/>
                <w:lang w:val="en-US" w:eastAsia="zh-CN"/>
              </w:rPr>
              <w:t>时段</w:t>
            </w:r>
          </w:p>
        </w:tc>
        <w:tc>
          <w:tcPr>
            <w:tcW w:w="649" w:type="pct"/>
            <w:vMerge w:val="restart"/>
            <w:shd w:val="clear" w:color="auto" w:fill="auto"/>
            <w:noWrap w:val="0"/>
            <w:vAlign w:val="center"/>
          </w:tcPr>
          <w:p w14:paraId="2AE48AC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s="Times New Roman"/>
                <w:b/>
                <w:bCs/>
                <w:color w:val="auto"/>
                <w:sz w:val="21"/>
                <w:szCs w:val="21"/>
                <w:highlight w:val="none"/>
                <w:u w:val="none" w:color="auto"/>
                <w:lang w:val="en-US" w:eastAsia="zh-CN"/>
              </w:rPr>
            </w:pPr>
            <w:r>
              <w:rPr>
                <w:rFonts w:hint="eastAsia" w:cs="Times New Roman"/>
                <w:b/>
                <w:bCs/>
                <w:color w:val="auto"/>
                <w:sz w:val="21"/>
                <w:szCs w:val="21"/>
                <w:highlight w:val="none"/>
                <w:u w:val="none" w:color="auto"/>
                <w:lang w:val="en-US" w:eastAsia="zh-CN"/>
              </w:rPr>
              <w:t>排放形式</w:t>
            </w:r>
          </w:p>
        </w:tc>
        <w:tc>
          <w:tcPr>
            <w:tcW w:w="789" w:type="pct"/>
            <w:vMerge w:val="restart"/>
            <w:shd w:val="clear" w:color="auto" w:fill="auto"/>
            <w:noWrap w:val="0"/>
            <w:vAlign w:val="center"/>
          </w:tcPr>
          <w:p w14:paraId="152A6C9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b/>
                <w:bCs/>
                <w:color w:val="auto"/>
                <w:kern w:val="2"/>
                <w:sz w:val="21"/>
                <w:szCs w:val="21"/>
                <w:highlight w:val="none"/>
                <w:u w:val="none" w:color="auto"/>
                <w:lang w:val="en-US" w:eastAsia="zh-CN" w:bidi="ar-SA"/>
              </w:rPr>
            </w:pPr>
            <w:r>
              <w:rPr>
                <w:rFonts w:ascii="Times New Roman" w:hAnsi="Times New Roman" w:eastAsia="宋体" w:cs="Times New Roman"/>
                <w:b/>
                <w:bCs/>
                <w:color w:val="auto"/>
                <w:sz w:val="21"/>
                <w:szCs w:val="21"/>
                <w:highlight w:val="none"/>
                <w:u w:val="none" w:color="auto"/>
              </w:rPr>
              <w:t>污染物</w:t>
            </w:r>
          </w:p>
        </w:tc>
        <w:tc>
          <w:tcPr>
            <w:tcW w:w="1545" w:type="pct"/>
            <w:gridSpan w:val="2"/>
            <w:shd w:val="clear" w:color="auto" w:fill="auto"/>
            <w:noWrap w:val="0"/>
            <w:vAlign w:val="center"/>
          </w:tcPr>
          <w:p w14:paraId="466CBEF4">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color="auto"/>
                <w:lang w:val="en-US" w:eastAsia="zh-CN" w:bidi="ar-SA"/>
              </w:rPr>
            </w:pPr>
            <w:r>
              <w:rPr>
                <w:rFonts w:ascii="Times New Roman" w:hAnsi="Times New Roman" w:eastAsia="宋体" w:cs="Times New Roman"/>
                <w:b/>
                <w:bCs/>
                <w:color w:val="auto"/>
                <w:kern w:val="0"/>
                <w:sz w:val="21"/>
                <w:szCs w:val="21"/>
                <w:highlight w:val="none"/>
                <w:u w:val="none" w:color="auto"/>
                <w:lang w:val="en-US" w:eastAsia="zh-CN" w:bidi="ar-SA"/>
              </w:rPr>
              <w:t>排放监控浓度限值</w:t>
            </w:r>
          </w:p>
        </w:tc>
        <w:tc>
          <w:tcPr>
            <w:tcW w:w="1549" w:type="pct"/>
            <w:vMerge w:val="restart"/>
            <w:shd w:val="clear" w:color="auto" w:fill="auto"/>
            <w:noWrap w:val="0"/>
            <w:vAlign w:val="center"/>
          </w:tcPr>
          <w:p w14:paraId="5192916F">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hint="eastAsia" w:ascii="Times New Roman" w:hAnsi="Times New Roman" w:eastAsia="宋体" w:cs="Times New Roman"/>
                <w:b/>
                <w:bCs/>
                <w:color w:val="auto"/>
                <w:kern w:val="0"/>
                <w:sz w:val="21"/>
                <w:szCs w:val="21"/>
                <w:highlight w:val="none"/>
                <w:u w:val="none" w:color="auto"/>
                <w:lang w:val="en-US" w:eastAsia="zh-CN" w:bidi="ar-SA"/>
              </w:rPr>
            </w:pPr>
            <w:r>
              <w:rPr>
                <w:rFonts w:hint="eastAsia" w:ascii="Times New Roman" w:hAnsi="Times New Roman" w:eastAsia="宋体" w:cs="Times New Roman"/>
                <w:b/>
                <w:bCs/>
                <w:color w:val="auto"/>
                <w:kern w:val="0"/>
                <w:sz w:val="21"/>
                <w:szCs w:val="21"/>
                <w:highlight w:val="none"/>
                <w:u w:val="none" w:color="auto"/>
                <w:lang w:val="en-US" w:eastAsia="zh-CN" w:bidi="ar-SA"/>
              </w:rPr>
              <w:t>执行标准</w:t>
            </w:r>
          </w:p>
        </w:tc>
      </w:tr>
      <w:tr w14:paraId="1798D3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8" w:hRule="atLeast"/>
          <w:jc w:val="center"/>
        </w:trPr>
        <w:tc>
          <w:tcPr>
            <w:tcW w:w="466" w:type="pct"/>
            <w:vMerge w:val="continue"/>
            <w:noWrap w:val="0"/>
            <w:vAlign w:val="center"/>
          </w:tcPr>
          <w:p w14:paraId="68CEEC58">
            <w:pPr>
              <w:keepNext w:val="0"/>
              <w:keepLines w:val="0"/>
              <w:pageBreakBefore w:val="0"/>
              <w:widowControl w:val="0"/>
              <w:kinsoku/>
              <w:wordWrap/>
              <w:overflowPunct/>
              <w:bidi w:val="0"/>
              <w:adjustRightInd/>
              <w:snapToGrid/>
              <w:spacing w:before="0" w:after="0" w:line="240" w:lineRule="auto"/>
              <w:ind w:firstLine="0" w:firstLineChars="0"/>
              <w:jc w:val="center"/>
              <w:textAlignment w:val="auto"/>
            </w:pPr>
          </w:p>
        </w:tc>
        <w:tc>
          <w:tcPr>
            <w:tcW w:w="649" w:type="pct"/>
            <w:vMerge w:val="continue"/>
            <w:shd w:val="clear" w:color="auto" w:fill="auto"/>
            <w:noWrap w:val="0"/>
            <w:vAlign w:val="center"/>
          </w:tcPr>
          <w:p w14:paraId="4D9847B1">
            <w:pPr>
              <w:keepNext w:val="0"/>
              <w:keepLines w:val="0"/>
              <w:pageBreakBefore w:val="0"/>
              <w:widowControl w:val="0"/>
              <w:kinsoku/>
              <w:wordWrap/>
              <w:overflowPunct/>
              <w:bidi w:val="0"/>
              <w:adjustRightInd/>
              <w:snapToGrid/>
              <w:spacing w:before="0" w:after="0" w:line="240" w:lineRule="auto"/>
              <w:ind w:firstLine="0" w:firstLineChars="0"/>
              <w:jc w:val="center"/>
              <w:textAlignment w:val="auto"/>
            </w:pPr>
          </w:p>
        </w:tc>
        <w:tc>
          <w:tcPr>
            <w:tcW w:w="789" w:type="pct"/>
            <w:vMerge w:val="continue"/>
            <w:shd w:val="clear" w:color="auto" w:fill="auto"/>
            <w:noWrap w:val="0"/>
            <w:vAlign w:val="center"/>
          </w:tcPr>
          <w:p w14:paraId="12310AC9">
            <w:pPr>
              <w:keepNext w:val="0"/>
              <w:keepLines w:val="0"/>
              <w:pageBreakBefore w:val="0"/>
              <w:widowControl w:val="0"/>
              <w:kinsoku/>
              <w:wordWrap/>
              <w:overflowPunct/>
              <w:bidi w:val="0"/>
              <w:adjustRightInd/>
              <w:snapToGrid/>
              <w:spacing w:before="0" w:after="0" w:line="240" w:lineRule="auto"/>
              <w:ind w:firstLine="0" w:firstLineChars="0"/>
              <w:jc w:val="center"/>
              <w:textAlignment w:val="auto"/>
            </w:pPr>
          </w:p>
        </w:tc>
        <w:tc>
          <w:tcPr>
            <w:tcW w:w="903" w:type="pct"/>
            <w:shd w:val="clear" w:color="auto" w:fill="auto"/>
            <w:noWrap w:val="0"/>
            <w:vAlign w:val="center"/>
          </w:tcPr>
          <w:p w14:paraId="4F87FCE5">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u w:val="none" w:color="auto"/>
                <w:lang w:val="en-US" w:eastAsia="zh-CN" w:bidi="ar-SA"/>
              </w:rPr>
            </w:pPr>
            <w:r>
              <w:rPr>
                <w:rFonts w:hint="eastAsia" w:cs="Times New Roman"/>
                <w:b/>
                <w:bCs/>
                <w:color w:val="auto"/>
                <w:kern w:val="0"/>
                <w:sz w:val="21"/>
                <w:szCs w:val="21"/>
                <w:highlight w:val="none"/>
                <w:u w:val="none" w:color="auto"/>
                <w:lang w:val="en-US" w:eastAsia="zh-CN" w:bidi="ar-SA"/>
              </w:rPr>
              <w:t>排放浓度</w:t>
            </w:r>
          </w:p>
        </w:tc>
        <w:tc>
          <w:tcPr>
            <w:tcW w:w="641" w:type="pct"/>
            <w:shd w:val="clear" w:color="auto" w:fill="auto"/>
            <w:noWrap w:val="0"/>
            <w:vAlign w:val="center"/>
          </w:tcPr>
          <w:p w14:paraId="6EAADC79">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u w:val="none" w:color="auto"/>
                <w:lang w:val="en-US" w:eastAsia="zh-CN" w:bidi="ar-SA"/>
              </w:rPr>
            </w:pPr>
            <w:r>
              <w:rPr>
                <w:rFonts w:hint="eastAsia" w:cs="Times New Roman"/>
                <w:b/>
                <w:bCs/>
                <w:color w:val="auto"/>
                <w:kern w:val="0"/>
                <w:sz w:val="21"/>
                <w:szCs w:val="21"/>
                <w:highlight w:val="none"/>
                <w:u w:val="none" w:color="auto"/>
                <w:lang w:val="en-US" w:eastAsia="zh-CN" w:bidi="ar-SA"/>
              </w:rPr>
              <w:t>排放速率</w:t>
            </w:r>
          </w:p>
        </w:tc>
        <w:tc>
          <w:tcPr>
            <w:tcW w:w="1549" w:type="pct"/>
            <w:vMerge w:val="continue"/>
            <w:shd w:val="clear" w:color="auto" w:fill="auto"/>
            <w:noWrap w:val="0"/>
            <w:vAlign w:val="center"/>
          </w:tcPr>
          <w:p w14:paraId="25050F68">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color="auto"/>
                <w:lang w:val="en-US" w:eastAsia="zh-CN" w:bidi="ar-SA"/>
              </w:rPr>
            </w:pPr>
          </w:p>
        </w:tc>
      </w:tr>
      <w:tr w14:paraId="5E0C2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67" w:hRule="atLeast"/>
          <w:jc w:val="center"/>
        </w:trPr>
        <w:tc>
          <w:tcPr>
            <w:tcW w:w="466" w:type="pct"/>
            <w:noWrap w:val="0"/>
            <w:vAlign w:val="center"/>
          </w:tcPr>
          <w:p w14:paraId="4A45E2B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s="Times New Roman"/>
                <w:b w:val="0"/>
                <w:bCs w:val="0"/>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施工期</w:t>
            </w:r>
          </w:p>
        </w:tc>
        <w:tc>
          <w:tcPr>
            <w:tcW w:w="649" w:type="pct"/>
            <w:noWrap w:val="0"/>
            <w:vAlign w:val="center"/>
          </w:tcPr>
          <w:p w14:paraId="0FC89C8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s="Times New Roman"/>
                <w:b w:val="0"/>
                <w:bCs w:val="0"/>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无组织</w:t>
            </w:r>
          </w:p>
        </w:tc>
        <w:tc>
          <w:tcPr>
            <w:tcW w:w="789" w:type="pct"/>
            <w:noWrap w:val="0"/>
            <w:vAlign w:val="center"/>
          </w:tcPr>
          <w:p w14:paraId="36632A5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sz w:val="21"/>
                <w:szCs w:val="21"/>
                <w:highlight w:val="none"/>
                <w:u w:val="none" w:color="auto"/>
                <w:lang w:val="en-US" w:eastAsia="zh-CN"/>
              </w:rPr>
            </w:pPr>
            <w:r>
              <w:rPr>
                <w:rFonts w:hint="eastAsia" w:cs="Times New Roman"/>
                <w:b w:val="0"/>
                <w:bCs w:val="0"/>
                <w:color w:val="auto"/>
                <w:sz w:val="21"/>
                <w:szCs w:val="21"/>
                <w:highlight w:val="none"/>
                <w:u w:val="none" w:color="auto"/>
                <w:lang w:val="en-US" w:eastAsia="zh-CN"/>
              </w:rPr>
              <w:t>颗粒物</w:t>
            </w:r>
          </w:p>
        </w:tc>
        <w:tc>
          <w:tcPr>
            <w:tcW w:w="903" w:type="pct"/>
            <w:noWrap w:val="0"/>
            <w:vAlign w:val="center"/>
          </w:tcPr>
          <w:p w14:paraId="36BB1C78">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auto"/>
                <w:kern w:val="0"/>
                <w:sz w:val="21"/>
                <w:szCs w:val="21"/>
                <w:highlight w:val="none"/>
                <w:u w:val="none" w:color="auto"/>
                <w:lang w:val="en-US" w:eastAsia="zh-CN" w:bidi="ar-SA"/>
              </w:rPr>
            </w:pPr>
            <w:r>
              <w:rPr>
                <w:rFonts w:hint="eastAsia" w:cs="Times New Roman"/>
                <w:b w:val="0"/>
                <w:bCs w:val="0"/>
                <w:color w:val="auto"/>
                <w:kern w:val="0"/>
                <w:sz w:val="21"/>
                <w:szCs w:val="21"/>
                <w:highlight w:val="none"/>
                <w:u w:val="none" w:color="auto"/>
                <w:lang w:val="en-US" w:eastAsia="zh-CN" w:bidi="ar-SA"/>
              </w:rPr>
              <w:t>1.0 mg/m</w:t>
            </w:r>
            <w:r>
              <w:rPr>
                <w:rFonts w:hint="eastAsia" w:cs="Times New Roman"/>
                <w:b w:val="0"/>
                <w:bCs w:val="0"/>
                <w:color w:val="auto"/>
                <w:kern w:val="0"/>
                <w:sz w:val="21"/>
                <w:szCs w:val="21"/>
                <w:highlight w:val="none"/>
                <w:u w:val="none" w:color="auto"/>
                <w:vertAlign w:val="superscript"/>
                <w:lang w:val="en-US" w:eastAsia="zh-CN" w:bidi="ar-SA"/>
              </w:rPr>
              <w:t>3</w:t>
            </w:r>
          </w:p>
        </w:tc>
        <w:tc>
          <w:tcPr>
            <w:tcW w:w="641" w:type="pct"/>
            <w:noWrap w:val="0"/>
            <w:vAlign w:val="center"/>
          </w:tcPr>
          <w:p w14:paraId="1C0CD536">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hint="default" w:cs="Times New Roman"/>
                <w:b w:val="0"/>
                <w:bCs w:val="0"/>
                <w:color w:val="auto"/>
                <w:kern w:val="0"/>
                <w:sz w:val="21"/>
                <w:szCs w:val="21"/>
                <w:highlight w:val="none"/>
                <w:u w:val="none" w:color="auto"/>
                <w:lang w:val="en-US" w:eastAsia="zh-CN" w:bidi="ar-SA"/>
              </w:rPr>
            </w:pPr>
            <w:r>
              <w:rPr>
                <w:rFonts w:hint="eastAsia" w:cs="Times New Roman"/>
                <w:b w:val="0"/>
                <w:bCs w:val="0"/>
                <w:color w:val="auto"/>
                <w:kern w:val="0"/>
                <w:sz w:val="21"/>
                <w:szCs w:val="21"/>
                <w:highlight w:val="none"/>
                <w:u w:val="none" w:color="auto"/>
                <w:lang w:val="en-US" w:eastAsia="zh-CN" w:bidi="ar-SA"/>
              </w:rPr>
              <w:t>/</w:t>
            </w:r>
          </w:p>
        </w:tc>
        <w:tc>
          <w:tcPr>
            <w:tcW w:w="1549" w:type="pct"/>
            <w:noWrap w:val="0"/>
            <w:vAlign w:val="center"/>
          </w:tcPr>
          <w:p w14:paraId="113DEF15">
            <w:pPr>
              <w:keepNext w:val="0"/>
              <w:keepLines w:val="0"/>
              <w:pageBreakBefore w:val="0"/>
              <w:widowControl w:val="0"/>
              <w:kinsoku/>
              <w:wordWrap/>
              <w:overflowPunct/>
              <w:bidi w:val="0"/>
              <w:adjustRightInd/>
              <w:snapToGrid/>
              <w:spacing w:before="0" w:after="0" w:line="240" w:lineRule="auto"/>
              <w:ind w:firstLine="0" w:firstLineChars="0"/>
              <w:jc w:val="center"/>
              <w:textAlignment w:val="auto"/>
              <w:rPr>
                <w:rFonts w:hint="eastAsia" w:ascii="Times New Roman" w:hAnsi="Times New Roman" w:eastAsia="宋体" w:cs="Times New Roman"/>
                <w:b w:val="0"/>
                <w:bCs w:val="0"/>
                <w:color w:val="auto"/>
                <w:kern w:val="0"/>
                <w:sz w:val="21"/>
                <w:szCs w:val="21"/>
                <w:highlight w:val="none"/>
                <w:u w:val="none" w:color="auto"/>
                <w:lang w:val="en-US" w:eastAsia="zh-CN" w:bidi="ar-SA"/>
              </w:rPr>
            </w:pPr>
            <w:r>
              <w:rPr>
                <w:rFonts w:hint="eastAsia"/>
                <w:b w:val="0"/>
                <w:bCs w:val="0"/>
                <w:color w:val="auto"/>
                <w:kern w:val="0"/>
                <w:highlight w:val="none"/>
                <w:u w:val="none" w:color="auto"/>
              </w:rPr>
              <w:t>《大气污染物综合排放标准》（GB16297-1996）</w:t>
            </w:r>
            <w:r>
              <w:rPr>
                <w:rFonts w:hint="eastAsia"/>
                <w:b w:val="0"/>
                <w:bCs w:val="0"/>
                <w:color w:val="auto"/>
                <w:kern w:val="0"/>
                <w:highlight w:val="none"/>
                <w:u w:val="none" w:color="auto"/>
                <w:lang w:val="en-US" w:eastAsia="zh-CN"/>
              </w:rPr>
              <w:t xml:space="preserve"> </w:t>
            </w:r>
          </w:p>
        </w:tc>
      </w:tr>
    </w:tbl>
    <w:p w14:paraId="60987C04">
      <w:pPr>
        <w:numPr>
          <w:ilvl w:val="0"/>
          <w:numId w:val="9"/>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废水</w:t>
      </w:r>
    </w:p>
    <w:p w14:paraId="75E6FE1D">
      <w:pPr>
        <w:keepNext w:val="0"/>
        <w:keepLines w:val="0"/>
        <w:pageBreakBefore w:val="0"/>
        <w:widowControl/>
        <w:kinsoku/>
        <w:wordWrap/>
        <w:overflowPunct/>
        <w:topLinePunct w:val="0"/>
        <w:autoSpaceDE/>
        <w:autoSpaceDN/>
        <w:bidi w:val="0"/>
        <w:adjustRightInd/>
        <w:snapToGrid/>
        <w:spacing w:line="360" w:lineRule="auto"/>
        <w:ind w:firstLine="422"/>
        <w:jc w:val="left"/>
        <w:textAlignment w:val="auto"/>
        <w:rPr>
          <w:rFonts w:hint="eastAsia" w:cs="Times New Roman"/>
          <w:b w:val="0"/>
          <w:bCs w:val="0"/>
          <w:color w:val="auto"/>
          <w:sz w:val="24"/>
          <w:szCs w:val="24"/>
          <w:highlight w:val="none"/>
          <w:u w:val="none" w:color="auto"/>
          <w:lang w:val="en-US" w:eastAsia="zh-CN"/>
        </w:rPr>
      </w:pPr>
      <w:r>
        <w:rPr>
          <w:rFonts w:hint="eastAsia" w:cs="Times New Roman"/>
          <w:b w:val="0"/>
          <w:bCs w:val="0"/>
          <w:color w:val="auto"/>
          <w:sz w:val="24"/>
          <w:szCs w:val="24"/>
          <w:highlight w:val="none"/>
          <w:u w:val="none" w:color="auto"/>
          <w:lang w:val="en-US" w:eastAsia="zh-CN"/>
        </w:rPr>
        <w:t>车辆冲洗废水经沉淀处理后回用于施工场地洒水抑尘等，不外排；施工期生活污水经化粪池处理后用于农肥，不外排。</w:t>
      </w:r>
    </w:p>
    <w:p w14:paraId="1D5B146D">
      <w:pPr>
        <w:keepNext w:val="0"/>
        <w:keepLines w:val="0"/>
        <w:pageBreakBefore w:val="0"/>
        <w:widowControl/>
        <w:kinsoku/>
        <w:wordWrap/>
        <w:overflowPunct/>
        <w:topLinePunct w:val="0"/>
        <w:autoSpaceDE/>
        <w:autoSpaceDN/>
        <w:bidi w:val="0"/>
        <w:adjustRightInd/>
        <w:snapToGrid/>
        <w:spacing w:line="360" w:lineRule="auto"/>
        <w:ind w:firstLine="422"/>
        <w:jc w:val="left"/>
        <w:textAlignment w:val="auto"/>
        <w:rPr>
          <w:rFonts w:hint="eastAsia" w:cs="Times New Roman"/>
          <w:b w:val="0"/>
          <w:bCs w:val="0"/>
          <w:color w:val="auto"/>
          <w:sz w:val="24"/>
          <w:szCs w:val="24"/>
          <w:highlight w:val="none"/>
          <w:u w:val="none" w:color="auto"/>
          <w:lang w:val="en-US" w:eastAsia="zh-CN"/>
        </w:rPr>
      </w:pPr>
      <w:r>
        <w:rPr>
          <w:rFonts w:hint="eastAsia" w:cs="Times New Roman"/>
          <w:b w:val="0"/>
          <w:bCs w:val="0"/>
          <w:color w:val="auto"/>
          <w:sz w:val="24"/>
          <w:szCs w:val="24"/>
          <w:highlight w:val="none"/>
          <w:u w:val="none" w:color="auto"/>
          <w:lang w:val="en-US" w:eastAsia="zh-CN"/>
        </w:rPr>
        <w:t>施工清挖过程中雨季产生的淋溶水及施工期和封场后产生的渗滤液经一体化废水处理设施处理达到《污水综合排放标准》（GB8978-1996）中表1第一类污染物最高允许排放浓度及表4第二类污染物最高允许排放浓度一级标准后委托湖南黄金天岳矿业有限公司垂拱洞尾矿库废水处理站进一步处理后排放，湖南黄金天岳矿业有限公司垂拱洞尾矿库废水处理站尾水重金属污染物执行《农田灌溉水质标准》（GB5084-2021）中表1、表2标准，其他污染物执行《污水综合排放标准》（GB8978-1996）表4中一级标准。</w:t>
      </w:r>
    </w:p>
    <w:p w14:paraId="182B8540">
      <w:pPr>
        <w:bidi w:val="0"/>
        <w:spacing w:line="24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表2.4-8  《污水综合排放标准》（GB8978-1996）</w:t>
      </w:r>
    </w:p>
    <w:tbl>
      <w:tblPr>
        <w:tblStyle w:val="4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1478"/>
        <w:gridCol w:w="1740"/>
        <w:gridCol w:w="2379"/>
        <w:gridCol w:w="2812"/>
      </w:tblGrid>
      <w:tr w14:paraId="1F749C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70" w:type="pct"/>
            <w:vMerge w:val="restart"/>
            <w:noWrap w:val="0"/>
            <w:vAlign w:val="center"/>
          </w:tcPr>
          <w:p w14:paraId="26FF3B8D">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序号</w:t>
            </w:r>
          </w:p>
        </w:tc>
        <w:tc>
          <w:tcPr>
            <w:tcW w:w="796" w:type="pct"/>
            <w:vMerge w:val="restart"/>
            <w:noWrap w:val="0"/>
            <w:vAlign w:val="center"/>
          </w:tcPr>
          <w:p w14:paraId="78BC8908">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项目</w:t>
            </w:r>
          </w:p>
        </w:tc>
        <w:tc>
          <w:tcPr>
            <w:tcW w:w="937" w:type="pct"/>
            <w:vMerge w:val="restart"/>
            <w:noWrap w:val="0"/>
            <w:vAlign w:val="center"/>
          </w:tcPr>
          <w:p w14:paraId="53D43A0D">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单位</w:t>
            </w:r>
          </w:p>
        </w:tc>
        <w:tc>
          <w:tcPr>
            <w:tcW w:w="2795" w:type="pct"/>
            <w:gridSpan w:val="2"/>
            <w:noWrap w:val="0"/>
            <w:vAlign w:val="center"/>
          </w:tcPr>
          <w:p w14:paraId="0C22CE5B">
            <w:pPr>
              <w:bidi w:val="0"/>
              <w:spacing w:line="240" w:lineRule="auto"/>
              <w:ind w:left="0" w:leftChars="0" w:firstLine="0" w:firstLineChars="0"/>
              <w:jc w:val="center"/>
              <w:rPr>
                <w:rFonts w:hint="default"/>
                <w:b/>
                <w:bCs/>
                <w:sz w:val="21"/>
                <w:szCs w:val="21"/>
                <w:u w:val="none"/>
                <w:lang w:val="en-US" w:eastAsia="zh-CN"/>
              </w:rPr>
            </w:pPr>
            <w:r>
              <w:rPr>
                <w:rFonts w:hint="eastAsia"/>
                <w:b/>
                <w:bCs/>
                <w:sz w:val="21"/>
                <w:szCs w:val="21"/>
                <w:u w:val="none"/>
                <w:lang w:val="en-US" w:eastAsia="zh-CN"/>
              </w:rPr>
              <w:t>标准限值</w:t>
            </w:r>
          </w:p>
        </w:tc>
      </w:tr>
      <w:tr w14:paraId="71850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70" w:type="pct"/>
            <w:vMerge w:val="continue"/>
            <w:noWrap w:val="0"/>
            <w:vAlign w:val="center"/>
          </w:tcPr>
          <w:p w14:paraId="1D657D71">
            <w:pPr>
              <w:bidi w:val="0"/>
              <w:spacing w:line="240" w:lineRule="auto"/>
              <w:ind w:left="0" w:leftChars="0" w:firstLine="0" w:firstLineChars="0"/>
              <w:jc w:val="center"/>
              <w:rPr>
                <w:rFonts w:hint="eastAsia"/>
                <w:b/>
                <w:bCs/>
                <w:sz w:val="21"/>
                <w:szCs w:val="21"/>
                <w:u w:val="none"/>
                <w:lang w:val="en-US" w:eastAsia="zh-CN"/>
              </w:rPr>
            </w:pPr>
          </w:p>
        </w:tc>
        <w:tc>
          <w:tcPr>
            <w:tcW w:w="796" w:type="pct"/>
            <w:vMerge w:val="continue"/>
            <w:noWrap w:val="0"/>
            <w:vAlign w:val="center"/>
          </w:tcPr>
          <w:p w14:paraId="5FB3EDB8">
            <w:pPr>
              <w:bidi w:val="0"/>
              <w:spacing w:line="240" w:lineRule="auto"/>
              <w:ind w:left="0" w:leftChars="0" w:firstLine="0" w:firstLineChars="0"/>
              <w:jc w:val="center"/>
              <w:rPr>
                <w:rFonts w:hint="eastAsia"/>
                <w:b/>
                <w:bCs/>
                <w:sz w:val="21"/>
                <w:szCs w:val="21"/>
                <w:u w:val="none"/>
                <w:lang w:val="en-US" w:eastAsia="zh-CN"/>
              </w:rPr>
            </w:pPr>
          </w:p>
        </w:tc>
        <w:tc>
          <w:tcPr>
            <w:tcW w:w="937" w:type="pct"/>
            <w:vMerge w:val="continue"/>
            <w:noWrap w:val="0"/>
            <w:vAlign w:val="center"/>
          </w:tcPr>
          <w:p w14:paraId="5B228D70">
            <w:pPr>
              <w:bidi w:val="0"/>
              <w:spacing w:line="240" w:lineRule="auto"/>
              <w:ind w:left="0" w:leftChars="0" w:firstLine="0" w:firstLineChars="0"/>
              <w:jc w:val="center"/>
              <w:rPr>
                <w:rFonts w:hint="eastAsia"/>
                <w:b/>
                <w:bCs/>
                <w:sz w:val="21"/>
                <w:szCs w:val="21"/>
                <w:u w:val="none"/>
                <w:lang w:val="en-US" w:eastAsia="zh-CN"/>
              </w:rPr>
            </w:pPr>
          </w:p>
        </w:tc>
        <w:tc>
          <w:tcPr>
            <w:tcW w:w="1281" w:type="pct"/>
            <w:noWrap w:val="0"/>
            <w:vAlign w:val="center"/>
          </w:tcPr>
          <w:p w14:paraId="6AB163B8">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第一类污染物最高允许排放浓度</w:t>
            </w:r>
          </w:p>
        </w:tc>
        <w:tc>
          <w:tcPr>
            <w:tcW w:w="1514" w:type="pct"/>
            <w:noWrap w:val="0"/>
            <w:vAlign w:val="center"/>
          </w:tcPr>
          <w:p w14:paraId="028F8BAC">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第二类污染物最高允许排放浓度一级标准</w:t>
            </w:r>
          </w:p>
        </w:tc>
      </w:tr>
      <w:tr w14:paraId="715572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1B1BE580">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w:t>
            </w:r>
          </w:p>
        </w:tc>
        <w:tc>
          <w:tcPr>
            <w:tcW w:w="796" w:type="pct"/>
            <w:noWrap w:val="0"/>
            <w:vAlign w:val="center"/>
          </w:tcPr>
          <w:p w14:paraId="6D887E81">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pH</w:t>
            </w:r>
          </w:p>
        </w:tc>
        <w:tc>
          <w:tcPr>
            <w:tcW w:w="937" w:type="pct"/>
            <w:noWrap w:val="0"/>
            <w:vAlign w:val="center"/>
          </w:tcPr>
          <w:p w14:paraId="5AC99BA4">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无量纲</w:t>
            </w:r>
          </w:p>
        </w:tc>
        <w:tc>
          <w:tcPr>
            <w:tcW w:w="1281" w:type="pct"/>
            <w:noWrap w:val="0"/>
            <w:vAlign w:val="center"/>
          </w:tcPr>
          <w:p w14:paraId="74011638">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w:t>
            </w:r>
          </w:p>
        </w:tc>
        <w:tc>
          <w:tcPr>
            <w:tcW w:w="1514" w:type="pct"/>
            <w:noWrap w:val="0"/>
            <w:vAlign w:val="center"/>
          </w:tcPr>
          <w:p w14:paraId="089FF1D9">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6-9</w:t>
            </w:r>
          </w:p>
        </w:tc>
      </w:tr>
      <w:tr w14:paraId="448A9E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52595F1B">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2</w:t>
            </w:r>
          </w:p>
        </w:tc>
        <w:tc>
          <w:tcPr>
            <w:tcW w:w="796" w:type="pct"/>
            <w:noWrap w:val="0"/>
            <w:vAlign w:val="center"/>
          </w:tcPr>
          <w:p w14:paraId="6398E15B">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化学需氧量</w:t>
            </w:r>
          </w:p>
        </w:tc>
        <w:tc>
          <w:tcPr>
            <w:tcW w:w="937" w:type="pct"/>
            <w:noWrap w:val="0"/>
            <w:vAlign w:val="center"/>
          </w:tcPr>
          <w:p w14:paraId="4F182BF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4F0BF56A">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w:t>
            </w:r>
          </w:p>
        </w:tc>
        <w:tc>
          <w:tcPr>
            <w:tcW w:w="1514" w:type="pct"/>
            <w:noWrap w:val="0"/>
            <w:vAlign w:val="center"/>
          </w:tcPr>
          <w:p w14:paraId="55E824D8">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100</w:t>
            </w:r>
          </w:p>
        </w:tc>
      </w:tr>
      <w:tr w14:paraId="702CEB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704E336D">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3</w:t>
            </w:r>
          </w:p>
        </w:tc>
        <w:tc>
          <w:tcPr>
            <w:tcW w:w="796" w:type="pct"/>
            <w:noWrap w:val="0"/>
            <w:vAlign w:val="center"/>
          </w:tcPr>
          <w:p w14:paraId="3324A735">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氨氮</w:t>
            </w:r>
          </w:p>
        </w:tc>
        <w:tc>
          <w:tcPr>
            <w:tcW w:w="937" w:type="pct"/>
            <w:noWrap w:val="0"/>
            <w:vAlign w:val="center"/>
          </w:tcPr>
          <w:p w14:paraId="28149E2F">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422370EB">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w:t>
            </w:r>
          </w:p>
        </w:tc>
        <w:tc>
          <w:tcPr>
            <w:tcW w:w="1514" w:type="pct"/>
            <w:noWrap w:val="0"/>
            <w:vAlign w:val="center"/>
          </w:tcPr>
          <w:p w14:paraId="0E3EA949">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15</w:t>
            </w:r>
          </w:p>
        </w:tc>
      </w:tr>
      <w:tr w14:paraId="0A6ECF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34DD2143">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4</w:t>
            </w:r>
          </w:p>
        </w:tc>
        <w:tc>
          <w:tcPr>
            <w:tcW w:w="796" w:type="pct"/>
            <w:noWrap w:val="0"/>
            <w:vAlign w:val="center"/>
          </w:tcPr>
          <w:p w14:paraId="04DCE0B2">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悬浮物</w:t>
            </w:r>
          </w:p>
        </w:tc>
        <w:tc>
          <w:tcPr>
            <w:tcW w:w="937" w:type="pct"/>
            <w:noWrap w:val="0"/>
            <w:vAlign w:val="center"/>
          </w:tcPr>
          <w:p w14:paraId="71E30E53">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2E20C152">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w:t>
            </w:r>
          </w:p>
        </w:tc>
        <w:tc>
          <w:tcPr>
            <w:tcW w:w="1514" w:type="pct"/>
            <w:noWrap w:val="0"/>
            <w:vAlign w:val="center"/>
          </w:tcPr>
          <w:p w14:paraId="203C20F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70</w:t>
            </w:r>
          </w:p>
        </w:tc>
      </w:tr>
      <w:tr w14:paraId="4A8B55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082DA6BA">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5</w:t>
            </w:r>
          </w:p>
        </w:tc>
        <w:tc>
          <w:tcPr>
            <w:tcW w:w="796" w:type="pct"/>
            <w:shd w:val="clear" w:color="auto" w:fill="auto"/>
            <w:noWrap w:val="0"/>
            <w:vAlign w:val="center"/>
          </w:tcPr>
          <w:p w14:paraId="6295FB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总铬</w:t>
            </w:r>
          </w:p>
        </w:tc>
        <w:tc>
          <w:tcPr>
            <w:tcW w:w="937" w:type="pct"/>
            <w:noWrap w:val="0"/>
            <w:vAlign w:val="center"/>
          </w:tcPr>
          <w:p w14:paraId="71DB38C6">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2FF68C07">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1.5</w:t>
            </w:r>
          </w:p>
        </w:tc>
        <w:tc>
          <w:tcPr>
            <w:tcW w:w="1514" w:type="pct"/>
            <w:noWrap w:val="0"/>
            <w:vAlign w:val="center"/>
          </w:tcPr>
          <w:p w14:paraId="36EC9EC3">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w:t>
            </w:r>
          </w:p>
        </w:tc>
      </w:tr>
      <w:tr w14:paraId="368EA9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4A361B75">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6</w:t>
            </w:r>
          </w:p>
        </w:tc>
        <w:tc>
          <w:tcPr>
            <w:tcW w:w="796" w:type="pct"/>
            <w:shd w:val="clear" w:color="auto" w:fill="auto"/>
            <w:noWrap w:val="0"/>
            <w:vAlign w:val="center"/>
          </w:tcPr>
          <w:p w14:paraId="6F3413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总镍</w:t>
            </w:r>
          </w:p>
        </w:tc>
        <w:tc>
          <w:tcPr>
            <w:tcW w:w="937" w:type="pct"/>
            <w:noWrap w:val="0"/>
            <w:vAlign w:val="center"/>
          </w:tcPr>
          <w:p w14:paraId="49A68232">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4F565F08">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1.0</w:t>
            </w:r>
          </w:p>
        </w:tc>
        <w:tc>
          <w:tcPr>
            <w:tcW w:w="1514" w:type="pct"/>
            <w:noWrap w:val="0"/>
            <w:vAlign w:val="center"/>
          </w:tcPr>
          <w:p w14:paraId="2021E780">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w:t>
            </w:r>
          </w:p>
        </w:tc>
      </w:tr>
      <w:tr w14:paraId="2971E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0C5136E6">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7</w:t>
            </w:r>
          </w:p>
        </w:tc>
        <w:tc>
          <w:tcPr>
            <w:tcW w:w="796" w:type="pct"/>
            <w:shd w:val="clear" w:color="auto" w:fill="auto"/>
            <w:noWrap w:val="0"/>
            <w:vAlign w:val="center"/>
          </w:tcPr>
          <w:p w14:paraId="02294F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总铜</w:t>
            </w:r>
          </w:p>
        </w:tc>
        <w:tc>
          <w:tcPr>
            <w:tcW w:w="937" w:type="pct"/>
            <w:noWrap w:val="0"/>
            <w:vAlign w:val="center"/>
          </w:tcPr>
          <w:p w14:paraId="154290C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2CD0B7B0">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c>
          <w:tcPr>
            <w:tcW w:w="1514" w:type="pct"/>
            <w:noWrap w:val="0"/>
            <w:vAlign w:val="center"/>
          </w:tcPr>
          <w:p w14:paraId="1F4B1912">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0.5</w:t>
            </w:r>
          </w:p>
        </w:tc>
      </w:tr>
      <w:tr w14:paraId="01108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305A6B94">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8</w:t>
            </w:r>
          </w:p>
        </w:tc>
        <w:tc>
          <w:tcPr>
            <w:tcW w:w="796" w:type="pct"/>
            <w:shd w:val="clear" w:color="auto" w:fill="auto"/>
            <w:noWrap w:val="0"/>
            <w:vAlign w:val="center"/>
          </w:tcPr>
          <w:p w14:paraId="3F096D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总锌</w:t>
            </w:r>
          </w:p>
        </w:tc>
        <w:tc>
          <w:tcPr>
            <w:tcW w:w="937" w:type="pct"/>
            <w:noWrap w:val="0"/>
            <w:vAlign w:val="center"/>
          </w:tcPr>
          <w:p w14:paraId="39CE61D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51F084BE">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c>
          <w:tcPr>
            <w:tcW w:w="1514" w:type="pct"/>
            <w:noWrap w:val="0"/>
            <w:vAlign w:val="center"/>
          </w:tcPr>
          <w:p w14:paraId="417268AC">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2.0</w:t>
            </w:r>
          </w:p>
        </w:tc>
      </w:tr>
      <w:tr w14:paraId="49A6D2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5841020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9</w:t>
            </w:r>
          </w:p>
        </w:tc>
        <w:tc>
          <w:tcPr>
            <w:tcW w:w="796" w:type="pct"/>
            <w:shd w:val="clear" w:color="auto" w:fill="auto"/>
            <w:noWrap w:val="0"/>
            <w:vAlign w:val="center"/>
          </w:tcPr>
          <w:p w14:paraId="3050DF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总砷</w:t>
            </w:r>
          </w:p>
        </w:tc>
        <w:tc>
          <w:tcPr>
            <w:tcW w:w="937" w:type="pct"/>
            <w:noWrap w:val="0"/>
            <w:vAlign w:val="center"/>
          </w:tcPr>
          <w:p w14:paraId="0059C035">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3293A4BA">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0.5</w:t>
            </w:r>
          </w:p>
        </w:tc>
        <w:tc>
          <w:tcPr>
            <w:tcW w:w="1514" w:type="pct"/>
            <w:noWrap w:val="0"/>
            <w:vAlign w:val="center"/>
          </w:tcPr>
          <w:p w14:paraId="0A0024D5">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r>
      <w:tr w14:paraId="0B132A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7DCDE47C">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10</w:t>
            </w:r>
          </w:p>
        </w:tc>
        <w:tc>
          <w:tcPr>
            <w:tcW w:w="796" w:type="pct"/>
            <w:shd w:val="clear" w:color="auto" w:fill="auto"/>
            <w:noWrap w:val="0"/>
            <w:vAlign w:val="center"/>
          </w:tcPr>
          <w:p w14:paraId="7684F9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总镉</w:t>
            </w:r>
          </w:p>
        </w:tc>
        <w:tc>
          <w:tcPr>
            <w:tcW w:w="937" w:type="pct"/>
            <w:noWrap w:val="0"/>
            <w:vAlign w:val="center"/>
          </w:tcPr>
          <w:p w14:paraId="18A8245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4B6CB420">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0.1</w:t>
            </w:r>
          </w:p>
        </w:tc>
        <w:tc>
          <w:tcPr>
            <w:tcW w:w="1514" w:type="pct"/>
            <w:noWrap w:val="0"/>
            <w:vAlign w:val="center"/>
          </w:tcPr>
          <w:p w14:paraId="3854AD9B">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r>
      <w:tr w14:paraId="6A1508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7B0DCAC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11</w:t>
            </w:r>
          </w:p>
        </w:tc>
        <w:tc>
          <w:tcPr>
            <w:tcW w:w="796" w:type="pct"/>
            <w:shd w:val="clear" w:color="auto" w:fill="auto"/>
            <w:noWrap w:val="0"/>
            <w:vAlign w:val="center"/>
          </w:tcPr>
          <w:p w14:paraId="1DCC20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总铅</w:t>
            </w:r>
          </w:p>
        </w:tc>
        <w:tc>
          <w:tcPr>
            <w:tcW w:w="937" w:type="pct"/>
            <w:noWrap w:val="0"/>
            <w:vAlign w:val="center"/>
          </w:tcPr>
          <w:p w14:paraId="6D26DFC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3D8A4C4D">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1.0</w:t>
            </w:r>
          </w:p>
        </w:tc>
        <w:tc>
          <w:tcPr>
            <w:tcW w:w="1514" w:type="pct"/>
            <w:noWrap w:val="0"/>
            <w:vAlign w:val="center"/>
          </w:tcPr>
          <w:p w14:paraId="2C99CD96">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r>
      <w:tr w14:paraId="5E029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54FFA9D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12</w:t>
            </w:r>
          </w:p>
        </w:tc>
        <w:tc>
          <w:tcPr>
            <w:tcW w:w="796" w:type="pct"/>
            <w:shd w:val="clear" w:color="auto" w:fill="auto"/>
            <w:noWrap w:val="0"/>
            <w:vAlign w:val="center"/>
          </w:tcPr>
          <w:p w14:paraId="66E227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总汞</w:t>
            </w:r>
          </w:p>
        </w:tc>
        <w:tc>
          <w:tcPr>
            <w:tcW w:w="937" w:type="pct"/>
            <w:noWrap w:val="0"/>
            <w:vAlign w:val="center"/>
          </w:tcPr>
          <w:p w14:paraId="6DC9B3AB">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5FDC36E7">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0.05</w:t>
            </w:r>
          </w:p>
        </w:tc>
        <w:tc>
          <w:tcPr>
            <w:tcW w:w="1514" w:type="pct"/>
            <w:noWrap w:val="0"/>
            <w:vAlign w:val="center"/>
          </w:tcPr>
          <w:p w14:paraId="10135938">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r>
      <w:tr w14:paraId="650E98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noWrap w:val="0"/>
            <w:vAlign w:val="center"/>
          </w:tcPr>
          <w:p w14:paraId="367769B4">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13</w:t>
            </w:r>
          </w:p>
        </w:tc>
        <w:tc>
          <w:tcPr>
            <w:tcW w:w="796" w:type="pct"/>
            <w:shd w:val="clear" w:color="auto" w:fill="auto"/>
            <w:noWrap w:val="0"/>
            <w:vAlign w:val="center"/>
          </w:tcPr>
          <w:p w14:paraId="338D7D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六价铬</w:t>
            </w:r>
          </w:p>
        </w:tc>
        <w:tc>
          <w:tcPr>
            <w:tcW w:w="937" w:type="pct"/>
            <w:noWrap w:val="0"/>
            <w:vAlign w:val="center"/>
          </w:tcPr>
          <w:p w14:paraId="2CBD122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281" w:type="pct"/>
            <w:noWrap w:val="0"/>
            <w:vAlign w:val="center"/>
          </w:tcPr>
          <w:p w14:paraId="0BCCB215">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0.5</w:t>
            </w:r>
          </w:p>
        </w:tc>
        <w:tc>
          <w:tcPr>
            <w:tcW w:w="1514" w:type="pct"/>
            <w:noWrap w:val="0"/>
            <w:vAlign w:val="center"/>
          </w:tcPr>
          <w:p w14:paraId="52A2EC14">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r>
      <w:tr w14:paraId="42779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tcPr>
          <w:p w14:paraId="49EDFC66">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14</w:t>
            </w:r>
          </w:p>
        </w:tc>
        <w:tc>
          <w:tcPr>
            <w:tcW w:w="0" w:type="auto"/>
            <w:shd w:val="clear" w:color="auto" w:fill="auto"/>
            <w:vAlign w:val="center"/>
          </w:tcPr>
          <w:p w14:paraId="7867F3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氰化物</w:t>
            </w:r>
          </w:p>
        </w:tc>
        <w:tc>
          <w:tcPr>
            <w:tcW w:w="0" w:type="auto"/>
          </w:tcPr>
          <w:p w14:paraId="1C561AC9">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0" w:type="auto"/>
          </w:tcPr>
          <w:p w14:paraId="7E167223">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c>
          <w:tcPr>
            <w:tcW w:w="0" w:type="auto"/>
          </w:tcPr>
          <w:p w14:paraId="16C83314">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0.5</w:t>
            </w:r>
          </w:p>
        </w:tc>
      </w:tr>
    </w:tbl>
    <w:p w14:paraId="080268EE">
      <w:pPr>
        <w:bidi w:val="0"/>
        <w:spacing w:line="24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表2.4-9  《农田灌溉水质标准》（GB5084-2021）</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288"/>
        <w:gridCol w:w="1095"/>
        <w:gridCol w:w="2001"/>
        <w:gridCol w:w="2002"/>
        <w:gridCol w:w="2004"/>
      </w:tblGrid>
      <w:tr w14:paraId="6EA1E6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80" w:type="pct"/>
            <w:vMerge w:val="restart"/>
            <w:noWrap w:val="0"/>
            <w:vAlign w:val="center"/>
          </w:tcPr>
          <w:p w14:paraId="64AC08A7">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序号</w:t>
            </w:r>
          </w:p>
        </w:tc>
        <w:tc>
          <w:tcPr>
            <w:tcW w:w="694" w:type="pct"/>
            <w:vMerge w:val="restart"/>
            <w:noWrap w:val="0"/>
            <w:vAlign w:val="center"/>
          </w:tcPr>
          <w:p w14:paraId="56F04723">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项目</w:t>
            </w:r>
          </w:p>
        </w:tc>
        <w:tc>
          <w:tcPr>
            <w:tcW w:w="590" w:type="pct"/>
            <w:vMerge w:val="restart"/>
            <w:noWrap w:val="0"/>
            <w:vAlign w:val="center"/>
          </w:tcPr>
          <w:p w14:paraId="48994A88">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单位</w:t>
            </w:r>
          </w:p>
        </w:tc>
        <w:tc>
          <w:tcPr>
            <w:tcW w:w="3235" w:type="pct"/>
            <w:gridSpan w:val="3"/>
            <w:noWrap w:val="0"/>
            <w:vAlign w:val="center"/>
          </w:tcPr>
          <w:p w14:paraId="6C76E86A">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标准限值</w:t>
            </w:r>
          </w:p>
        </w:tc>
      </w:tr>
      <w:tr w14:paraId="110DA9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80" w:type="pct"/>
            <w:vMerge w:val="continue"/>
            <w:noWrap w:val="0"/>
            <w:vAlign w:val="center"/>
          </w:tcPr>
          <w:p w14:paraId="1F1942E5">
            <w:pPr>
              <w:bidi w:val="0"/>
              <w:spacing w:line="240" w:lineRule="auto"/>
              <w:ind w:left="0" w:leftChars="0" w:firstLine="0" w:firstLineChars="0"/>
              <w:jc w:val="center"/>
              <w:rPr>
                <w:rFonts w:hint="eastAsia"/>
                <w:b/>
                <w:bCs/>
                <w:sz w:val="21"/>
                <w:szCs w:val="21"/>
                <w:u w:val="none"/>
                <w:lang w:val="en-US" w:eastAsia="zh-CN"/>
              </w:rPr>
            </w:pPr>
          </w:p>
        </w:tc>
        <w:tc>
          <w:tcPr>
            <w:tcW w:w="694" w:type="pct"/>
            <w:vMerge w:val="continue"/>
            <w:noWrap w:val="0"/>
            <w:vAlign w:val="center"/>
          </w:tcPr>
          <w:p w14:paraId="7F0434A7">
            <w:pPr>
              <w:bidi w:val="0"/>
              <w:spacing w:line="240" w:lineRule="auto"/>
              <w:ind w:left="0" w:leftChars="0" w:firstLine="0" w:firstLineChars="0"/>
              <w:jc w:val="center"/>
              <w:rPr>
                <w:rFonts w:hint="eastAsia"/>
                <w:b/>
                <w:bCs/>
                <w:sz w:val="21"/>
                <w:szCs w:val="21"/>
                <w:u w:val="none"/>
                <w:lang w:val="en-US" w:eastAsia="zh-CN"/>
              </w:rPr>
            </w:pPr>
          </w:p>
        </w:tc>
        <w:tc>
          <w:tcPr>
            <w:tcW w:w="590" w:type="pct"/>
            <w:vMerge w:val="continue"/>
            <w:noWrap w:val="0"/>
            <w:vAlign w:val="center"/>
          </w:tcPr>
          <w:p w14:paraId="19A9F46B">
            <w:pPr>
              <w:bidi w:val="0"/>
              <w:spacing w:line="240" w:lineRule="auto"/>
              <w:ind w:left="0" w:leftChars="0" w:firstLine="0" w:firstLineChars="0"/>
              <w:jc w:val="center"/>
              <w:rPr>
                <w:rFonts w:hint="eastAsia"/>
                <w:b/>
                <w:bCs/>
                <w:sz w:val="21"/>
                <w:szCs w:val="21"/>
                <w:u w:val="none"/>
                <w:lang w:val="en-US" w:eastAsia="zh-CN"/>
              </w:rPr>
            </w:pPr>
          </w:p>
        </w:tc>
        <w:tc>
          <w:tcPr>
            <w:tcW w:w="1078" w:type="pct"/>
            <w:noWrap w:val="0"/>
            <w:vAlign w:val="center"/>
          </w:tcPr>
          <w:p w14:paraId="7F7084D5">
            <w:pPr>
              <w:bidi w:val="0"/>
              <w:spacing w:line="240" w:lineRule="auto"/>
              <w:ind w:left="0" w:leftChars="0" w:firstLine="0" w:firstLineChars="0"/>
              <w:jc w:val="center"/>
              <w:rPr>
                <w:rFonts w:hint="default"/>
                <w:b/>
                <w:bCs/>
                <w:sz w:val="21"/>
                <w:szCs w:val="21"/>
                <w:u w:val="none"/>
                <w:lang w:val="en-US" w:eastAsia="zh-CN"/>
              </w:rPr>
            </w:pPr>
            <w:r>
              <w:rPr>
                <w:rFonts w:hint="eastAsia"/>
                <w:b/>
                <w:bCs/>
                <w:sz w:val="21"/>
                <w:szCs w:val="21"/>
                <w:u w:val="none"/>
                <w:lang w:val="en-US" w:eastAsia="zh-CN"/>
              </w:rPr>
              <w:t>水田作物</w:t>
            </w:r>
          </w:p>
        </w:tc>
        <w:tc>
          <w:tcPr>
            <w:tcW w:w="1078" w:type="pct"/>
            <w:noWrap w:val="0"/>
            <w:vAlign w:val="center"/>
          </w:tcPr>
          <w:p w14:paraId="19C41ED6">
            <w:pPr>
              <w:bidi w:val="0"/>
              <w:spacing w:line="240" w:lineRule="auto"/>
              <w:ind w:left="0" w:leftChars="0" w:firstLine="0" w:firstLineChars="0"/>
              <w:jc w:val="center"/>
              <w:rPr>
                <w:rFonts w:hint="default"/>
                <w:b/>
                <w:bCs/>
                <w:sz w:val="21"/>
                <w:szCs w:val="21"/>
                <w:u w:val="none"/>
                <w:lang w:val="en-US" w:eastAsia="zh-CN"/>
              </w:rPr>
            </w:pPr>
            <w:r>
              <w:rPr>
                <w:rFonts w:hint="eastAsia"/>
                <w:b/>
                <w:bCs/>
                <w:sz w:val="21"/>
                <w:szCs w:val="21"/>
                <w:u w:val="none"/>
                <w:lang w:val="en-US" w:eastAsia="zh-CN"/>
              </w:rPr>
              <w:t>旱地作物</w:t>
            </w:r>
          </w:p>
        </w:tc>
        <w:tc>
          <w:tcPr>
            <w:tcW w:w="1079" w:type="pct"/>
            <w:noWrap w:val="0"/>
            <w:vAlign w:val="center"/>
          </w:tcPr>
          <w:p w14:paraId="265BBF59">
            <w:pPr>
              <w:bidi w:val="0"/>
              <w:spacing w:line="240" w:lineRule="auto"/>
              <w:ind w:left="0" w:leftChars="0" w:firstLine="0" w:firstLineChars="0"/>
              <w:jc w:val="center"/>
              <w:rPr>
                <w:rFonts w:hint="default"/>
                <w:b/>
                <w:bCs/>
                <w:sz w:val="21"/>
                <w:szCs w:val="21"/>
                <w:u w:val="none"/>
                <w:lang w:val="en-US" w:eastAsia="zh-CN"/>
              </w:rPr>
            </w:pPr>
            <w:r>
              <w:rPr>
                <w:rFonts w:hint="eastAsia"/>
                <w:b/>
                <w:bCs/>
                <w:sz w:val="21"/>
                <w:szCs w:val="21"/>
                <w:u w:val="none"/>
                <w:lang w:val="en-US" w:eastAsia="zh-CN"/>
              </w:rPr>
              <w:t>蔬菜</w:t>
            </w:r>
          </w:p>
        </w:tc>
      </w:tr>
      <w:tr w14:paraId="1E3E69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41A2056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w:t>
            </w:r>
          </w:p>
        </w:tc>
        <w:tc>
          <w:tcPr>
            <w:tcW w:w="694" w:type="pct"/>
            <w:shd w:val="clear" w:color="auto" w:fill="auto"/>
            <w:noWrap w:val="0"/>
            <w:vAlign w:val="center"/>
          </w:tcPr>
          <w:p w14:paraId="58C836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总铬</w:t>
            </w:r>
          </w:p>
        </w:tc>
        <w:tc>
          <w:tcPr>
            <w:tcW w:w="590" w:type="pct"/>
            <w:noWrap w:val="0"/>
            <w:vAlign w:val="center"/>
          </w:tcPr>
          <w:p w14:paraId="0021D464">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无量纲</w:t>
            </w:r>
          </w:p>
        </w:tc>
        <w:tc>
          <w:tcPr>
            <w:tcW w:w="1078" w:type="pct"/>
            <w:noWrap w:val="0"/>
            <w:vAlign w:val="center"/>
          </w:tcPr>
          <w:p w14:paraId="4C17988F">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c>
          <w:tcPr>
            <w:tcW w:w="1078" w:type="pct"/>
            <w:noWrap w:val="0"/>
            <w:vAlign w:val="center"/>
          </w:tcPr>
          <w:p w14:paraId="12EA1D5A">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c>
          <w:tcPr>
            <w:tcW w:w="1079" w:type="pct"/>
            <w:noWrap w:val="0"/>
            <w:vAlign w:val="center"/>
          </w:tcPr>
          <w:p w14:paraId="21E72260">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w:t>
            </w:r>
          </w:p>
        </w:tc>
      </w:tr>
      <w:tr w14:paraId="4B7AA2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4A6CCFE8">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2</w:t>
            </w:r>
          </w:p>
        </w:tc>
        <w:tc>
          <w:tcPr>
            <w:tcW w:w="694" w:type="pct"/>
            <w:shd w:val="clear" w:color="auto" w:fill="auto"/>
            <w:noWrap w:val="0"/>
            <w:vAlign w:val="center"/>
          </w:tcPr>
          <w:p w14:paraId="10FFFD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总镍</w:t>
            </w:r>
          </w:p>
        </w:tc>
        <w:tc>
          <w:tcPr>
            <w:tcW w:w="590" w:type="pct"/>
            <w:noWrap w:val="0"/>
            <w:vAlign w:val="center"/>
          </w:tcPr>
          <w:p w14:paraId="6CBB0EB5">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57C37873">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0.2</w:t>
            </w:r>
          </w:p>
        </w:tc>
      </w:tr>
      <w:tr w14:paraId="452E2C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4E78396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3</w:t>
            </w:r>
          </w:p>
        </w:tc>
        <w:tc>
          <w:tcPr>
            <w:tcW w:w="694" w:type="pct"/>
            <w:shd w:val="clear" w:color="auto" w:fill="auto"/>
            <w:noWrap w:val="0"/>
            <w:vAlign w:val="center"/>
          </w:tcPr>
          <w:p w14:paraId="187CC2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总铜</w:t>
            </w:r>
          </w:p>
        </w:tc>
        <w:tc>
          <w:tcPr>
            <w:tcW w:w="590" w:type="pct"/>
            <w:noWrap w:val="0"/>
            <w:vAlign w:val="center"/>
          </w:tcPr>
          <w:p w14:paraId="6AA607CA">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078" w:type="pct"/>
            <w:noWrap w:val="0"/>
            <w:vAlign w:val="center"/>
          </w:tcPr>
          <w:p w14:paraId="22379C9C">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0.5</w:t>
            </w:r>
          </w:p>
        </w:tc>
        <w:tc>
          <w:tcPr>
            <w:tcW w:w="2157" w:type="pct"/>
            <w:gridSpan w:val="2"/>
            <w:noWrap w:val="0"/>
            <w:vAlign w:val="center"/>
          </w:tcPr>
          <w:p w14:paraId="33D481E2">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1.0</w:t>
            </w:r>
          </w:p>
        </w:tc>
      </w:tr>
      <w:tr w14:paraId="5A524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80" w:type="pct"/>
            <w:noWrap w:val="0"/>
            <w:vAlign w:val="center"/>
          </w:tcPr>
          <w:p w14:paraId="6066F6FA">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4</w:t>
            </w:r>
          </w:p>
        </w:tc>
        <w:tc>
          <w:tcPr>
            <w:tcW w:w="694" w:type="pct"/>
            <w:shd w:val="clear" w:color="auto" w:fill="auto"/>
            <w:noWrap w:val="0"/>
            <w:vAlign w:val="center"/>
          </w:tcPr>
          <w:p w14:paraId="6D95B4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总锌</w:t>
            </w:r>
          </w:p>
        </w:tc>
        <w:tc>
          <w:tcPr>
            <w:tcW w:w="590" w:type="pct"/>
            <w:noWrap w:val="0"/>
            <w:vAlign w:val="center"/>
          </w:tcPr>
          <w:p w14:paraId="21C6B8D0">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0B7C0A56">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2.0</w:t>
            </w:r>
          </w:p>
        </w:tc>
      </w:tr>
      <w:tr w14:paraId="7D0801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2079052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5</w:t>
            </w:r>
          </w:p>
        </w:tc>
        <w:tc>
          <w:tcPr>
            <w:tcW w:w="694" w:type="pct"/>
            <w:shd w:val="clear" w:color="auto" w:fill="auto"/>
            <w:noWrap w:val="0"/>
            <w:vAlign w:val="center"/>
          </w:tcPr>
          <w:p w14:paraId="7D6A21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总砷</w:t>
            </w:r>
          </w:p>
        </w:tc>
        <w:tc>
          <w:tcPr>
            <w:tcW w:w="590" w:type="pct"/>
            <w:noWrap w:val="0"/>
            <w:vAlign w:val="center"/>
          </w:tcPr>
          <w:p w14:paraId="780F6C08">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1078" w:type="pct"/>
            <w:noWrap w:val="0"/>
            <w:vAlign w:val="center"/>
          </w:tcPr>
          <w:p w14:paraId="6524FC4C">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0.05</w:t>
            </w:r>
          </w:p>
        </w:tc>
        <w:tc>
          <w:tcPr>
            <w:tcW w:w="1078" w:type="pct"/>
            <w:noWrap w:val="0"/>
            <w:vAlign w:val="center"/>
          </w:tcPr>
          <w:p w14:paraId="56638C42">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0.1</w:t>
            </w:r>
          </w:p>
        </w:tc>
        <w:tc>
          <w:tcPr>
            <w:tcW w:w="1079" w:type="pct"/>
            <w:noWrap w:val="0"/>
            <w:vAlign w:val="center"/>
          </w:tcPr>
          <w:p w14:paraId="19EEE634">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0.05</w:t>
            </w:r>
          </w:p>
        </w:tc>
      </w:tr>
      <w:tr w14:paraId="72D0C3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7CD782AF">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6</w:t>
            </w:r>
          </w:p>
        </w:tc>
        <w:tc>
          <w:tcPr>
            <w:tcW w:w="694" w:type="pct"/>
            <w:shd w:val="clear" w:color="auto" w:fill="auto"/>
            <w:noWrap w:val="0"/>
            <w:vAlign w:val="center"/>
          </w:tcPr>
          <w:p w14:paraId="1D7C76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总镉</w:t>
            </w:r>
          </w:p>
        </w:tc>
        <w:tc>
          <w:tcPr>
            <w:tcW w:w="590" w:type="pct"/>
            <w:noWrap w:val="0"/>
            <w:vAlign w:val="center"/>
          </w:tcPr>
          <w:p w14:paraId="667B58CD">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607AF92D">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0.01</w:t>
            </w:r>
          </w:p>
        </w:tc>
      </w:tr>
      <w:tr w14:paraId="5219D0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6E4B966A">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7</w:t>
            </w:r>
          </w:p>
        </w:tc>
        <w:tc>
          <w:tcPr>
            <w:tcW w:w="694" w:type="pct"/>
            <w:shd w:val="clear" w:color="auto" w:fill="auto"/>
            <w:noWrap w:val="0"/>
            <w:vAlign w:val="center"/>
          </w:tcPr>
          <w:p w14:paraId="7DAD8D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总铅</w:t>
            </w:r>
          </w:p>
        </w:tc>
        <w:tc>
          <w:tcPr>
            <w:tcW w:w="590" w:type="pct"/>
            <w:noWrap w:val="0"/>
            <w:vAlign w:val="center"/>
          </w:tcPr>
          <w:p w14:paraId="23D1E2F9">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004F4218">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0.2</w:t>
            </w:r>
          </w:p>
        </w:tc>
      </w:tr>
      <w:tr w14:paraId="6DE388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7689A16A">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8</w:t>
            </w:r>
          </w:p>
        </w:tc>
        <w:tc>
          <w:tcPr>
            <w:tcW w:w="694" w:type="pct"/>
            <w:shd w:val="clear" w:color="auto" w:fill="auto"/>
            <w:noWrap w:val="0"/>
            <w:vAlign w:val="center"/>
          </w:tcPr>
          <w:p w14:paraId="4FE243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总汞</w:t>
            </w:r>
          </w:p>
        </w:tc>
        <w:tc>
          <w:tcPr>
            <w:tcW w:w="590" w:type="pct"/>
            <w:noWrap w:val="0"/>
            <w:vAlign w:val="center"/>
          </w:tcPr>
          <w:p w14:paraId="09A0B46E">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31322A80">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0.001</w:t>
            </w:r>
          </w:p>
        </w:tc>
      </w:tr>
      <w:tr w14:paraId="5D849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12348040">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9</w:t>
            </w:r>
          </w:p>
        </w:tc>
        <w:tc>
          <w:tcPr>
            <w:tcW w:w="694" w:type="pct"/>
            <w:shd w:val="clear" w:color="auto" w:fill="auto"/>
            <w:noWrap w:val="0"/>
            <w:vAlign w:val="center"/>
          </w:tcPr>
          <w:p w14:paraId="4EA3EB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六价铬</w:t>
            </w:r>
          </w:p>
        </w:tc>
        <w:tc>
          <w:tcPr>
            <w:tcW w:w="590" w:type="pct"/>
            <w:noWrap w:val="0"/>
            <w:vAlign w:val="center"/>
          </w:tcPr>
          <w:p w14:paraId="7EDA0E3F">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4BA974FA">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0.1</w:t>
            </w:r>
          </w:p>
        </w:tc>
      </w:tr>
      <w:tr w14:paraId="3CE7C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0" w:type="pct"/>
            <w:noWrap w:val="0"/>
            <w:vAlign w:val="center"/>
          </w:tcPr>
          <w:p w14:paraId="51F29A32">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10</w:t>
            </w:r>
          </w:p>
        </w:tc>
        <w:tc>
          <w:tcPr>
            <w:tcW w:w="694" w:type="pct"/>
            <w:shd w:val="clear" w:color="auto" w:fill="auto"/>
            <w:noWrap w:val="0"/>
            <w:vAlign w:val="center"/>
          </w:tcPr>
          <w:p w14:paraId="5EBD39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氰化物</w:t>
            </w:r>
          </w:p>
        </w:tc>
        <w:tc>
          <w:tcPr>
            <w:tcW w:w="590" w:type="pct"/>
            <w:noWrap w:val="0"/>
            <w:vAlign w:val="center"/>
          </w:tcPr>
          <w:p w14:paraId="32DB08A7">
            <w:pPr>
              <w:bidi w:val="0"/>
              <w:spacing w:line="240" w:lineRule="auto"/>
              <w:ind w:left="0" w:leftChars="0" w:firstLine="0" w:firstLineChars="0"/>
              <w:jc w:val="center"/>
              <w:rPr>
                <w:rFonts w:hint="eastAsia"/>
                <w:sz w:val="21"/>
                <w:szCs w:val="21"/>
                <w:u w:val="none"/>
                <w:lang w:val="en-US" w:eastAsia="zh-CN"/>
              </w:rPr>
            </w:pPr>
            <w:r>
              <w:rPr>
                <w:rFonts w:hint="eastAsia"/>
                <w:sz w:val="21"/>
                <w:szCs w:val="21"/>
                <w:u w:val="none"/>
                <w:lang w:val="en-US" w:eastAsia="zh-CN"/>
              </w:rPr>
              <w:t>mg/L</w:t>
            </w:r>
          </w:p>
        </w:tc>
        <w:tc>
          <w:tcPr>
            <w:tcW w:w="3235" w:type="pct"/>
            <w:gridSpan w:val="3"/>
            <w:noWrap w:val="0"/>
            <w:vAlign w:val="center"/>
          </w:tcPr>
          <w:p w14:paraId="4B438F90">
            <w:pPr>
              <w:bidi w:val="0"/>
              <w:spacing w:line="240" w:lineRule="auto"/>
              <w:ind w:left="0" w:leftChars="0" w:firstLine="0" w:firstLineChars="0"/>
              <w:jc w:val="center"/>
              <w:rPr>
                <w:rFonts w:hint="default"/>
                <w:sz w:val="21"/>
                <w:szCs w:val="21"/>
                <w:u w:val="none"/>
                <w:lang w:val="en-US" w:eastAsia="zh-CN"/>
              </w:rPr>
            </w:pPr>
            <w:r>
              <w:rPr>
                <w:rFonts w:hint="eastAsia"/>
                <w:sz w:val="21"/>
                <w:szCs w:val="21"/>
                <w:u w:val="none"/>
                <w:lang w:val="en-US" w:eastAsia="zh-CN"/>
              </w:rPr>
              <w:t>0.5</w:t>
            </w:r>
          </w:p>
        </w:tc>
      </w:tr>
    </w:tbl>
    <w:p w14:paraId="7FBFAA03">
      <w:pPr>
        <w:numPr>
          <w:ilvl w:val="0"/>
          <w:numId w:val="9"/>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噪声</w:t>
      </w:r>
    </w:p>
    <w:p w14:paraId="714D2DCA">
      <w:pPr>
        <w:topLinePunct w:val="0"/>
        <w:ind w:firstLine="480" w:firstLineChars="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施工期间施工厂界噪声执行</w:t>
      </w:r>
      <w:r>
        <w:rPr>
          <w:rFonts w:hint="eastAsia" w:cs="Times New Roman"/>
          <w:color w:val="auto"/>
          <w:sz w:val="24"/>
          <w:szCs w:val="24"/>
          <w:highlight w:val="none"/>
          <w:u w:val="none" w:color="auto"/>
          <w:lang w:eastAsia="zh-CN"/>
        </w:rPr>
        <w:t>《建筑施工噪声排放标准》</w:t>
      </w:r>
      <w:r>
        <w:rPr>
          <w:rFonts w:hint="default" w:ascii="Times New Roman" w:hAnsi="Times New Roman" w:cs="Times New Roman"/>
          <w:color w:val="auto"/>
          <w:sz w:val="24"/>
          <w:szCs w:val="24"/>
          <w:highlight w:val="none"/>
          <w:u w:val="none" w:color="auto"/>
        </w:rPr>
        <w:t>（GB12523-20</w:t>
      </w:r>
      <w:r>
        <w:rPr>
          <w:rFonts w:hint="eastAsia" w:cs="Times New Roman"/>
          <w:color w:val="auto"/>
          <w:sz w:val="24"/>
          <w:szCs w:val="24"/>
          <w:highlight w:val="none"/>
          <w:u w:val="none" w:color="auto"/>
          <w:lang w:val="en-US" w:eastAsia="zh-CN"/>
        </w:rPr>
        <w:t>25</w:t>
      </w:r>
      <w:r>
        <w:rPr>
          <w:rFonts w:hint="default" w:ascii="Times New Roman" w:hAnsi="Times New Roman" w:cs="Times New Roman"/>
          <w:color w:val="auto"/>
          <w:sz w:val="24"/>
          <w:szCs w:val="24"/>
          <w:highlight w:val="none"/>
          <w:u w:val="none" w:color="auto"/>
        </w:rPr>
        <w:t>），相关标准值见表2.4-</w:t>
      </w:r>
      <w:r>
        <w:rPr>
          <w:rFonts w:hint="eastAsia" w:ascii="Times New Roman" w:hAnsi="Times New Roman" w:cs="Times New Roman"/>
          <w:color w:val="auto"/>
          <w:sz w:val="24"/>
          <w:szCs w:val="24"/>
          <w:highlight w:val="none"/>
          <w:u w:val="none" w:color="auto"/>
          <w:lang w:val="en-US" w:eastAsia="zh-CN"/>
        </w:rPr>
        <w:t>1</w:t>
      </w:r>
      <w:r>
        <w:rPr>
          <w:rFonts w:hint="eastAsia" w:cs="Times New Roman"/>
          <w:color w:val="auto"/>
          <w:sz w:val="24"/>
          <w:szCs w:val="24"/>
          <w:highlight w:val="none"/>
          <w:u w:val="none" w:color="auto"/>
          <w:lang w:val="en-US" w:eastAsia="zh-CN"/>
        </w:rPr>
        <w:t>0</w:t>
      </w:r>
      <w:r>
        <w:rPr>
          <w:rFonts w:hint="default" w:ascii="Times New Roman" w:hAnsi="Times New Roman" w:cs="Times New Roman"/>
          <w:color w:val="auto"/>
          <w:sz w:val="24"/>
          <w:szCs w:val="24"/>
          <w:highlight w:val="none"/>
          <w:u w:val="none" w:color="auto"/>
        </w:rPr>
        <w:t>。</w:t>
      </w:r>
    </w:p>
    <w:p w14:paraId="46156097">
      <w:pPr>
        <w:topLinePunct w:val="0"/>
        <w:spacing w:line="240" w:lineRule="atLeast"/>
        <w:ind w:firstLine="422"/>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表2.4-</w:t>
      </w:r>
      <w:r>
        <w:rPr>
          <w:rFonts w:hint="eastAsia" w:ascii="Times New Roman" w:hAnsi="Times New Roman" w:cs="Times New Roman"/>
          <w:b/>
          <w:bCs/>
          <w:color w:val="auto"/>
          <w:sz w:val="21"/>
          <w:szCs w:val="21"/>
          <w:highlight w:val="none"/>
          <w:u w:val="none" w:color="auto"/>
          <w:lang w:val="en-US" w:eastAsia="zh-CN"/>
        </w:rPr>
        <w:t>1</w:t>
      </w:r>
      <w:r>
        <w:rPr>
          <w:rFonts w:hint="eastAsia" w:cs="Times New Roman"/>
          <w:b/>
          <w:bCs/>
          <w:color w:val="auto"/>
          <w:sz w:val="21"/>
          <w:szCs w:val="21"/>
          <w:highlight w:val="none"/>
          <w:u w:val="none" w:color="auto"/>
          <w:lang w:val="en-US" w:eastAsia="zh-CN"/>
        </w:rPr>
        <w:t>0</w:t>
      </w:r>
      <w:r>
        <w:rPr>
          <w:rFonts w:hint="eastAsia" w:ascii="Times New Roman" w:hAnsi="Times New Roman" w:cs="Times New Roman"/>
          <w:b/>
          <w:bCs/>
          <w:color w:val="auto"/>
          <w:sz w:val="21"/>
          <w:szCs w:val="21"/>
          <w:highlight w:val="none"/>
          <w:u w:val="none" w:color="auto"/>
          <w:lang w:val="en-US" w:eastAsia="zh-CN"/>
        </w:rPr>
        <w:t xml:space="preserve"> </w:t>
      </w:r>
      <w:r>
        <w:rPr>
          <w:rFonts w:hint="default" w:ascii="Times New Roman" w:hAnsi="Times New Roman" w:cs="Times New Roman"/>
          <w:b/>
          <w:bCs/>
          <w:color w:val="auto"/>
          <w:sz w:val="21"/>
          <w:szCs w:val="21"/>
          <w:highlight w:val="none"/>
          <w:u w:val="none" w:color="auto"/>
        </w:rPr>
        <w:t xml:space="preserve"> 噪声排放执行标准</w:t>
      </w:r>
    </w:p>
    <w:tbl>
      <w:tblPr>
        <w:tblStyle w:val="4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13" w:type="dxa"/>
          <w:bottom w:w="0" w:type="dxa"/>
          <w:right w:w="113" w:type="dxa"/>
        </w:tblCellMar>
      </w:tblPr>
      <w:tblGrid>
        <w:gridCol w:w="903"/>
        <w:gridCol w:w="5182"/>
        <w:gridCol w:w="1606"/>
        <w:gridCol w:w="1607"/>
      </w:tblGrid>
      <w:tr w14:paraId="09E5EA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903" w:type="dxa"/>
            <w:vMerge w:val="restart"/>
            <w:noWrap w:val="0"/>
            <w:vAlign w:val="center"/>
          </w:tcPr>
          <w:p w14:paraId="191948C3">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时段</w:t>
            </w:r>
          </w:p>
        </w:tc>
        <w:tc>
          <w:tcPr>
            <w:tcW w:w="5182" w:type="dxa"/>
            <w:vMerge w:val="restart"/>
            <w:noWrap w:val="0"/>
            <w:vAlign w:val="center"/>
          </w:tcPr>
          <w:p w14:paraId="0D916CF4">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执行标准</w:t>
            </w:r>
          </w:p>
        </w:tc>
        <w:tc>
          <w:tcPr>
            <w:tcW w:w="3213" w:type="dxa"/>
            <w:gridSpan w:val="2"/>
            <w:noWrap w:val="0"/>
            <w:vAlign w:val="center"/>
          </w:tcPr>
          <w:p w14:paraId="1CA56476">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噪声限值（dB（A））</w:t>
            </w:r>
          </w:p>
        </w:tc>
      </w:tr>
      <w:tr w14:paraId="5127DB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37" w:hRule="atLeast"/>
          <w:jc w:val="center"/>
        </w:trPr>
        <w:tc>
          <w:tcPr>
            <w:tcW w:w="903" w:type="dxa"/>
            <w:vMerge w:val="continue"/>
            <w:noWrap w:val="0"/>
            <w:vAlign w:val="center"/>
          </w:tcPr>
          <w:p w14:paraId="6AFD338D">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p>
        </w:tc>
        <w:tc>
          <w:tcPr>
            <w:tcW w:w="5182" w:type="dxa"/>
            <w:vMerge w:val="continue"/>
            <w:noWrap w:val="0"/>
            <w:vAlign w:val="center"/>
          </w:tcPr>
          <w:p w14:paraId="67BD7D46">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p>
        </w:tc>
        <w:tc>
          <w:tcPr>
            <w:tcW w:w="1606" w:type="dxa"/>
            <w:noWrap w:val="0"/>
            <w:vAlign w:val="center"/>
          </w:tcPr>
          <w:p w14:paraId="25F2E4D5">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昼间</w:t>
            </w:r>
          </w:p>
        </w:tc>
        <w:tc>
          <w:tcPr>
            <w:tcW w:w="1607" w:type="dxa"/>
            <w:noWrap w:val="0"/>
            <w:vAlign w:val="center"/>
          </w:tcPr>
          <w:p w14:paraId="2919904C">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夜间</w:t>
            </w:r>
          </w:p>
        </w:tc>
      </w:tr>
      <w:tr w14:paraId="4AD697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903" w:type="dxa"/>
            <w:noWrap w:val="0"/>
            <w:vAlign w:val="center"/>
          </w:tcPr>
          <w:p w14:paraId="72C6C29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施工期</w:t>
            </w:r>
          </w:p>
        </w:tc>
        <w:tc>
          <w:tcPr>
            <w:tcW w:w="5182" w:type="dxa"/>
            <w:noWrap w:val="0"/>
            <w:vAlign w:val="center"/>
          </w:tcPr>
          <w:p w14:paraId="25C7B4C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eastAsia="zh-CN"/>
              </w:rPr>
              <w:t>《建筑施工噪声排放标准》</w:t>
            </w:r>
            <w:r>
              <w:rPr>
                <w:rFonts w:hint="default" w:ascii="Times New Roman" w:hAnsi="Times New Roman" w:cs="Times New Roman"/>
                <w:color w:val="auto"/>
                <w:sz w:val="21"/>
                <w:szCs w:val="21"/>
                <w:highlight w:val="none"/>
                <w:u w:val="none" w:color="auto"/>
              </w:rPr>
              <w:t>（GB12523-20</w:t>
            </w:r>
            <w:r>
              <w:rPr>
                <w:rFonts w:hint="eastAsia" w:cs="Times New Roman"/>
                <w:color w:val="auto"/>
                <w:sz w:val="21"/>
                <w:szCs w:val="21"/>
                <w:highlight w:val="none"/>
                <w:u w:val="none" w:color="auto"/>
                <w:lang w:val="en-US" w:eastAsia="zh-CN"/>
              </w:rPr>
              <w:t>25</w:t>
            </w:r>
            <w:r>
              <w:rPr>
                <w:rFonts w:hint="default" w:ascii="Times New Roman" w:hAnsi="Times New Roman" w:cs="Times New Roman"/>
                <w:color w:val="auto"/>
                <w:sz w:val="21"/>
                <w:szCs w:val="21"/>
                <w:highlight w:val="none"/>
                <w:u w:val="none" w:color="auto"/>
              </w:rPr>
              <w:t>）</w:t>
            </w:r>
          </w:p>
        </w:tc>
        <w:tc>
          <w:tcPr>
            <w:tcW w:w="1606" w:type="dxa"/>
            <w:noWrap w:val="0"/>
            <w:vAlign w:val="center"/>
          </w:tcPr>
          <w:p w14:paraId="6CEBCBE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70</w:t>
            </w:r>
          </w:p>
        </w:tc>
        <w:tc>
          <w:tcPr>
            <w:tcW w:w="1607" w:type="dxa"/>
            <w:noWrap w:val="0"/>
            <w:vAlign w:val="center"/>
          </w:tcPr>
          <w:p w14:paraId="5B081BB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55</w:t>
            </w:r>
          </w:p>
        </w:tc>
      </w:tr>
    </w:tbl>
    <w:p w14:paraId="11CE55BC">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（4）固体废物标准</w:t>
      </w:r>
    </w:p>
    <w:p w14:paraId="162E4FC6">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生活垃圾</w:t>
      </w:r>
      <w:r>
        <w:rPr>
          <w:rFonts w:hint="eastAsia" w:cs="Times New Roman"/>
          <w:color w:val="auto"/>
          <w:sz w:val="24"/>
          <w:szCs w:val="24"/>
          <w:highlight w:val="none"/>
          <w:u w:val="none" w:color="auto"/>
          <w:lang w:val="en-US" w:eastAsia="zh-CN"/>
        </w:rPr>
        <w:t>由环卫部门收集处置</w:t>
      </w:r>
      <w:r>
        <w:rPr>
          <w:rFonts w:hint="default" w:ascii="Times New Roman" w:hAnsi="Times New Roman" w:cs="Times New Roman"/>
          <w:color w:val="auto"/>
          <w:sz w:val="24"/>
          <w:szCs w:val="24"/>
          <w:highlight w:val="none"/>
          <w:u w:val="none" w:color="auto"/>
        </w:rPr>
        <w:t>；一般工业固体废物按照《一般固体废物分类与代码》（GB/T39198-2020）进行分类，</w:t>
      </w:r>
      <w:r>
        <w:rPr>
          <w:rFonts w:hint="eastAsia" w:cs="Times New Roman"/>
          <w:color w:val="auto"/>
          <w:sz w:val="24"/>
          <w:szCs w:val="24"/>
          <w:highlight w:val="none"/>
          <w:u w:val="none" w:color="auto"/>
          <w:lang w:val="en-US" w:eastAsia="zh-CN"/>
        </w:rPr>
        <w:t>贮存参照</w:t>
      </w:r>
      <w:r>
        <w:rPr>
          <w:rFonts w:hint="default" w:ascii="Times New Roman" w:hAnsi="Times New Roman" w:cs="Times New Roman"/>
          <w:color w:val="auto"/>
          <w:sz w:val="24"/>
          <w:szCs w:val="24"/>
          <w:highlight w:val="none"/>
          <w:u w:val="none" w:color="auto"/>
        </w:rPr>
        <w:t>执行《一般工业固体废物贮存和填埋污染控制标准》（GB18599-2020）；危险废物</w:t>
      </w:r>
      <w:r>
        <w:rPr>
          <w:rFonts w:hint="eastAsia" w:cs="Times New Roman"/>
          <w:color w:val="auto"/>
          <w:sz w:val="24"/>
          <w:szCs w:val="24"/>
          <w:highlight w:val="none"/>
          <w:u w:val="none" w:color="auto"/>
          <w:lang w:val="en-US" w:eastAsia="zh-CN"/>
        </w:rPr>
        <w:t>贮存</w:t>
      </w:r>
      <w:r>
        <w:rPr>
          <w:rFonts w:hint="default" w:ascii="Times New Roman" w:hAnsi="Times New Roman" w:cs="Times New Roman"/>
          <w:color w:val="auto"/>
          <w:sz w:val="24"/>
          <w:szCs w:val="24"/>
          <w:highlight w:val="none"/>
          <w:u w:val="none" w:color="auto"/>
        </w:rPr>
        <w:t>执行《危险废物贮存污染控制标准》（GB18597-20</w:t>
      </w:r>
      <w:r>
        <w:rPr>
          <w:rFonts w:hint="eastAsia" w:ascii="Times New Roman" w:hAnsi="Times New Roman" w:cs="Times New Roman"/>
          <w:color w:val="auto"/>
          <w:sz w:val="24"/>
          <w:szCs w:val="24"/>
          <w:highlight w:val="none"/>
          <w:u w:val="none" w:color="auto"/>
          <w:lang w:val="en-US" w:eastAsia="zh-CN"/>
        </w:rPr>
        <w:t>23</w:t>
      </w:r>
      <w:r>
        <w:rPr>
          <w:rFonts w:hint="default" w:ascii="Times New Roman" w:hAnsi="Times New Roman" w:cs="Times New Roman"/>
          <w:color w:val="auto"/>
          <w:sz w:val="24"/>
          <w:szCs w:val="24"/>
          <w:highlight w:val="none"/>
          <w:u w:val="none" w:color="auto"/>
        </w:rPr>
        <w:t>）。</w:t>
      </w:r>
    </w:p>
    <w:p w14:paraId="23CB10C9">
      <w:pPr>
        <w:topLinePunct w:val="0"/>
        <w:ind w:firstLine="0" w:firstLineChars="0"/>
        <w:outlineLvl w:val="1"/>
        <w:rPr>
          <w:rFonts w:hint="default" w:ascii="Times New Roman" w:hAnsi="Times New Roman" w:cs="Times New Roman"/>
          <w:b/>
          <w:bCs/>
          <w:color w:val="auto"/>
          <w:sz w:val="30"/>
          <w:szCs w:val="30"/>
          <w:highlight w:val="none"/>
          <w:u w:val="none" w:color="auto"/>
          <w:lang w:bidi="zh-CN"/>
        </w:rPr>
      </w:pPr>
      <w:bookmarkStart w:id="259" w:name="_Toc20839"/>
      <w:bookmarkStart w:id="260" w:name="_Toc2671"/>
      <w:bookmarkStart w:id="261" w:name="_Toc26922"/>
      <w:bookmarkStart w:id="262" w:name="_Toc16886"/>
      <w:bookmarkStart w:id="263" w:name="_Toc5573"/>
      <w:bookmarkStart w:id="264" w:name="_Toc12212"/>
      <w:bookmarkStart w:id="265" w:name="_Toc20045"/>
      <w:bookmarkStart w:id="266" w:name="_Toc2264"/>
      <w:bookmarkStart w:id="267" w:name="_Toc24433"/>
      <w:bookmarkStart w:id="268" w:name="_Toc25150"/>
      <w:bookmarkStart w:id="269" w:name="_Toc27935"/>
      <w:bookmarkStart w:id="270" w:name="_Toc13366"/>
      <w:bookmarkStart w:id="271" w:name="_Toc16196"/>
      <w:bookmarkStart w:id="272" w:name="_Toc19202"/>
      <w:r>
        <w:rPr>
          <w:rFonts w:hint="default" w:ascii="Times New Roman" w:hAnsi="Times New Roman" w:cs="Times New Roman"/>
          <w:b/>
          <w:bCs/>
          <w:color w:val="auto"/>
          <w:sz w:val="30"/>
          <w:szCs w:val="30"/>
          <w:highlight w:val="none"/>
          <w:u w:val="none" w:color="auto"/>
          <w:lang w:bidi="zh-CN"/>
        </w:rPr>
        <w:t>2.5评价工作等级</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p>
    <w:p w14:paraId="43605E29">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73" w:name="_Toc31971"/>
      <w:bookmarkStart w:id="274" w:name="_Toc22517"/>
      <w:bookmarkStart w:id="275" w:name="_Toc27398"/>
      <w:bookmarkStart w:id="276" w:name="_Toc12201"/>
      <w:r>
        <w:rPr>
          <w:rFonts w:hint="default" w:ascii="Times New Roman" w:hAnsi="Times New Roman" w:cs="Times New Roman"/>
          <w:b/>
          <w:color w:val="auto"/>
          <w:sz w:val="28"/>
          <w:szCs w:val="28"/>
          <w:highlight w:val="none"/>
          <w:u w:val="none" w:color="auto"/>
        </w:rPr>
        <w:t>2.5.1大气环境</w:t>
      </w:r>
      <w:bookmarkEnd w:id="273"/>
      <w:bookmarkEnd w:id="274"/>
      <w:bookmarkEnd w:id="275"/>
      <w:bookmarkEnd w:id="276"/>
    </w:p>
    <w:p w14:paraId="1E8F37DC">
      <w:pPr>
        <w:numPr>
          <w:ilvl w:val="0"/>
          <w:numId w:val="10"/>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评价等级</w:t>
      </w:r>
    </w:p>
    <w:p w14:paraId="5F35AA07">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kern w:val="0"/>
          <w:sz w:val="24"/>
          <w:szCs w:val="24"/>
          <w:highlight w:val="none"/>
          <w:u w:val="none" w:color="auto"/>
          <w:lang w:bidi="ar"/>
        </w:rPr>
        <w:t>依据《环境影响评价技术导则</w:t>
      </w:r>
      <w:r>
        <w:rPr>
          <w:rFonts w:hint="eastAsia" w:cs="Times New Roman"/>
          <w:color w:val="auto"/>
          <w:kern w:val="0"/>
          <w:sz w:val="24"/>
          <w:szCs w:val="24"/>
          <w:highlight w:val="none"/>
          <w:u w:val="none" w:color="auto"/>
          <w:lang w:val="en-US" w:eastAsia="zh-CN" w:bidi="ar"/>
        </w:rPr>
        <w:t xml:space="preserve">  </w:t>
      </w:r>
      <w:r>
        <w:rPr>
          <w:rFonts w:hint="default" w:ascii="Times New Roman" w:hAnsi="Times New Roman" w:cs="Times New Roman"/>
          <w:color w:val="auto"/>
          <w:kern w:val="0"/>
          <w:sz w:val="24"/>
          <w:szCs w:val="24"/>
          <w:highlight w:val="none"/>
          <w:u w:val="none" w:color="auto"/>
          <w:lang w:bidi="ar"/>
        </w:rPr>
        <w:t>大气环境》（HJ2.2-2018）中</w:t>
      </w:r>
      <w:r>
        <w:rPr>
          <w:rFonts w:hint="eastAsia" w:cs="Times New Roman"/>
          <w:color w:val="auto"/>
          <w:kern w:val="0"/>
          <w:sz w:val="24"/>
          <w:szCs w:val="24"/>
          <w:highlight w:val="none"/>
          <w:u w:val="none" w:color="auto"/>
          <w:lang w:val="en-US" w:eastAsia="zh-CN" w:bidi="ar"/>
        </w:rPr>
        <w:t>6.2</w:t>
      </w:r>
      <w:r>
        <w:rPr>
          <w:rFonts w:hint="default" w:ascii="Times New Roman" w:hAnsi="Times New Roman" w:cs="Times New Roman"/>
          <w:color w:val="auto"/>
          <w:kern w:val="0"/>
          <w:sz w:val="24"/>
          <w:szCs w:val="24"/>
          <w:highlight w:val="none"/>
          <w:u w:val="none" w:color="auto"/>
          <w:lang w:bidi="ar"/>
        </w:rPr>
        <w:t>节工作等级的确定方法，结合项目工程分析结果，选择正常排放的主要污染物及排放参数，采用附录A推荐模型中的AERSCREEN模式计算项目污染源的最大环境影响</w:t>
      </w:r>
      <w:r>
        <w:rPr>
          <w:rFonts w:hint="default" w:ascii="Times New Roman" w:hAnsi="Times New Roman" w:cs="Times New Roman"/>
          <w:color w:val="auto"/>
          <w:sz w:val="24"/>
          <w:szCs w:val="24"/>
          <w:highlight w:val="none"/>
          <w:u w:val="none" w:color="auto"/>
        </w:rPr>
        <w:t>。</w:t>
      </w:r>
    </w:p>
    <w:p w14:paraId="4F6214B2">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①P</w:t>
      </w:r>
      <w:r>
        <w:rPr>
          <w:rFonts w:hint="default" w:ascii="Times New Roman" w:hAnsi="Times New Roman" w:cs="Times New Roman"/>
          <w:color w:val="auto"/>
          <w:sz w:val="24"/>
          <w:szCs w:val="24"/>
          <w:highlight w:val="none"/>
          <w:u w:val="none" w:color="auto"/>
          <w:vertAlign w:val="subscript"/>
        </w:rPr>
        <w:t>max</w:t>
      </w:r>
      <w:r>
        <w:rPr>
          <w:rFonts w:hint="default" w:ascii="Times New Roman" w:hAnsi="Times New Roman" w:cs="Times New Roman"/>
          <w:color w:val="auto"/>
          <w:sz w:val="24"/>
          <w:szCs w:val="24"/>
          <w:highlight w:val="none"/>
          <w:u w:val="none" w:color="auto"/>
        </w:rPr>
        <w:t>及D</w:t>
      </w:r>
      <w:r>
        <w:rPr>
          <w:rFonts w:hint="default" w:ascii="Times New Roman" w:hAnsi="Times New Roman" w:cs="Times New Roman"/>
          <w:color w:val="auto"/>
          <w:sz w:val="24"/>
          <w:szCs w:val="24"/>
          <w:highlight w:val="none"/>
          <w:u w:val="none" w:color="auto"/>
          <w:vertAlign w:val="subscript"/>
        </w:rPr>
        <w:t>10%</w:t>
      </w:r>
      <w:r>
        <w:rPr>
          <w:rFonts w:hint="default" w:ascii="Times New Roman" w:hAnsi="Times New Roman" w:cs="Times New Roman"/>
          <w:color w:val="auto"/>
          <w:sz w:val="24"/>
          <w:szCs w:val="24"/>
          <w:highlight w:val="none"/>
          <w:u w:val="none" w:color="auto"/>
        </w:rPr>
        <w:t>的确定</w:t>
      </w:r>
    </w:p>
    <w:p w14:paraId="577FCEDA">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根据项目污染源初步调查结果，分别计算项目排放主要污染物的最大地面空气质量浓度占标率P</w:t>
      </w:r>
      <w:r>
        <w:rPr>
          <w:rFonts w:hint="default" w:ascii="Times New Roman" w:hAnsi="Times New Roman" w:cs="Times New Roman"/>
          <w:color w:val="auto"/>
          <w:sz w:val="24"/>
          <w:szCs w:val="24"/>
          <w:highlight w:val="none"/>
          <w:u w:val="none" w:color="auto"/>
          <w:vertAlign w:val="subscript"/>
        </w:rPr>
        <w:t>i</w:t>
      </w:r>
      <w:r>
        <w:rPr>
          <w:rFonts w:hint="default" w:ascii="Times New Roman" w:hAnsi="Times New Roman" w:cs="Times New Roman"/>
          <w:color w:val="auto"/>
          <w:sz w:val="24"/>
          <w:szCs w:val="24"/>
          <w:highlight w:val="none"/>
          <w:u w:val="none" w:color="auto"/>
        </w:rPr>
        <w:t>（第i个污染物，简称“最大浓度占标率”），及第 i个污染物的地面空气质量浓度达到标准值的10%时所对应的最远距离D</w:t>
      </w:r>
      <w:r>
        <w:rPr>
          <w:rFonts w:hint="default" w:ascii="Times New Roman" w:hAnsi="Times New Roman" w:cs="Times New Roman"/>
          <w:color w:val="auto"/>
          <w:sz w:val="24"/>
          <w:szCs w:val="24"/>
          <w:highlight w:val="none"/>
          <w:u w:val="none" w:color="auto"/>
          <w:vertAlign w:val="subscript"/>
        </w:rPr>
        <w:t>10%</w:t>
      </w:r>
      <w:r>
        <w:rPr>
          <w:rFonts w:hint="default" w:ascii="Times New Roman" w:hAnsi="Times New Roman" w:cs="Times New Roman"/>
          <w:color w:val="auto"/>
          <w:sz w:val="24"/>
          <w:szCs w:val="24"/>
          <w:highlight w:val="none"/>
          <w:u w:val="none" w:color="auto"/>
        </w:rPr>
        <w:t>。依据《环境影响评价技术导则 大气环境》（HJ2.2-2018）中最大地面浓度占标率P</w:t>
      </w:r>
      <w:r>
        <w:rPr>
          <w:rFonts w:hint="default" w:ascii="Times New Roman" w:hAnsi="Times New Roman" w:cs="Times New Roman"/>
          <w:color w:val="auto"/>
          <w:sz w:val="24"/>
          <w:szCs w:val="24"/>
          <w:highlight w:val="none"/>
          <w:u w:val="none" w:color="auto"/>
          <w:vertAlign w:val="subscript"/>
        </w:rPr>
        <w:t>i</w:t>
      </w:r>
      <w:r>
        <w:rPr>
          <w:rFonts w:hint="default" w:ascii="Times New Roman" w:hAnsi="Times New Roman" w:cs="Times New Roman"/>
          <w:color w:val="auto"/>
          <w:sz w:val="24"/>
          <w:szCs w:val="24"/>
          <w:highlight w:val="none"/>
          <w:u w:val="none" w:color="auto"/>
        </w:rPr>
        <w:t>定义如下：</w:t>
      </w:r>
    </w:p>
    <w:p w14:paraId="0C3385D5">
      <w:pPr>
        <w:ind w:firstLine="480"/>
        <w:jc w:val="center"/>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position w:val="-30"/>
          <w:sz w:val="24"/>
          <w:szCs w:val="24"/>
          <w:highlight w:val="none"/>
          <w:u w:val="none" w:color="auto"/>
        </w:rPr>
        <w:object>
          <v:shape id="_x0000_i1025" o:spt="75" type="#_x0000_t75" style="height:36.4pt;width:117.05pt;" o:ole="t" filled="f" o:preferrelative="t" stroked="f" coordsize="21600,21600">
            <v:path/>
            <v:fill on="f" focussize="0,0"/>
            <v:stroke on="f"/>
            <v:imagedata r:id="rId32" o:title=""/>
            <o:lock v:ext="edit" aspectratio="t"/>
            <w10:wrap type="none"/>
            <w10:anchorlock/>
          </v:shape>
          <o:OLEObject Type="Embed" ProgID="Equation.KSEE3" ShapeID="_x0000_i1025" DrawAspect="Content" ObjectID="_1468075725" r:id="rId31">
            <o:LockedField>false</o:LockedField>
          </o:OLEObject>
        </w:object>
      </w:r>
    </w:p>
    <w:p w14:paraId="5B546135">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式中：P</w:t>
      </w:r>
      <w:r>
        <w:rPr>
          <w:rFonts w:hint="default" w:ascii="Times New Roman" w:hAnsi="Times New Roman" w:cs="Times New Roman"/>
          <w:color w:val="auto"/>
          <w:sz w:val="24"/>
          <w:szCs w:val="24"/>
          <w:highlight w:val="none"/>
          <w:u w:val="none" w:color="auto"/>
          <w:vertAlign w:val="subscript"/>
        </w:rPr>
        <w:t>i</w:t>
      </w:r>
      <w:r>
        <w:rPr>
          <w:rFonts w:hint="default" w:ascii="Times New Roman" w:hAnsi="Times New Roman" w:cs="Times New Roman"/>
          <w:color w:val="auto"/>
          <w:sz w:val="24"/>
          <w:szCs w:val="24"/>
          <w:highlight w:val="none"/>
          <w:u w:val="none" w:color="auto"/>
        </w:rPr>
        <w:t>—第i个污染物的最大地面浓度占标率，%；</w:t>
      </w:r>
    </w:p>
    <w:p w14:paraId="02921179">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C</w:t>
      </w:r>
      <w:r>
        <w:rPr>
          <w:rFonts w:hint="default" w:ascii="Times New Roman" w:hAnsi="Times New Roman" w:cs="Times New Roman"/>
          <w:color w:val="auto"/>
          <w:sz w:val="24"/>
          <w:szCs w:val="24"/>
          <w:highlight w:val="none"/>
          <w:u w:val="none" w:color="auto"/>
          <w:vertAlign w:val="subscript"/>
        </w:rPr>
        <w:t>i</w:t>
      </w:r>
      <w:r>
        <w:rPr>
          <w:rFonts w:hint="default" w:ascii="Times New Roman" w:hAnsi="Times New Roman" w:cs="Times New Roman"/>
          <w:color w:val="auto"/>
          <w:sz w:val="24"/>
          <w:szCs w:val="24"/>
          <w:highlight w:val="none"/>
          <w:u w:val="none" w:color="auto"/>
        </w:rPr>
        <w:t>—采用估算模型计算出的第i个污染物的最大1h地面空气质量浓度，μg/m</w:t>
      </w:r>
      <w:r>
        <w:rPr>
          <w:rFonts w:hint="default" w:ascii="Times New Roman" w:hAnsi="Times New Roman" w:cs="Times New Roman"/>
          <w:color w:val="auto"/>
          <w:sz w:val="24"/>
          <w:szCs w:val="24"/>
          <w:highlight w:val="none"/>
          <w:u w:val="none" w:color="auto"/>
          <w:vertAlign w:val="superscript"/>
        </w:rPr>
        <w:t>3</w:t>
      </w:r>
      <w:r>
        <w:rPr>
          <w:rFonts w:hint="default" w:ascii="Times New Roman" w:hAnsi="Times New Roman" w:cs="Times New Roman"/>
          <w:color w:val="auto"/>
          <w:sz w:val="24"/>
          <w:szCs w:val="24"/>
          <w:highlight w:val="none"/>
          <w:u w:val="none" w:color="auto"/>
        </w:rPr>
        <w:t>；</w:t>
      </w:r>
    </w:p>
    <w:p w14:paraId="7329A607">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C</w:t>
      </w:r>
      <w:r>
        <w:rPr>
          <w:rFonts w:hint="default" w:ascii="Times New Roman" w:hAnsi="Times New Roman" w:cs="Times New Roman"/>
          <w:color w:val="auto"/>
          <w:sz w:val="24"/>
          <w:szCs w:val="24"/>
          <w:highlight w:val="none"/>
          <w:u w:val="none" w:color="auto"/>
          <w:vertAlign w:val="subscript"/>
        </w:rPr>
        <w:t>0i</w:t>
      </w:r>
      <w:r>
        <w:rPr>
          <w:rFonts w:hint="default" w:ascii="Times New Roman" w:hAnsi="Times New Roman" w:cs="Times New Roman"/>
          <w:color w:val="auto"/>
          <w:sz w:val="24"/>
          <w:szCs w:val="24"/>
          <w:highlight w:val="none"/>
          <w:u w:val="none" w:color="auto"/>
        </w:rPr>
        <w:t>—第i个污染物的环境空气质量浓度标准，μg/m</w:t>
      </w:r>
      <w:r>
        <w:rPr>
          <w:rFonts w:hint="default" w:ascii="Times New Roman" w:hAnsi="Times New Roman" w:cs="Times New Roman"/>
          <w:color w:val="auto"/>
          <w:sz w:val="24"/>
          <w:szCs w:val="24"/>
          <w:highlight w:val="none"/>
          <w:u w:val="none" w:color="auto"/>
          <w:vertAlign w:val="superscript"/>
        </w:rPr>
        <w:t>3</w:t>
      </w:r>
      <w:r>
        <w:rPr>
          <w:rFonts w:hint="default" w:ascii="Times New Roman" w:hAnsi="Times New Roman" w:cs="Times New Roman"/>
          <w:color w:val="auto"/>
          <w:sz w:val="24"/>
          <w:szCs w:val="24"/>
          <w:highlight w:val="none"/>
          <w:u w:val="none" w:color="auto"/>
        </w:rPr>
        <w:t>。</w:t>
      </w:r>
    </w:p>
    <w:p w14:paraId="4A3AB641">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②评价等级判别表</w:t>
      </w:r>
    </w:p>
    <w:p w14:paraId="1BCC6DDC">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评价等级按下表的分级判断依据进行划分。</w:t>
      </w:r>
    </w:p>
    <w:p w14:paraId="0DDD5713">
      <w:pPr>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w:t>
      </w:r>
      <w:r>
        <w:rPr>
          <w:rFonts w:hint="eastAsia" w:ascii="Times New Roman" w:hAnsi="Times New Roman" w:cs="Times New Roman"/>
          <w:b/>
          <w:bCs/>
          <w:color w:val="auto"/>
          <w:sz w:val="21"/>
          <w:szCs w:val="21"/>
          <w:highlight w:val="none"/>
          <w:u w:val="none" w:color="auto"/>
          <w:lang w:val="en-US" w:eastAsia="zh-CN"/>
        </w:rPr>
        <w:t>2.5-1</w:t>
      </w:r>
      <w:r>
        <w:rPr>
          <w:rFonts w:hint="default" w:ascii="Times New Roman" w:hAnsi="Times New Roman" w:cs="Times New Roman"/>
          <w:b/>
          <w:bCs/>
          <w:color w:val="auto"/>
          <w:sz w:val="21"/>
          <w:szCs w:val="21"/>
          <w:highlight w:val="none"/>
          <w:u w:val="none" w:color="auto"/>
        </w:rPr>
        <w:t xml:space="preserve">  评价等级判别表</w:t>
      </w:r>
    </w:p>
    <w:tbl>
      <w:tblPr>
        <w:tblStyle w:val="46"/>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7"/>
        <w:gridCol w:w="3676"/>
        <w:gridCol w:w="3679"/>
      </w:tblGrid>
      <w:tr w14:paraId="77B5E7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38" w:type="pct"/>
            <w:noWrap w:val="0"/>
            <w:vAlign w:val="center"/>
          </w:tcPr>
          <w:p w14:paraId="5C86BF7B">
            <w:pPr>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序号</w:t>
            </w:r>
          </w:p>
        </w:tc>
        <w:tc>
          <w:tcPr>
            <w:tcW w:w="1980" w:type="pct"/>
            <w:noWrap w:val="0"/>
            <w:vAlign w:val="center"/>
          </w:tcPr>
          <w:p w14:paraId="444FC2AD">
            <w:pPr>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评价工作等级</w:t>
            </w:r>
          </w:p>
        </w:tc>
        <w:tc>
          <w:tcPr>
            <w:tcW w:w="1981" w:type="pct"/>
            <w:noWrap w:val="0"/>
            <w:vAlign w:val="center"/>
          </w:tcPr>
          <w:p w14:paraId="3420305F">
            <w:pPr>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评价工作分级判据</w:t>
            </w:r>
          </w:p>
        </w:tc>
      </w:tr>
      <w:tr w14:paraId="42A9C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pct"/>
            <w:noWrap w:val="0"/>
            <w:vAlign w:val="center"/>
          </w:tcPr>
          <w:p w14:paraId="33025D30">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w:t>
            </w:r>
          </w:p>
        </w:tc>
        <w:tc>
          <w:tcPr>
            <w:tcW w:w="1980" w:type="pct"/>
            <w:noWrap w:val="0"/>
            <w:vAlign w:val="center"/>
          </w:tcPr>
          <w:p w14:paraId="61ACBC53">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一级</w:t>
            </w:r>
          </w:p>
        </w:tc>
        <w:tc>
          <w:tcPr>
            <w:tcW w:w="1981" w:type="pct"/>
            <w:noWrap w:val="0"/>
            <w:vAlign w:val="center"/>
          </w:tcPr>
          <w:p w14:paraId="6EC6A261">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P</w:t>
            </w:r>
            <w:r>
              <w:rPr>
                <w:rFonts w:hint="default" w:ascii="Times New Roman" w:hAnsi="Times New Roman" w:cs="Times New Roman"/>
                <w:color w:val="auto"/>
                <w:sz w:val="21"/>
                <w:szCs w:val="21"/>
                <w:highlight w:val="none"/>
                <w:u w:val="none" w:color="auto"/>
                <w:vertAlign w:val="subscript"/>
              </w:rPr>
              <w:t>max</w:t>
            </w:r>
            <w:r>
              <w:rPr>
                <w:rFonts w:hint="default" w:ascii="Times New Roman" w:hAnsi="Times New Roman" w:cs="Times New Roman"/>
                <w:color w:val="auto"/>
                <w:sz w:val="21"/>
                <w:szCs w:val="21"/>
                <w:highlight w:val="none"/>
                <w:u w:val="none" w:color="auto"/>
              </w:rPr>
              <w:t>≥10%</w:t>
            </w:r>
          </w:p>
        </w:tc>
      </w:tr>
      <w:tr w14:paraId="7CEDA6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pct"/>
            <w:noWrap w:val="0"/>
            <w:vAlign w:val="center"/>
          </w:tcPr>
          <w:p w14:paraId="5E3F3253">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w:t>
            </w:r>
          </w:p>
        </w:tc>
        <w:tc>
          <w:tcPr>
            <w:tcW w:w="1980" w:type="pct"/>
            <w:noWrap w:val="0"/>
            <w:vAlign w:val="center"/>
          </w:tcPr>
          <w:p w14:paraId="4A56427A">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二级</w:t>
            </w:r>
          </w:p>
        </w:tc>
        <w:tc>
          <w:tcPr>
            <w:tcW w:w="1981" w:type="pct"/>
            <w:noWrap w:val="0"/>
            <w:vAlign w:val="center"/>
          </w:tcPr>
          <w:p w14:paraId="746E6F1A">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1%≤P</w:t>
            </w:r>
            <w:r>
              <w:rPr>
                <w:rFonts w:hint="default" w:ascii="Times New Roman" w:hAnsi="Times New Roman" w:cs="Times New Roman"/>
                <w:color w:val="auto"/>
                <w:sz w:val="21"/>
                <w:szCs w:val="21"/>
                <w:highlight w:val="none"/>
                <w:u w:val="none" w:color="auto"/>
                <w:vertAlign w:val="subscript"/>
              </w:rPr>
              <w:t>max</w:t>
            </w:r>
            <w:r>
              <w:rPr>
                <w:rFonts w:hint="default" w:ascii="Times New Roman" w:hAnsi="Times New Roman" w:cs="Times New Roman"/>
                <w:color w:val="auto"/>
                <w:sz w:val="21"/>
                <w:szCs w:val="21"/>
                <w:highlight w:val="none"/>
                <w:u w:val="none" w:color="auto"/>
              </w:rPr>
              <w:t>＜10%</w:t>
            </w:r>
          </w:p>
        </w:tc>
      </w:tr>
      <w:tr w14:paraId="36601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pct"/>
            <w:noWrap w:val="0"/>
            <w:vAlign w:val="center"/>
          </w:tcPr>
          <w:p w14:paraId="2F16EA59">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3</w:t>
            </w:r>
          </w:p>
        </w:tc>
        <w:tc>
          <w:tcPr>
            <w:tcW w:w="1980" w:type="pct"/>
            <w:noWrap w:val="0"/>
            <w:vAlign w:val="center"/>
          </w:tcPr>
          <w:p w14:paraId="59CA7590">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三级</w:t>
            </w:r>
          </w:p>
        </w:tc>
        <w:tc>
          <w:tcPr>
            <w:tcW w:w="1981" w:type="pct"/>
            <w:noWrap w:val="0"/>
            <w:vAlign w:val="center"/>
          </w:tcPr>
          <w:p w14:paraId="1377339C">
            <w:pPr>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P</w:t>
            </w:r>
            <w:r>
              <w:rPr>
                <w:rFonts w:hint="default" w:ascii="Times New Roman" w:hAnsi="Times New Roman" w:cs="Times New Roman"/>
                <w:color w:val="auto"/>
                <w:sz w:val="21"/>
                <w:szCs w:val="21"/>
                <w:highlight w:val="none"/>
                <w:u w:val="none" w:color="auto"/>
                <w:vertAlign w:val="subscript"/>
              </w:rPr>
              <w:t>max</w:t>
            </w:r>
            <w:r>
              <w:rPr>
                <w:rFonts w:hint="default" w:ascii="Times New Roman" w:hAnsi="Times New Roman" w:cs="Times New Roman"/>
                <w:color w:val="auto"/>
                <w:sz w:val="21"/>
                <w:szCs w:val="21"/>
                <w:highlight w:val="none"/>
                <w:u w:val="none" w:color="auto"/>
              </w:rPr>
              <w:t>＜1%</w:t>
            </w:r>
          </w:p>
        </w:tc>
      </w:tr>
    </w:tbl>
    <w:p w14:paraId="263FBF7B">
      <w:pPr>
        <w:topLinePunct w:val="0"/>
        <w:ind w:firstLine="480"/>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cs="Times New Roman"/>
          <w:color w:val="auto"/>
          <w:sz w:val="24"/>
          <w:szCs w:val="24"/>
          <w:highlight w:val="none"/>
          <w:u w:val="none" w:color="auto"/>
          <w:lang w:val="en-US" w:eastAsia="zh-CN"/>
        </w:rPr>
        <w:t>本项目仅在施工期间产生废气，施工结束填埋场封场后无废气排放，Pmax˂1%。根据《环境影响评价技术导则  大气环境》（HJ2.2-2018）中的有关规定，本项目大气环境影响评价等级定为三级。</w:t>
      </w:r>
    </w:p>
    <w:p w14:paraId="3E108765">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77" w:name="_Toc475"/>
      <w:bookmarkStart w:id="278" w:name="_Toc20781"/>
      <w:bookmarkStart w:id="279" w:name="_Toc19406"/>
      <w:bookmarkStart w:id="280" w:name="_Toc26450"/>
      <w:r>
        <w:rPr>
          <w:rFonts w:hint="default" w:ascii="Times New Roman" w:hAnsi="Times New Roman" w:cs="Times New Roman"/>
          <w:b/>
          <w:color w:val="auto"/>
          <w:sz w:val="28"/>
          <w:szCs w:val="28"/>
          <w:highlight w:val="none"/>
          <w:u w:val="none" w:color="auto"/>
        </w:rPr>
        <w:t>2.5.2地表水环境</w:t>
      </w:r>
      <w:bookmarkEnd w:id="277"/>
      <w:bookmarkEnd w:id="278"/>
      <w:bookmarkEnd w:id="279"/>
      <w:bookmarkEnd w:id="280"/>
    </w:p>
    <w:p w14:paraId="1473A23F">
      <w:pPr>
        <w:keepNext w:val="0"/>
        <w:keepLines w:val="0"/>
        <w:pageBreakBefore w:val="0"/>
        <w:widowControl w:val="0"/>
        <w:kinsoku/>
        <w:wordWrap/>
        <w:overflowPunct/>
        <w:topLinePunct w:val="0"/>
        <w:autoSpaceDE w:val="0"/>
        <w:autoSpaceDN w:val="0"/>
        <w:bidi w:val="0"/>
        <w:adjustRightInd w:val="0"/>
        <w:snapToGrid w:val="0"/>
        <w:ind w:firstLine="480" w:firstLineChars="200"/>
        <w:jc w:val="left"/>
        <w:textAlignment w:val="auto"/>
        <w:rPr>
          <w:rFonts w:hint="eastAsia"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lang w:val="en-US" w:eastAsia="zh-CN"/>
        </w:rPr>
        <w:t>本次评价根据《环境影响评价技术导则-地表水环境》</w:t>
      </w:r>
      <w:r>
        <w:rPr>
          <w:rFonts w:hint="eastAsia" w:cs="Times New Roman"/>
          <w:color w:val="auto"/>
          <w:sz w:val="24"/>
          <w:szCs w:val="24"/>
          <w:highlight w:val="none"/>
          <w:u w:val="none" w:color="auto"/>
          <w:lang w:val="en-US" w:eastAsia="zh-CN"/>
        </w:rPr>
        <w:t>（</w:t>
      </w:r>
      <w:r>
        <w:rPr>
          <w:rFonts w:hint="eastAsia" w:ascii="Times New Roman" w:hAnsi="Times New Roman" w:eastAsia="宋体" w:cs="Times New Roman"/>
          <w:color w:val="auto"/>
          <w:sz w:val="24"/>
          <w:szCs w:val="24"/>
          <w:highlight w:val="none"/>
          <w:u w:val="none" w:color="auto"/>
          <w:lang w:val="en-US" w:eastAsia="zh-CN"/>
        </w:rPr>
        <w:t>HJ2.3-2018</w:t>
      </w:r>
      <w:r>
        <w:rPr>
          <w:rFonts w:hint="eastAsia" w:cs="Times New Roman"/>
          <w:color w:val="auto"/>
          <w:sz w:val="24"/>
          <w:szCs w:val="24"/>
          <w:highlight w:val="none"/>
          <w:u w:val="none" w:color="auto"/>
          <w:lang w:val="en-US" w:eastAsia="zh-CN"/>
        </w:rPr>
        <w:t>）</w:t>
      </w:r>
      <w:r>
        <w:rPr>
          <w:rFonts w:hint="eastAsia" w:ascii="Times New Roman" w:hAnsi="Times New Roman" w:eastAsia="宋体" w:cs="Times New Roman"/>
          <w:color w:val="auto"/>
          <w:sz w:val="24"/>
          <w:szCs w:val="24"/>
          <w:highlight w:val="none"/>
          <w:u w:val="none" w:color="auto"/>
          <w:lang w:val="en-US" w:eastAsia="zh-CN"/>
        </w:rPr>
        <w:t>中水污染影响型建设项目评价等级判定表（详见下表）对本项目营运期对地表水环境的影响进行评价等级判定。</w:t>
      </w:r>
    </w:p>
    <w:p w14:paraId="785828F8">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bCs/>
          <w:color w:val="auto"/>
          <w:sz w:val="21"/>
          <w:szCs w:val="21"/>
          <w:highlight w:val="none"/>
          <w:u w:val="none" w:color="auto"/>
          <w:lang w:val="en-US" w:eastAsia="zh-CN"/>
        </w:rPr>
      </w:pPr>
      <w:r>
        <w:rPr>
          <w:rFonts w:hint="eastAsia" w:ascii="Times New Roman" w:hAnsi="Times New Roman" w:eastAsia="宋体" w:cs="Times New Roman"/>
          <w:b/>
          <w:bCs/>
          <w:color w:val="auto"/>
          <w:sz w:val="21"/>
          <w:szCs w:val="21"/>
          <w:highlight w:val="none"/>
          <w:u w:val="none" w:color="auto"/>
          <w:lang w:val="en-US" w:eastAsia="zh-CN"/>
        </w:rPr>
        <w:t>表2.5-</w:t>
      </w:r>
      <w:r>
        <w:rPr>
          <w:rFonts w:hint="eastAsia" w:cs="Times New Roman"/>
          <w:b/>
          <w:bCs/>
          <w:color w:val="auto"/>
          <w:sz w:val="21"/>
          <w:szCs w:val="21"/>
          <w:highlight w:val="none"/>
          <w:u w:val="none" w:color="auto"/>
          <w:lang w:val="en-US" w:eastAsia="zh-CN"/>
        </w:rPr>
        <w:t>2</w:t>
      </w:r>
      <w:r>
        <w:rPr>
          <w:rFonts w:hint="eastAsia" w:ascii="Times New Roman" w:hAnsi="Times New Roman" w:eastAsia="宋体" w:cs="Times New Roman"/>
          <w:b/>
          <w:bCs/>
          <w:color w:val="auto"/>
          <w:sz w:val="21"/>
          <w:szCs w:val="21"/>
          <w:highlight w:val="none"/>
          <w:u w:val="none" w:color="auto"/>
          <w:lang w:val="en-US" w:eastAsia="zh-CN"/>
        </w:rPr>
        <w:t xml:space="preserve">  水污染影响型建设项目评价等级判定</w:t>
      </w:r>
    </w:p>
    <w:tbl>
      <w:tblPr>
        <w:tblStyle w:val="4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05"/>
        <w:gridCol w:w="2633"/>
        <w:gridCol w:w="4146"/>
      </w:tblGrid>
      <w:tr w14:paraId="67B6B3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Merge w:val="restart"/>
            <w:tcBorders>
              <w:tl2br w:val="nil"/>
              <w:tr2bl w:val="nil"/>
            </w:tcBorders>
            <w:noWrap w:val="0"/>
            <w:vAlign w:val="center"/>
          </w:tcPr>
          <w:p w14:paraId="293F377F">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b/>
                <w:bCs/>
                <w:color w:val="auto"/>
                <w:sz w:val="21"/>
                <w:szCs w:val="21"/>
                <w:u w:val="none" w:color="auto"/>
              </w:rPr>
              <w:t>评价等级</w:t>
            </w:r>
          </w:p>
        </w:tc>
        <w:tc>
          <w:tcPr>
            <w:tcW w:w="3650" w:type="pct"/>
            <w:gridSpan w:val="2"/>
            <w:tcBorders>
              <w:tl2br w:val="nil"/>
              <w:tr2bl w:val="nil"/>
            </w:tcBorders>
            <w:noWrap w:val="0"/>
            <w:vAlign w:val="center"/>
          </w:tcPr>
          <w:p w14:paraId="38F0F4E3">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b/>
                <w:bCs/>
                <w:color w:val="auto"/>
                <w:sz w:val="21"/>
                <w:szCs w:val="21"/>
                <w:u w:val="none" w:color="auto"/>
              </w:rPr>
              <w:t>判定依据</w:t>
            </w:r>
          </w:p>
        </w:tc>
      </w:tr>
      <w:tr w14:paraId="2B84CE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vMerge w:val="continue"/>
            <w:tcBorders>
              <w:tl2br w:val="nil"/>
              <w:tr2bl w:val="nil"/>
            </w:tcBorders>
            <w:noWrap w:val="0"/>
            <w:vAlign w:val="center"/>
          </w:tcPr>
          <w:p w14:paraId="21E82F43">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p>
        </w:tc>
        <w:tc>
          <w:tcPr>
            <w:tcW w:w="1418" w:type="pct"/>
            <w:tcBorders>
              <w:tl2br w:val="nil"/>
              <w:tr2bl w:val="nil"/>
            </w:tcBorders>
            <w:noWrap w:val="0"/>
            <w:vAlign w:val="center"/>
          </w:tcPr>
          <w:p w14:paraId="57990796">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排放方式</w:t>
            </w:r>
          </w:p>
        </w:tc>
        <w:tc>
          <w:tcPr>
            <w:tcW w:w="2232" w:type="pct"/>
            <w:tcBorders>
              <w:tl2br w:val="nil"/>
              <w:tr2bl w:val="nil"/>
            </w:tcBorders>
            <w:noWrap w:val="0"/>
            <w:vAlign w:val="center"/>
          </w:tcPr>
          <w:p w14:paraId="74A10997">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废水排放量Q/</w:t>
            </w:r>
            <w:r>
              <w:rPr>
                <w:rFonts w:hint="eastAsia"/>
                <w:color w:val="auto"/>
                <w:sz w:val="21"/>
                <w:szCs w:val="21"/>
                <w:u w:val="none" w:color="auto"/>
              </w:rPr>
              <w:t>(</w:t>
            </w:r>
            <w:r>
              <w:rPr>
                <w:color w:val="auto"/>
                <w:sz w:val="21"/>
                <w:szCs w:val="21"/>
                <w:u w:val="none" w:color="auto"/>
              </w:rPr>
              <w:t>m</w:t>
            </w:r>
            <w:r>
              <w:rPr>
                <w:color w:val="auto"/>
                <w:sz w:val="21"/>
                <w:szCs w:val="21"/>
                <w:u w:val="none" w:color="auto"/>
                <w:vertAlign w:val="superscript"/>
              </w:rPr>
              <w:t>3</w:t>
            </w:r>
            <w:r>
              <w:rPr>
                <w:color w:val="auto"/>
                <w:sz w:val="21"/>
                <w:szCs w:val="21"/>
                <w:u w:val="none" w:color="auto"/>
              </w:rPr>
              <w:t>/d</w:t>
            </w:r>
            <w:r>
              <w:rPr>
                <w:rFonts w:hint="eastAsia"/>
                <w:color w:val="auto"/>
                <w:sz w:val="21"/>
                <w:szCs w:val="21"/>
                <w:u w:val="none" w:color="auto"/>
                <w:lang w:eastAsia="zh-CN"/>
              </w:rPr>
              <w:t>）</w:t>
            </w:r>
            <w:r>
              <w:rPr>
                <w:color w:val="auto"/>
                <w:sz w:val="21"/>
                <w:szCs w:val="21"/>
                <w:u w:val="none" w:color="auto"/>
              </w:rPr>
              <w:t>；</w:t>
            </w:r>
          </w:p>
          <w:p w14:paraId="2C2156EB">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水污染物当量数W/</w:t>
            </w:r>
            <w:r>
              <w:rPr>
                <w:rFonts w:hint="eastAsia"/>
                <w:color w:val="auto"/>
                <w:sz w:val="21"/>
                <w:szCs w:val="21"/>
                <w:u w:val="none" w:color="auto"/>
                <w:lang w:eastAsia="zh-CN"/>
              </w:rPr>
              <w:t>（</w:t>
            </w:r>
            <w:r>
              <w:rPr>
                <w:color w:val="auto"/>
                <w:sz w:val="21"/>
                <w:szCs w:val="21"/>
                <w:u w:val="none" w:color="auto"/>
              </w:rPr>
              <w:t>无量纲</w:t>
            </w:r>
            <w:r>
              <w:rPr>
                <w:rFonts w:hint="eastAsia"/>
                <w:color w:val="auto"/>
                <w:sz w:val="21"/>
                <w:szCs w:val="21"/>
                <w:u w:val="none" w:color="auto"/>
                <w:lang w:eastAsia="zh-CN"/>
              </w:rPr>
              <w:t>）</w:t>
            </w:r>
          </w:p>
        </w:tc>
      </w:tr>
      <w:tr w14:paraId="4B25D5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tcBorders>
              <w:tl2br w:val="nil"/>
              <w:tr2bl w:val="nil"/>
            </w:tcBorders>
            <w:noWrap w:val="0"/>
            <w:vAlign w:val="center"/>
          </w:tcPr>
          <w:p w14:paraId="1448A335">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一级</w:t>
            </w:r>
          </w:p>
        </w:tc>
        <w:tc>
          <w:tcPr>
            <w:tcW w:w="1418" w:type="pct"/>
            <w:tcBorders>
              <w:tl2br w:val="nil"/>
              <w:tr2bl w:val="nil"/>
            </w:tcBorders>
            <w:noWrap w:val="0"/>
            <w:vAlign w:val="center"/>
          </w:tcPr>
          <w:p w14:paraId="29ACD330">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直接排放</w:t>
            </w:r>
          </w:p>
        </w:tc>
        <w:tc>
          <w:tcPr>
            <w:tcW w:w="2232" w:type="pct"/>
            <w:tcBorders>
              <w:tl2br w:val="nil"/>
              <w:tr2bl w:val="nil"/>
            </w:tcBorders>
            <w:noWrap w:val="0"/>
            <w:vAlign w:val="center"/>
          </w:tcPr>
          <w:p w14:paraId="5075E20B">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Q≥20000或W≥600000</w:t>
            </w:r>
          </w:p>
        </w:tc>
      </w:tr>
      <w:tr w14:paraId="29A653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tcBorders>
              <w:tl2br w:val="nil"/>
              <w:tr2bl w:val="nil"/>
            </w:tcBorders>
            <w:noWrap w:val="0"/>
            <w:vAlign w:val="center"/>
          </w:tcPr>
          <w:p w14:paraId="05F8FB3C">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二级</w:t>
            </w:r>
          </w:p>
        </w:tc>
        <w:tc>
          <w:tcPr>
            <w:tcW w:w="1418" w:type="pct"/>
            <w:tcBorders>
              <w:tl2br w:val="nil"/>
              <w:tr2bl w:val="nil"/>
            </w:tcBorders>
            <w:noWrap w:val="0"/>
            <w:vAlign w:val="center"/>
          </w:tcPr>
          <w:p w14:paraId="3CF423FF">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直接排放</w:t>
            </w:r>
          </w:p>
        </w:tc>
        <w:tc>
          <w:tcPr>
            <w:tcW w:w="2232" w:type="pct"/>
            <w:tcBorders>
              <w:tl2br w:val="nil"/>
              <w:tr2bl w:val="nil"/>
            </w:tcBorders>
            <w:noWrap w:val="0"/>
            <w:vAlign w:val="center"/>
          </w:tcPr>
          <w:p w14:paraId="0ECB8A3A">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其他</w:t>
            </w:r>
          </w:p>
        </w:tc>
      </w:tr>
      <w:tr w14:paraId="01581A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tcBorders>
              <w:tl2br w:val="nil"/>
              <w:tr2bl w:val="nil"/>
            </w:tcBorders>
            <w:noWrap w:val="0"/>
            <w:vAlign w:val="center"/>
          </w:tcPr>
          <w:p w14:paraId="03850BF0">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三级A</w:t>
            </w:r>
          </w:p>
        </w:tc>
        <w:tc>
          <w:tcPr>
            <w:tcW w:w="1418" w:type="pct"/>
            <w:tcBorders>
              <w:tl2br w:val="nil"/>
              <w:tr2bl w:val="nil"/>
            </w:tcBorders>
            <w:noWrap w:val="0"/>
            <w:vAlign w:val="center"/>
          </w:tcPr>
          <w:p w14:paraId="74E8E948">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直接排放</w:t>
            </w:r>
          </w:p>
        </w:tc>
        <w:tc>
          <w:tcPr>
            <w:tcW w:w="2232" w:type="pct"/>
            <w:tcBorders>
              <w:tl2br w:val="nil"/>
              <w:tr2bl w:val="nil"/>
            </w:tcBorders>
            <w:noWrap w:val="0"/>
            <w:vAlign w:val="center"/>
          </w:tcPr>
          <w:p w14:paraId="563F6D0D">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Q＜200且W＜6000</w:t>
            </w:r>
          </w:p>
        </w:tc>
      </w:tr>
      <w:tr w14:paraId="636907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9" w:type="pct"/>
            <w:tcBorders>
              <w:tl2br w:val="nil"/>
              <w:tr2bl w:val="nil"/>
            </w:tcBorders>
            <w:noWrap w:val="0"/>
            <w:vAlign w:val="center"/>
          </w:tcPr>
          <w:p w14:paraId="0FED8D12">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三级B</w:t>
            </w:r>
          </w:p>
        </w:tc>
        <w:tc>
          <w:tcPr>
            <w:tcW w:w="1418" w:type="pct"/>
            <w:tcBorders>
              <w:tl2br w:val="nil"/>
              <w:tr2bl w:val="nil"/>
            </w:tcBorders>
            <w:noWrap w:val="0"/>
            <w:vAlign w:val="center"/>
          </w:tcPr>
          <w:p w14:paraId="3461CC9C">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间接排放</w:t>
            </w:r>
          </w:p>
        </w:tc>
        <w:tc>
          <w:tcPr>
            <w:tcW w:w="2232" w:type="pct"/>
            <w:tcBorders>
              <w:tl2br w:val="nil"/>
              <w:tr2bl w:val="nil"/>
            </w:tcBorders>
            <w:noWrap w:val="0"/>
            <w:vAlign w:val="center"/>
          </w:tcPr>
          <w:p w14:paraId="1D4213FC">
            <w:pPr>
              <w:pStyle w:val="86"/>
              <w:keepNext w:val="0"/>
              <w:keepLines w:val="0"/>
              <w:pageBreakBefore w:val="0"/>
              <w:widowControl w:val="0"/>
              <w:kinsoku/>
              <w:wordWrap/>
              <w:overflowPunct/>
              <w:topLinePunct/>
              <w:autoSpaceDE/>
              <w:autoSpaceDN/>
              <w:bidi w:val="0"/>
              <w:adjustRightInd/>
              <w:snapToGrid/>
              <w:spacing w:line="240" w:lineRule="auto"/>
              <w:ind w:firstLine="0" w:firstLineChars="0"/>
              <w:textAlignment w:val="auto"/>
              <w:rPr>
                <w:color w:val="auto"/>
                <w:sz w:val="21"/>
                <w:szCs w:val="21"/>
                <w:u w:val="none" w:color="auto"/>
              </w:rPr>
            </w:pPr>
            <w:r>
              <w:rPr>
                <w:color w:val="auto"/>
                <w:sz w:val="21"/>
                <w:szCs w:val="21"/>
                <w:u w:val="none" w:color="auto"/>
              </w:rPr>
              <w:t>--</w:t>
            </w:r>
          </w:p>
        </w:tc>
      </w:tr>
      <w:tr w14:paraId="40E2A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
            <w:tcBorders>
              <w:tl2br w:val="nil"/>
              <w:tr2bl w:val="nil"/>
            </w:tcBorders>
            <w:noWrap w:val="0"/>
            <w:vAlign w:val="center"/>
          </w:tcPr>
          <w:p w14:paraId="73300449">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注1：水污染物当量数等于该污染物的年排放量除以该污染物的污染当量值</w:t>
            </w:r>
            <w:r>
              <w:rPr>
                <w:rFonts w:hint="eastAsia"/>
                <w:color w:val="auto"/>
                <w:sz w:val="21"/>
                <w:szCs w:val="21"/>
                <w:u w:val="none" w:color="auto"/>
              </w:rPr>
              <w:t>（</w:t>
            </w:r>
            <w:r>
              <w:rPr>
                <w:color w:val="auto"/>
                <w:sz w:val="21"/>
                <w:szCs w:val="21"/>
                <w:u w:val="none" w:color="auto"/>
              </w:rPr>
              <w:t>见附录A</w:t>
            </w:r>
            <w:r>
              <w:rPr>
                <w:rFonts w:hint="eastAsia"/>
                <w:color w:val="auto"/>
                <w:sz w:val="21"/>
                <w:szCs w:val="21"/>
                <w:u w:val="none" w:color="auto"/>
              </w:rPr>
              <w:t>）</w:t>
            </w:r>
            <w:r>
              <w:rPr>
                <w:color w:val="auto"/>
                <w:sz w:val="21"/>
                <w:szCs w:val="21"/>
                <w:u w:val="none" w:color="auto"/>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069FAD53">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16645BC5">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注3：厂区存在堆积物</w:t>
            </w:r>
            <w:r>
              <w:rPr>
                <w:rFonts w:hint="eastAsia"/>
                <w:color w:val="auto"/>
                <w:sz w:val="21"/>
                <w:szCs w:val="21"/>
                <w:u w:val="none" w:color="auto"/>
              </w:rPr>
              <w:t>（</w:t>
            </w:r>
            <w:r>
              <w:rPr>
                <w:color w:val="auto"/>
                <w:sz w:val="21"/>
                <w:szCs w:val="21"/>
                <w:u w:val="none" w:color="auto"/>
              </w:rPr>
              <w:t>露天堆放的原料、燃料、废渣等以及垃圾堆放场</w:t>
            </w:r>
            <w:r>
              <w:rPr>
                <w:rFonts w:hint="eastAsia"/>
                <w:color w:val="auto"/>
                <w:sz w:val="21"/>
                <w:szCs w:val="21"/>
                <w:u w:val="none" w:color="auto"/>
              </w:rPr>
              <w:t>）</w:t>
            </w:r>
            <w:r>
              <w:rPr>
                <w:color w:val="auto"/>
                <w:sz w:val="21"/>
                <w:szCs w:val="21"/>
                <w:u w:val="none" w:color="auto"/>
              </w:rPr>
              <w:t>、降尘污染的，应将初期雨污水纳入废水排放量，相应的主要污染物纳入水污染当量计算。</w:t>
            </w:r>
          </w:p>
          <w:p w14:paraId="6146E7BD">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注4：建设项目直接排放第一类污染物的，其评价等级为一级；建设项目直接排放的污染物为受纳水体超标因子的，评价等级不低于二级。</w:t>
            </w:r>
          </w:p>
          <w:p w14:paraId="2B135937">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注5：直接排放受纳水体影响范围涉及饮用水水源保护区、饮用水取水口、重点保护与珍稀水生生物的栖息地、重要水生生物的自然产卵场等保护目标时，评价等级不低于二级。</w:t>
            </w:r>
          </w:p>
          <w:p w14:paraId="24668AE0">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注6：建设项目向河流、湖库排放温排水引起受纳水体水温变化超过水环境质量标准要求，且评价范围有水温敏感目标时，评价等级为一级。</w:t>
            </w:r>
          </w:p>
          <w:p w14:paraId="1CC7B3A1">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注7：建设项目利用海水作为调节温度介质，排水量≥500万m</w:t>
            </w:r>
            <w:r>
              <w:rPr>
                <w:color w:val="auto"/>
                <w:sz w:val="21"/>
                <w:szCs w:val="21"/>
                <w:u w:val="none" w:color="auto"/>
                <w:vertAlign w:val="superscript"/>
              </w:rPr>
              <w:t>3</w:t>
            </w:r>
            <w:r>
              <w:rPr>
                <w:color w:val="auto"/>
                <w:sz w:val="21"/>
                <w:szCs w:val="21"/>
                <w:u w:val="none" w:color="auto"/>
              </w:rPr>
              <w:t>/d，评价等级为一级；排水量＜500万m</w:t>
            </w:r>
            <w:r>
              <w:rPr>
                <w:color w:val="auto"/>
                <w:sz w:val="21"/>
                <w:szCs w:val="21"/>
                <w:u w:val="none" w:color="auto"/>
                <w:vertAlign w:val="superscript"/>
              </w:rPr>
              <w:t>3</w:t>
            </w:r>
            <w:r>
              <w:rPr>
                <w:color w:val="auto"/>
                <w:sz w:val="21"/>
                <w:szCs w:val="21"/>
                <w:u w:val="none" w:color="auto"/>
              </w:rPr>
              <w:t>/d，评价等级为二级。</w:t>
            </w:r>
          </w:p>
          <w:p w14:paraId="33E4AE6E">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注8：仅涉及清净下水排放的，如其排放水质满足受纳水体水环境质量标准要求的，评价等级为三级A。</w:t>
            </w:r>
          </w:p>
          <w:p w14:paraId="743D2E62">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注9：依托现有排放口，且对外环境未新增排放污染物的直接排放建设项目，评价等级参照间接排放，定为三级B。</w:t>
            </w:r>
          </w:p>
          <w:p w14:paraId="78C23FE2">
            <w:pPr>
              <w:pStyle w:val="86"/>
              <w:keepNext w:val="0"/>
              <w:keepLines w:val="0"/>
              <w:pageBreakBefore w:val="0"/>
              <w:widowControl w:val="0"/>
              <w:kinsoku/>
              <w:wordWrap/>
              <w:overflowPunct/>
              <w:topLinePunct/>
              <w:autoSpaceDE/>
              <w:autoSpaceDN/>
              <w:bidi w:val="0"/>
              <w:adjustRightInd/>
              <w:snapToGrid/>
              <w:spacing w:line="240" w:lineRule="auto"/>
              <w:ind w:firstLine="0" w:firstLineChars="0"/>
              <w:jc w:val="left"/>
              <w:textAlignment w:val="auto"/>
              <w:rPr>
                <w:color w:val="auto"/>
                <w:sz w:val="21"/>
                <w:szCs w:val="21"/>
                <w:u w:val="none" w:color="auto"/>
              </w:rPr>
            </w:pPr>
            <w:r>
              <w:rPr>
                <w:color w:val="auto"/>
                <w:sz w:val="21"/>
                <w:szCs w:val="21"/>
                <w:u w:val="none" w:color="auto"/>
              </w:rPr>
              <w:t>注10：建设项目生产工艺中有废水产生，但作为回水利用，不排放到外环境的，按三级B评价。</w:t>
            </w:r>
          </w:p>
        </w:tc>
      </w:tr>
    </w:tbl>
    <w:p w14:paraId="15983F1F">
      <w:pPr>
        <w:keepNext w:val="0"/>
        <w:keepLines w:val="0"/>
        <w:pageBreakBefore w:val="0"/>
        <w:widowControl w:val="0"/>
        <w:numPr>
          <w:ilvl w:val="0"/>
          <w:numId w:val="0"/>
        </w:numPr>
        <w:kinsoku/>
        <w:wordWrap/>
        <w:overflowPunct/>
        <w:topLinePunct w:val="0"/>
        <w:autoSpaceDE w:val="0"/>
        <w:autoSpaceDN w:val="0"/>
        <w:bidi w:val="0"/>
        <w:adjustRightInd w:val="0"/>
        <w:snapToGrid w:val="0"/>
        <w:ind w:firstLine="480" w:firstLineChars="20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施工清挖过程中雨季产生的淋溶水、车辆冲洗废水经处理后回用于施工场地洒水抑尘等，不外排；施工期生活污水经化粪池处理后用于农肥，不外排。</w:t>
      </w:r>
    </w:p>
    <w:p w14:paraId="77B65DE4">
      <w:pPr>
        <w:keepNext w:val="0"/>
        <w:keepLines w:val="0"/>
        <w:pageBreakBefore w:val="0"/>
        <w:widowControl w:val="0"/>
        <w:numPr>
          <w:ilvl w:val="0"/>
          <w:numId w:val="0"/>
        </w:numPr>
        <w:kinsoku/>
        <w:wordWrap/>
        <w:overflowPunct/>
        <w:topLinePunct w:val="0"/>
        <w:autoSpaceDE w:val="0"/>
        <w:autoSpaceDN w:val="0"/>
        <w:bidi w:val="0"/>
        <w:adjustRightInd w:val="0"/>
        <w:snapToGrid w:val="0"/>
        <w:ind w:firstLine="480" w:firstLineChars="200"/>
        <w:jc w:val="left"/>
        <w:textAlignment w:val="auto"/>
        <w:rPr>
          <w:rFonts w:hint="default" w:ascii="Times New Roman" w:hAnsi="Times New Roman" w:cs="Times New Roman"/>
          <w:color w:val="auto"/>
          <w:sz w:val="24"/>
          <w:szCs w:val="24"/>
          <w:highlight w:val="none"/>
          <w:u w:val="none" w:color="auto"/>
          <w:lang w:val="en-US"/>
        </w:rPr>
      </w:pPr>
      <w:r>
        <w:rPr>
          <w:rFonts w:hint="default" w:ascii="Times New Roman" w:hAnsi="Times New Roman" w:eastAsia="宋体" w:cs="Times New Roman"/>
          <w:color w:val="auto"/>
          <w:sz w:val="24"/>
          <w:szCs w:val="24"/>
          <w:highlight w:val="none"/>
          <w:u w:val="none" w:color="auto"/>
          <w:lang w:val="en-US" w:eastAsia="zh-CN"/>
        </w:rPr>
        <w:t>渗滤液经一体化废水处理设施处理达到《污水综合排放标准》（GB8978-1996）中第一类污染物最高允许排放浓度和第二类污染物最高允许排放浓度一级标准后委托湖南黄金天岳矿业有限公司垂拱洞尾矿库废水处理站进一步处理后排放，根据《国家水污染物排放标准制订技术导则》（HJ945.2-2018）中关于“间接排放”及“污水集中处理设施”的定义，本项目废水为间接排放，因此地表水环境影响评价工作等级为三级B。</w:t>
      </w:r>
    </w:p>
    <w:p w14:paraId="71113B69">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81" w:name="_Toc24119"/>
      <w:bookmarkStart w:id="282" w:name="_Toc13459"/>
      <w:bookmarkStart w:id="283" w:name="_Toc15324"/>
      <w:bookmarkStart w:id="284" w:name="_Toc15594"/>
      <w:r>
        <w:rPr>
          <w:rFonts w:hint="default" w:ascii="Times New Roman" w:hAnsi="Times New Roman" w:cs="Times New Roman"/>
          <w:b/>
          <w:color w:val="auto"/>
          <w:sz w:val="28"/>
          <w:szCs w:val="28"/>
          <w:highlight w:val="none"/>
          <w:u w:val="none" w:color="auto"/>
        </w:rPr>
        <w:t>2.5.2地</w:t>
      </w:r>
      <w:r>
        <w:rPr>
          <w:rFonts w:hint="eastAsia" w:ascii="Times New Roman" w:hAnsi="Times New Roman" w:cs="Times New Roman"/>
          <w:b/>
          <w:color w:val="auto"/>
          <w:sz w:val="28"/>
          <w:szCs w:val="28"/>
          <w:highlight w:val="none"/>
          <w:u w:val="none" w:color="auto"/>
          <w:lang w:val="en-US" w:eastAsia="zh-CN"/>
        </w:rPr>
        <w:t>下</w:t>
      </w:r>
      <w:r>
        <w:rPr>
          <w:rFonts w:hint="default" w:ascii="Times New Roman" w:hAnsi="Times New Roman" w:cs="Times New Roman"/>
          <w:b/>
          <w:color w:val="auto"/>
          <w:sz w:val="28"/>
          <w:szCs w:val="28"/>
          <w:highlight w:val="none"/>
          <w:u w:val="none" w:color="auto"/>
        </w:rPr>
        <w:t>水环境</w:t>
      </w:r>
      <w:bookmarkEnd w:id="281"/>
      <w:bookmarkEnd w:id="282"/>
      <w:bookmarkEnd w:id="283"/>
      <w:bookmarkEnd w:id="284"/>
    </w:p>
    <w:p w14:paraId="2A325D33">
      <w:pPr>
        <w:topLinePunct w:val="0"/>
        <w:ind w:firstLine="48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1）评价等级</w:t>
      </w:r>
    </w:p>
    <w:p w14:paraId="49BE1BB5">
      <w:pPr>
        <w:keepNext w:val="0"/>
        <w:keepLines w:val="0"/>
        <w:widowControl/>
        <w:suppressLineNumbers w:val="0"/>
        <w:jc w:val="left"/>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根据《环境影响评价技术导则—地下水环境》（HJ610-2016）附录A地下水环境影响评价行业分类表，</w:t>
      </w:r>
      <w:r>
        <w:rPr>
          <w:rFonts w:hint="eastAsia" w:cs="Times New Roman"/>
          <w:color w:val="auto"/>
          <w:sz w:val="24"/>
          <w:szCs w:val="24"/>
          <w:highlight w:val="none"/>
          <w:u w:val="none" w:color="auto"/>
          <w:lang w:eastAsia="zh-CN"/>
        </w:rPr>
        <w:t>本项目</w:t>
      </w:r>
      <w:r>
        <w:rPr>
          <w:rFonts w:hint="default" w:ascii="Times New Roman" w:hAnsi="Times New Roman" w:eastAsia="宋体" w:cs="Times New Roman"/>
          <w:color w:val="auto"/>
          <w:sz w:val="24"/>
          <w:szCs w:val="24"/>
          <w:highlight w:val="none"/>
          <w:u w:val="none" w:color="auto"/>
          <w:lang w:val="en-US" w:eastAsia="zh-CN"/>
        </w:rPr>
        <w:t>涉及了</w:t>
      </w:r>
      <w:r>
        <w:rPr>
          <w:rFonts w:hint="eastAsia"/>
          <w:color w:val="auto"/>
          <w:sz w:val="24"/>
          <w:szCs w:val="24"/>
          <w:highlight w:val="none"/>
          <w:u w:val="none" w:color="auto"/>
          <w:lang w:val="en-US" w:eastAsia="zh-CN"/>
        </w:rPr>
        <w:t>“U城镇基础设施及房地产-152工业固体废物（含污泥）集中处置-全部”建设项目，同时本项目</w:t>
      </w:r>
      <w:r>
        <w:rPr>
          <w:rFonts w:hint="eastAsia"/>
          <w:sz w:val="24"/>
          <w:szCs w:val="24"/>
          <w:highlight w:val="none"/>
          <w:lang w:eastAsia="zh-CN"/>
        </w:rPr>
        <w:t>包含</w:t>
      </w:r>
      <w:r>
        <w:rPr>
          <w:rFonts w:hint="eastAsia"/>
          <w:sz w:val="24"/>
          <w:szCs w:val="24"/>
          <w:highlight w:val="none"/>
        </w:rPr>
        <w:t>第</w:t>
      </w:r>
      <w:r>
        <w:rPr>
          <w:rFonts w:hint="default" w:ascii="Times New Roman" w:hAnsi="Times New Roman" w:cs="Times New Roman"/>
          <w:sz w:val="24"/>
          <w:szCs w:val="24"/>
          <w:highlight w:val="none"/>
        </w:rPr>
        <w:t>Ⅱ</w:t>
      </w:r>
      <w:r>
        <w:rPr>
          <w:rFonts w:hint="eastAsia"/>
          <w:sz w:val="24"/>
          <w:szCs w:val="24"/>
          <w:highlight w:val="none"/>
        </w:rPr>
        <w:t>类一般工业固体废物</w:t>
      </w:r>
      <w:r>
        <w:rPr>
          <w:rFonts w:hint="eastAsia"/>
          <w:sz w:val="24"/>
          <w:szCs w:val="24"/>
          <w:highlight w:val="none"/>
          <w:lang w:eastAsia="zh-CN"/>
        </w:rPr>
        <w:t>（废渣）填埋，</w:t>
      </w:r>
      <w:r>
        <w:rPr>
          <w:rFonts w:hint="eastAsia"/>
          <w:color w:val="auto"/>
          <w:sz w:val="24"/>
          <w:szCs w:val="24"/>
          <w:highlight w:val="none"/>
          <w:u w:val="none" w:color="auto"/>
          <w:lang w:val="en-US" w:eastAsia="zh-CN"/>
        </w:rPr>
        <w:t>地下水环境影响评价项目属</w:t>
      </w:r>
      <w:r>
        <w:rPr>
          <w:rFonts w:hint="default" w:ascii="Times New Roman" w:hAnsi="Times New Roman" w:cs="Times New Roman"/>
          <w:color w:val="auto"/>
          <w:sz w:val="24"/>
          <w:szCs w:val="24"/>
          <w:highlight w:val="none"/>
          <w:u w:val="none" w:color="auto"/>
          <w:lang w:val="en-US" w:eastAsia="zh-CN"/>
        </w:rPr>
        <w:t>于</w:t>
      </w:r>
      <w:r>
        <w:rPr>
          <w:rFonts w:hint="default" w:ascii="Times New Roman" w:hAnsi="Times New Roman" w:eastAsia="宋体" w:cs="Times New Roman"/>
          <w:color w:val="auto"/>
          <w:sz w:val="24"/>
          <w:szCs w:val="24"/>
          <w:highlight w:val="none"/>
          <w:u w:val="none" w:color="auto"/>
          <w:lang w:val="en-US" w:eastAsia="zh-CN"/>
        </w:rPr>
        <w:t>Ⅱ</w:t>
      </w:r>
      <w:r>
        <w:rPr>
          <w:rFonts w:hint="default" w:ascii="Times New Roman" w:hAnsi="Times New Roman" w:cs="Times New Roman"/>
          <w:color w:val="auto"/>
          <w:sz w:val="24"/>
          <w:szCs w:val="24"/>
          <w:highlight w:val="none"/>
          <w:u w:val="none" w:color="auto"/>
          <w:lang w:val="en-US" w:eastAsia="zh-CN"/>
        </w:rPr>
        <w:t>类项目。</w:t>
      </w:r>
      <w:r>
        <w:rPr>
          <w:rFonts w:hint="eastAsia" w:cs="Times New Roman"/>
          <w:color w:val="auto"/>
          <w:sz w:val="24"/>
          <w:szCs w:val="24"/>
          <w:highlight w:val="none"/>
          <w:u w:val="none" w:color="auto"/>
          <w:lang w:val="en-US" w:eastAsia="zh-CN"/>
        </w:rPr>
        <w:t>根据现场调查，</w:t>
      </w:r>
      <w:r>
        <w:rPr>
          <w:rFonts w:hint="eastAsia" w:ascii="宋体" w:hAnsi="宋体" w:eastAsia="宋体" w:cs="宋体"/>
          <w:color w:val="000000"/>
          <w:kern w:val="0"/>
          <w:sz w:val="24"/>
          <w:szCs w:val="24"/>
          <w:u w:val="none" w:color="auto"/>
          <w:lang w:val="en-US" w:eastAsia="zh-CN" w:bidi="ar"/>
        </w:rPr>
        <w:t>项目周边不涉及饮用水水源保护区，</w:t>
      </w:r>
      <w:r>
        <w:rPr>
          <w:rFonts w:hint="default" w:ascii="Times New Roman" w:hAnsi="Times New Roman" w:eastAsia="宋体" w:cs="Times New Roman"/>
          <w:color w:val="auto"/>
          <w:sz w:val="24"/>
          <w:szCs w:val="24"/>
          <w:highlight w:val="none"/>
          <w:u w:val="none" w:color="auto"/>
        </w:rPr>
        <w:t>周边居民</w:t>
      </w:r>
      <w:r>
        <w:rPr>
          <w:rFonts w:hint="eastAsia" w:ascii="Times New Roman" w:hAnsi="Times New Roman" w:eastAsia="宋体" w:cs="Times New Roman"/>
          <w:color w:val="auto"/>
          <w:sz w:val="24"/>
          <w:szCs w:val="24"/>
          <w:highlight w:val="none"/>
          <w:u w:val="none" w:color="auto"/>
          <w:lang w:val="en-US" w:eastAsia="zh-CN"/>
        </w:rPr>
        <w:t>用水</w:t>
      </w:r>
      <w:r>
        <w:rPr>
          <w:rFonts w:hint="default" w:ascii="Times New Roman" w:hAnsi="Times New Roman" w:eastAsia="宋体" w:cs="Times New Roman"/>
          <w:color w:val="auto"/>
          <w:sz w:val="24"/>
          <w:szCs w:val="24"/>
          <w:highlight w:val="none"/>
          <w:u w:val="none" w:color="auto"/>
        </w:rPr>
        <w:t>水源</w:t>
      </w:r>
      <w:r>
        <w:rPr>
          <w:rFonts w:hint="eastAsia" w:cs="Times New Roman"/>
          <w:color w:val="auto"/>
          <w:sz w:val="24"/>
          <w:szCs w:val="24"/>
          <w:highlight w:val="none"/>
          <w:u w:val="none" w:color="auto"/>
          <w:lang w:val="en-US" w:eastAsia="zh-CN"/>
        </w:rPr>
        <w:t>均</w:t>
      </w:r>
      <w:r>
        <w:rPr>
          <w:rFonts w:hint="default" w:ascii="Times New Roman" w:hAnsi="Times New Roman" w:eastAsia="宋体" w:cs="Times New Roman"/>
          <w:color w:val="auto"/>
          <w:sz w:val="24"/>
          <w:szCs w:val="24"/>
          <w:highlight w:val="none"/>
          <w:u w:val="none" w:color="auto"/>
          <w:lang w:val="en-US" w:eastAsia="zh-CN"/>
        </w:rPr>
        <w:t>为</w:t>
      </w:r>
      <w:r>
        <w:rPr>
          <w:rFonts w:hint="eastAsia" w:cs="Times New Roman"/>
          <w:color w:val="auto"/>
          <w:sz w:val="24"/>
          <w:szCs w:val="24"/>
          <w:highlight w:val="none"/>
          <w:u w:val="none" w:color="auto"/>
          <w:lang w:val="en-US" w:eastAsia="zh-CN"/>
        </w:rPr>
        <w:t>市政管网中的</w:t>
      </w:r>
      <w:r>
        <w:rPr>
          <w:rFonts w:hint="default" w:ascii="Times New Roman" w:hAnsi="Times New Roman" w:eastAsia="宋体" w:cs="Times New Roman"/>
          <w:color w:val="auto"/>
          <w:sz w:val="24"/>
          <w:szCs w:val="24"/>
          <w:highlight w:val="none"/>
          <w:u w:val="none" w:color="auto"/>
          <w:lang w:val="en-US" w:eastAsia="zh-CN"/>
        </w:rPr>
        <w:t>自来水</w:t>
      </w:r>
      <w:r>
        <w:rPr>
          <w:rFonts w:hint="eastAsia" w:ascii="Times New Roman" w:hAnsi="Times New Roman" w:eastAsia="宋体" w:cs="Times New Roman"/>
          <w:color w:val="auto"/>
          <w:sz w:val="24"/>
          <w:szCs w:val="24"/>
          <w:highlight w:val="none"/>
          <w:u w:val="none" w:color="auto"/>
          <w:lang w:val="en-US" w:eastAsia="zh-CN"/>
        </w:rPr>
        <w:t>，周边水井</w:t>
      </w:r>
      <w:r>
        <w:rPr>
          <w:rFonts w:hint="eastAsia" w:ascii="宋体" w:hAnsi="宋体" w:eastAsia="宋体" w:cs="宋体"/>
          <w:color w:val="000000"/>
          <w:kern w:val="0"/>
          <w:sz w:val="24"/>
          <w:szCs w:val="24"/>
          <w:u w:val="none" w:color="auto"/>
          <w:lang w:val="en-US" w:eastAsia="zh-CN" w:bidi="ar"/>
        </w:rPr>
        <w:t>原作为生活水源的保留水井，现已无生活水源功能，因此，</w:t>
      </w:r>
      <w:r>
        <w:rPr>
          <w:rFonts w:hint="default" w:ascii="Times New Roman" w:hAnsi="Times New Roman" w:eastAsia="宋体" w:cs="Times New Roman"/>
          <w:color w:val="auto"/>
          <w:sz w:val="24"/>
          <w:szCs w:val="24"/>
          <w:highlight w:val="none"/>
          <w:u w:val="none" w:color="auto"/>
        </w:rPr>
        <w:t>选址不属于集中式饮用水水源地准保护区外的补给径流区，不属于其他环境敏感区以及分散式居民饮用水水源区，根据表2.5-</w:t>
      </w:r>
      <w:r>
        <w:rPr>
          <w:rFonts w:hint="eastAsia"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eastAsia="zh-CN"/>
        </w:rPr>
        <w:t>本项目</w:t>
      </w:r>
      <w:r>
        <w:rPr>
          <w:rFonts w:hint="default" w:ascii="Times New Roman" w:hAnsi="Times New Roman" w:eastAsia="宋体" w:cs="Times New Roman"/>
          <w:color w:val="auto"/>
          <w:sz w:val="24"/>
          <w:szCs w:val="24"/>
          <w:highlight w:val="none"/>
          <w:u w:val="none" w:color="auto"/>
        </w:rPr>
        <w:t>地下水环境敏感程度分级为</w:t>
      </w:r>
      <w:r>
        <w:rPr>
          <w:rFonts w:hint="default" w:ascii="Times New Roman" w:hAnsi="Times New Roman" w:eastAsia="宋体" w:cs="Times New Roman"/>
          <w:color w:val="auto"/>
          <w:sz w:val="24"/>
          <w:szCs w:val="24"/>
          <w:highlight w:val="none"/>
          <w:u w:val="none" w:color="auto"/>
          <w:lang w:val="en-US" w:eastAsia="zh-CN"/>
        </w:rPr>
        <w:t>不</w:t>
      </w:r>
      <w:r>
        <w:rPr>
          <w:rFonts w:hint="default" w:ascii="Times New Roman" w:hAnsi="Times New Roman" w:eastAsia="宋体" w:cs="Times New Roman"/>
          <w:color w:val="auto"/>
          <w:sz w:val="24"/>
          <w:szCs w:val="24"/>
          <w:highlight w:val="none"/>
          <w:u w:val="none" w:color="auto"/>
        </w:rPr>
        <w:t>敏感。根据表2.5-</w:t>
      </w:r>
      <w:r>
        <w:rPr>
          <w:rFonts w:hint="eastAsia"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地下水评价等级分级表，因此</w:t>
      </w:r>
      <w:r>
        <w:rPr>
          <w:rFonts w:hint="eastAsia" w:cs="Times New Roman"/>
          <w:color w:val="auto"/>
          <w:sz w:val="24"/>
          <w:szCs w:val="24"/>
          <w:highlight w:val="none"/>
          <w:u w:val="none" w:color="auto"/>
          <w:lang w:eastAsia="zh-CN"/>
        </w:rPr>
        <w:t>本项目</w:t>
      </w:r>
      <w:r>
        <w:rPr>
          <w:rFonts w:hint="default" w:ascii="Times New Roman" w:hAnsi="Times New Roman" w:eastAsia="宋体" w:cs="Times New Roman"/>
          <w:color w:val="auto"/>
          <w:sz w:val="24"/>
          <w:szCs w:val="24"/>
          <w:highlight w:val="none"/>
          <w:u w:val="none" w:color="auto"/>
        </w:rPr>
        <w:t>地下水环境影响评价等级为</w:t>
      </w:r>
      <w:r>
        <w:rPr>
          <w:rFonts w:hint="eastAsia" w:cs="Times New Roman"/>
          <w:color w:val="auto"/>
          <w:sz w:val="24"/>
          <w:szCs w:val="24"/>
          <w:highlight w:val="none"/>
          <w:u w:val="none" w:color="auto"/>
          <w:lang w:val="en-US" w:eastAsia="zh-CN"/>
        </w:rPr>
        <w:t>三</w:t>
      </w:r>
      <w:r>
        <w:rPr>
          <w:rFonts w:hint="default" w:ascii="Times New Roman" w:hAnsi="Times New Roman" w:eastAsia="宋体" w:cs="Times New Roman"/>
          <w:color w:val="auto"/>
          <w:sz w:val="24"/>
          <w:szCs w:val="24"/>
          <w:highlight w:val="none"/>
          <w:u w:val="none" w:color="auto"/>
        </w:rPr>
        <w:t>级。</w:t>
      </w:r>
    </w:p>
    <w:p w14:paraId="4FC7414B">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表2.5-</w:t>
      </w:r>
      <w:r>
        <w:rPr>
          <w:rFonts w:hint="eastAsia" w:cs="Times New Roman"/>
          <w:b/>
          <w:bCs/>
          <w:color w:val="auto"/>
          <w:sz w:val="21"/>
          <w:szCs w:val="21"/>
          <w:highlight w:val="none"/>
          <w:u w:val="none" w:color="auto"/>
          <w:lang w:val="en-US" w:eastAsia="zh-CN"/>
        </w:rPr>
        <w:t>3</w:t>
      </w:r>
      <w:r>
        <w:rPr>
          <w:rFonts w:hint="default" w:ascii="Times New Roman" w:hAnsi="Times New Roman" w:cs="Times New Roman"/>
          <w:b/>
          <w:bCs/>
          <w:color w:val="auto"/>
          <w:sz w:val="21"/>
          <w:szCs w:val="21"/>
          <w:highlight w:val="none"/>
          <w:u w:val="none" w:color="auto"/>
        </w:rPr>
        <w:t xml:space="preserve"> </w:t>
      </w:r>
      <w:r>
        <w:rPr>
          <w:rFonts w:hint="eastAsia" w:cs="Times New Roman"/>
          <w:b/>
          <w:bCs/>
          <w:color w:val="auto"/>
          <w:sz w:val="21"/>
          <w:szCs w:val="21"/>
          <w:highlight w:val="none"/>
          <w:u w:val="none" w:color="auto"/>
          <w:lang w:val="en-US" w:eastAsia="zh-CN"/>
        </w:rPr>
        <w:t xml:space="preserve"> </w:t>
      </w:r>
      <w:r>
        <w:rPr>
          <w:rFonts w:hint="default" w:ascii="Times New Roman" w:hAnsi="Times New Roman" w:cs="Times New Roman"/>
          <w:b/>
          <w:bCs/>
          <w:color w:val="auto"/>
          <w:sz w:val="21"/>
          <w:szCs w:val="21"/>
          <w:highlight w:val="none"/>
          <w:u w:val="none" w:color="auto"/>
        </w:rPr>
        <w:t>地下水环境敏感程度分级表</w:t>
      </w:r>
    </w:p>
    <w:tbl>
      <w:tblPr>
        <w:tblStyle w:val="46"/>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3" w:type="dxa"/>
          <w:bottom w:w="0" w:type="dxa"/>
          <w:right w:w="113" w:type="dxa"/>
        </w:tblCellMar>
      </w:tblPr>
      <w:tblGrid>
        <w:gridCol w:w="1571"/>
        <w:gridCol w:w="7723"/>
      </w:tblGrid>
      <w:tr w14:paraId="291956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845" w:type="pct"/>
            <w:noWrap w:val="0"/>
            <w:vAlign w:val="center"/>
          </w:tcPr>
          <w:p w14:paraId="452A451F">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敏感程度</w:t>
            </w:r>
          </w:p>
        </w:tc>
        <w:tc>
          <w:tcPr>
            <w:tcW w:w="4154" w:type="pct"/>
            <w:noWrap w:val="0"/>
            <w:vAlign w:val="center"/>
          </w:tcPr>
          <w:p w14:paraId="4F2FE34E">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地下水环境敏感特征</w:t>
            </w:r>
          </w:p>
        </w:tc>
      </w:tr>
      <w:tr w14:paraId="0B3239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845" w:type="pct"/>
            <w:noWrap w:val="0"/>
            <w:vAlign w:val="center"/>
          </w:tcPr>
          <w:p w14:paraId="4B742A7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敏感</w:t>
            </w:r>
          </w:p>
        </w:tc>
        <w:tc>
          <w:tcPr>
            <w:tcW w:w="4154" w:type="pct"/>
            <w:noWrap w:val="0"/>
            <w:vAlign w:val="center"/>
          </w:tcPr>
          <w:p w14:paraId="1EA4A14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55DA22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845" w:type="pct"/>
            <w:noWrap w:val="0"/>
            <w:vAlign w:val="center"/>
          </w:tcPr>
          <w:p w14:paraId="1B8AC93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较敏感</w:t>
            </w:r>
          </w:p>
        </w:tc>
        <w:tc>
          <w:tcPr>
            <w:tcW w:w="4154" w:type="pct"/>
            <w:noWrap w:val="0"/>
            <w:vAlign w:val="center"/>
          </w:tcPr>
          <w:p w14:paraId="3CA5E21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default" w:ascii="Times New Roman" w:hAnsi="Times New Roman" w:cs="Times New Roman"/>
                <w:color w:val="auto"/>
                <w:sz w:val="21"/>
                <w:szCs w:val="21"/>
                <w:highlight w:val="none"/>
                <w:u w:val="none" w:color="auto"/>
                <w:vertAlign w:val="superscript"/>
              </w:rPr>
              <w:t>a</w:t>
            </w:r>
            <w:r>
              <w:rPr>
                <w:rFonts w:hint="default" w:ascii="Times New Roman" w:hAnsi="Times New Roman" w:cs="Times New Roman"/>
                <w:color w:val="auto"/>
                <w:sz w:val="21"/>
                <w:szCs w:val="21"/>
                <w:highlight w:val="none"/>
                <w:u w:val="none" w:color="auto"/>
              </w:rPr>
              <w:t>。</w:t>
            </w:r>
          </w:p>
        </w:tc>
      </w:tr>
      <w:tr w14:paraId="54C76E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845" w:type="pct"/>
            <w:noWrap w:val="0"/>
            <w:vAlign w:val="center"/>
          </w:tcPr>
          <w:p w14:paraId="1A044AE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不敏感</w:t>
            </w:r>
          </w:p>
        </w:tc>
        <w:tc>
          <w:tcPr>
            <w:tcW w:w="4154" w:type="pct"/>
            <w:noWrap w:val="0"/>
            <w:vAlign w:val="center"/>
          </w:tcPr>
          <w:p w14:paraId="7D6C29B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上述地区之外的其它地区。</w:t>
            </w:r>
          </w:p>
        </w:tc>
      </w:tr>
      <w:tr w14:paraId="314F87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5000" w:type="pct"/>
            <w:gridSpan w:val="2"/>
            <w:noWrap w:val="0"/>
            <w:vAlign w:val="center"/>
          </w:tcPr>
          <w:p w14:paraId="3981FEAF">
            <w:pPr>
              <w:topLinePunct w:val="0"/>
              <w:spacing w:line="240" w:lineRule="auto"/>
              <w:ind w:firstLine="0" w:firstLineChars="0"/>
              <w:jc w:val="both"/>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18"/>
                <w:szCs w:val="18"/>
                <w:highlight w:val="none"/>
                <w:u w:val="none" w:color="auto"/>
              </w:rPr>
              <w:t>注：a“环境敏感区”是指《建设项目环境影响评价分类管理名录》中所界定的涉及地下水的环境敏感区。</w:t>
            </w:r>
          </w:p>
        </w:tc>
      </w:tr>
    </w:tbl>
    <w:p w14:paraId="2DF50712">
      <w:pPr>
        <w:topLinePunct w:val="0"/>
        <w:spacing w:line="240" w:lineRule="atLeast"/>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表2.5-</w:t>
      </w:r>
      <w:r>
        <w:rPr>
          <w:rFonts w:hint="eastAsia" w:cs="Times New Roman"/>
          <w:b/>
          <w:bCs/>
          <w:color w:val="auto"/>
          <w:sz w:val="21"/>
          <w:szCs w:val="21"/>
          <w:highlight w:val="none"/>
          <w:u w:val="none" w:color="auto"/>
          <w:lang w:val="en-US" w:eastAsia="zh-CN"/>
        </w:rPr>
        <w:t>4</w:t>
      </w:r>
      <w:r>
        <w:rPr>
          <w:rFonts w:hint="default" w:ascii="Times New Roman" w:hAnsi="Times New Roman" w:cs="Times New Roman"/>
          <w:b/>
          <w:bCs/>
          <w:color w:val="auto"/>
          <w:sz w:val="21"/>
          <w:szCs w:val="21"/>
          <w:highlight w:val="none"/>
          <w:u w:val="none" w:color="auto"/>
        </w:rPr>
        <w:t xml:space="preserve"> </w:t>
      </w:r>
      <w:r>
        <w:rPr>
          <w:rFonts w:hint="eastAsia" w:ascii="Times New Roman" w:hAnsi="Times New Roman" w:cs="Times New Roman"/>
          <w:b/>
          <w:bCs/>
          <w:color w:val="auto"/>
          <w:sz w:val="21"/>
          <w:szCs w:val="21"/>
          <w:highlight w:val="none"/>
          <w:u w:val="none" w:color="auto"/>
          <w:lang w:val="en-US" w:eastAsia="zh-CN"/>
        </w:rPr>
        <w:t xml:space="preserve"> </w:t>
      </w:r>
      <w:r>
        <w:rPr>
          <w:rFonts w:hint="default" w:ascii="Times New Roman" w:hAnsi="Times New Roman" w:cs="Times New Roman"/>
          <w:b/>
          <w:bCs/>
          <w:color w:val="auto"/>
          <w:sz w:val="21"/>
          <w:szCs w:val="21"/>
          <w:highlight w:val="none"/>
          <w:u w:val="none" w:color="auto"/>
        </w:rPr>
        <w:t>评价工作等级分级表</w:t>
      </w:r>
    </w:p>
    <w:tbl>
      <w:tblPr>
        <w:tblStyle w:val="46"/>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3" w:type="dxa"/>
          <w:bottom w:w="0" w:type="dxa"/>
          <w:right w:w="113" w:type="dxa"/>
        </w:tblCellMar>
      </w:tblPr>
      <w:tblGrid>
        <w:gridCol w:w="2321"/>
        <w:gridCol w:w="2320"/>
        <w:gridCol w:w="2322"/>
        <w:gridCol w:w="2329"/>
      </w:tblGrid>
      <w:tr w14:paraId="08DC11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544" w:hRule="atLeast"/>
          <w:jc w:val="center"/>
        </w:trPr>
        <w:tc>
          <w:tcPr>
            <w:tcW w:w="1249" w:type="pct"/>
            <w:noWrap w:val="0"/>
            <w:vAlign w:val="center"/>
          </w:tcPr>
          <w:p w14:paraId="7C1AF94F">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 xml:space="preserve">          项目类别</w:t>
            </w:r>
          </w:p>
          <w:p w14:paraId="5E026A2E">
            <w:pPr>
              <w:topLinePunct w:val="0"/>
              <w:spacing w:line="240" w:lineRule="auto"/>
              <w:ind w:firstLine="0" w:firstLineChars="0"/>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环境敏感程度</w:t>
            </w:r>
          </w:p>
        </w:tc>
        <w:tc>
          <w:tcPr>
            <w:tcW w:w="1248" w:type="pct"/>
            <w:noWrap w:val="0"/>
            <w:vAlign w:val="center"/>
          </w:tcPr>
          <w:p w14:paraId="7A21695A">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Ⅰ类</w:t>
            </w:r>
          </w:p>
        </w:tc>
        <w:tc>
          <w:tcPr>
            <w:tcW w:w="1249" w:type="pct"/>
            <w:noWrap w:val="0"/>
            <w:vAlign w:val="center"/>
          </w:tcPr>
          <w:p w14:paraId="2D9A48AB">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Ⅱ类</w:t>
            </w:r>
          </w:p>
        </w:tc>
        <w:tc>
          <w:tcPr>
            <w:tcW w:w="1251" w:type="pct"/>
            <w:noWrap w:val="0"/>
            <w:vAlign w:val="center"/>
          </w:tcPr>
          <w:p w14:paraId="54DBF1D3">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Ⅲ类</w:t>
            </w:r>
          </w:p>
        </w:tc>
      </w:tr>
      <w:tr w14:paraId="0B9BC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249" w:type="pct"/>
            <w:noWrap w:val="0"/>
            <w:vAlign w:val="center"/>
          </w:tcPr>
          <w:p w14:paraId="466B1AF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敏感</w:t>
            </w:r>
          </w:p>
        </w:tc>
        <w:tc>
          <w:tcPr>
            <w:tcW w:w="1248" w:type="pct"/>
            <w:noWrap w:val="0"/>
            <w:vAlign w:val="center"/>
          </w:tcPr>
          <w:p w14:paraId="1B03177D">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一</w:t>
            </w:r>
          </w:p>
        </w:tc>
        <w:tc>
          <w:tcPr>
            <w:tcW w:w="1249" w:type="pct"/>
            <w:noWrap w:val="0"/>
            <w:vAlign w:val="center"/>
          </w:tcPr>
          <w:p w14:paraId="1E2548A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一</w:t>
            </w:r>
          </w:p>
        </w:tc>
        <w:tc>
          <w:tcPr>
            <w:tcW w:w="1251" w:type="pct"/>
            <w:noWrap w:val="0"/>
            <w:vAlign w:val="center"/>
          </w:tcPr>
          <w:p w14:paraId="6B5D6C62">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w:t>
            </w:r>
          </w:p>
        </w:tc>
      </w:tr>
      <w:tr w14:paraId="4FB667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249" w:type="pct"/>
            <w:noWrap w:val="0"/>
            <w:vAlign w:val="center"/>
          </w:tcPr>
          <w:p w14:paraId="6AF719D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较敏感</w:t>
            </w:r>
          </w:p>
        </w:tc>
        <w:tc>
          <w:tcPr>
            <w:tcW w:w="1248" w:type="pct"/>
            <w:noWrap w:val="0"/>
            <w:vAlign w:val="center"/>
          </w:tcPr>
          <w:p w14:paraId="6300FA9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一</w:t>
            </w:r>
          </w:p>
        </w:tc>
        <w:tc>
          <w:tcPr>
            <w:tcW w:w="1249" w:type="pct"/>
            <w:noWrap w:val="0"/>
            <w:vAlign w:val="center"/>
          </w:tcPr>
          <w:p w14:paraId="19952FC7">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w:t>
            </w:r>
          </w:p>
        </w:tc>
        <w:tc>
          <w:tcPr>
            <w:tcW w:w="1251" w:type="pct"/>
            <w:noWrap w:val="0"/>
            <w:vAlign w:val="center"/>
          </w:tcPr>
          <w:p w14:paraId="4A12161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三</w:t>
            </w:r>
          </w:p>
        </w:tc>
      </w:tr>
      <w:tr w14:paraId="4888FD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249" w:type="pct"/>
            <w:shd w:val="clear" w:color="auto" w:fill="auto"/>
            <w:noWrap w:val="0"/>
            <w:vAlign w:val="center"/>
          </w:tcPr>
          <w:p w14:paraId="06AB1C95">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不敏感</w:t>
            </w:r>
          </w:p>
        </w:tc>
        <w:tc>
          <w:tcPr>
            <w:tcW w:w="1248" w:type="pct"/>
            <w:shd w:val="clear" w:color="auto" w:fill="auto"/>
            <w:noWrap w:val="0"/>
            <w:vAlign w:val="center"/>
          </w:tcPr>
          <w:p w14:paraId="0E7685E3">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二</w:t>
            </w:r>
          </w:p>
        </w:tc>
        <w:tc>
          <w:tcPr>
            <w:tcW w:w="1249" w:type="pct"/>
            <w:shd w:val="clear" w:color="auto" w:fill="auto"/>
            <w:noWrap w:val="0"/>
            <w:vAlign w:val="center"/>
          </w:tcPr>
          <w:p w14:paraId="4B2DFE88">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三</w:t>
            </w:r>
          </w:p>
        </w:tc>
        <w:tc>
          <w:tcPr>
            <w:tcW w:w="1251" w:type="pct"/>
            <w:noWrap w:val="0"/>
            <w:vAlign w:val="center"/>
          </w:tcPr>
          <w:p w14:paraId="275AA6A6">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三</w:t>
            </w:r>
          </w:p>
        </w:tc>
      </w:tr>
      <w:tr w14:paraId="26E4F9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1" w:hRule="atLeast"/>
          <w:jc w:val="center"/>
        </w:trPr>
        <w:tc>
          <w:tcPr>
            <w:tcW w:w="1249" w:type="pct"/>
            <w:noWrap w:val="0"/>
            <w:vAlign w:val="center"/>
          </w:tcPr>
          <w:p w14:paraId="15EE17A1">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等级判定</w:t>
            </w:r>
          </w:p>
        </w:tc>
        <w:tc>
          <w:tcPr>
            <w:tcW w:w="3750" w:type="pct"/>
            <w:gridSpan w:val="3"/>
            <w:noWrap w:val="0"/>
            <w:vAlign w:val="center"/>
          </w:tcPr>
          <w:p w14:paraId="0F389BA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val="en-US" w:eastAsia="zh-CN"/>
              </w:rPr>
              <w:t>Ⅲ</w:t>
            </w:r>
            <w:r>
              <w:rPr>
                <w:rFonts w:hint="default" w:ascii="Times New Roman" w:hAnsi="Times New Roman" w:cs="Times New Roman"/>
                <w:color w:val="auto"/>
                <w:sz w:val="21"/>
                <w:szCs w:val="21"/>
                <w:highlight w:val="none"/>
                <w:u w:val="none" w:color="auto"/>
              </w:rPr>
              <w:t>类，</w:t>
            </w:r>
            <w:r>
              <w:rPr>
                <w:rFonts w:hint="default" w:ascii="Times New Roman" w:hAnsi="Times New Roman" w:cs="Times New Roman"/>
                <w:color w:val="auto"/>
                <w:sz w:val="21"/>
                <w:szCs w:val="21"/>
                <w:highlight w:val="none"/>
                <w:u w:val="none" w:color="auto"/>
                <w:lang w:val="en-US" w:eastAsia="zh-CN"/>
              </w:rPr>
              <w:t>不</w:t>
            </w:r>
            <w:r>
              <w:rPr>
                <w:rFonts w:hint="default" w:ascii="Times New Roman" w:hAnsi="Times New Roman" w:cs="Times New Roman"/>
                <w:color w:val="auto"/>
                <w:sz w:val="21"/>
                <w:szCs w:val="21"/>
                <w:highlight w:val="none"/>
                <w:u w:val="none" w:color="auto"/>
              </w:rPr>
              <w:t>敏感，评价等级为</w:t>
            </w:r>
            <w:r>
              <w:rPr>
                <w:rFonts w:hint="default" w:ascii="Times New Roman" w:hAnsi="Times New Roman" w:cs="Times New Roman"/>
                <w:color w:val="auto"/>
                <w:sz w:val="21"/>
                <w:szCs w:val="21"/>
                <w:highlight w:val="none"/>
                <w:u w:val="none" w:color="auto"/>
                <w:lang w:val="en-US" w:eastAsia="zh-CN"/>
              </w:rPr>
              <w:t>三</w:t>
            </w:r>
            <w:r>
              <w:rPr>
                <w:rFonts w:hint="default" w:ascii="Times New Roman" w:hAnsi="Times New Roman" w:cs="Times New Roman"/>
                <w:color w:val="auto"/>
                <w:sz w:val="21"/>
                <w:szCs w:val="21"/>
                <w:highlight w:val="none"/>
                <w:u w:val="none" w:color="auto"/>
              </w:rPr>
              <w:t>级</w:t>
            </w:r>
          </w:p>
        </w:tc>
      </w:tr>
    </w:tbl>
    <w:p w14:paraId="6051E8F6">
      <w:pPr>
        <w:numPr>
          <w:ilvl w:val="0"/>
          <w:numId w:val="10"/>
        </w:num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kern w:val="0"/>
          <w:sz w:val="24"/>
          <w:szCs w:val="24"/>
          <w:highlight w:val="none"/>
          <w:u w:val="none" w:color="auto"/>
          <w:lang w:bidi="ar"/>
        </w:rPr>
        <w:t>评价范围：根据《环境影响评价技术导则</w:t>
      </w:r>
      <w:r>
        <w:rPr>
          <w:rFonts w:hint="eastAsia" w:cs="Times New Roman"/>
          <w:color w:val="auto"/>
          <w:kern w:val="0"/>
          <w:sz w:val="24"/>
          <w:szCs w:val="24"/>
          <w:highlight w:val="none"/>
          <w:u w:val="none" w:color="auto"/>
          <w:lang w:val="en-US" w:eastAsia="zh-CN" w:bidi="ar"/>
        </w:rPr>
        <w:t xml:space="preserve">  </w:t>
      </w:r>
      <w:r>
        <w:rPr>
          <w:rFonts w:hint="default" w:ascii="Times New Roman" w:hAnsi="Times New Roman" w:cs="Times New Roman"/>
          <w:color w:val="auto"/>
          <w:kern w:val="0"/>
          <w:sz w:val="24"/>
          <w:szCs w:val="24"/>
          <w:highlight w:val="none"/>
          <w:u w:val="none" w:color="auto"/>
          <w:lang w:bidi="ar"/>
        </w:rPr>
        <w:t>地下水环境》（HJ610-2016）中</w:t>
      </w:r>
      <w:r>
        <w:rPr>
          <w:rFonts w:hint="default" w:ascii="Times New Roman" w:hAnsi="Times New Roman" w:cs="Times New Roman"/>
          <w:color w:val="auto"/>
          <w:kern w:val="0"/>
          <w:sz w:val="24"/>
          <w:szCs w:val="24"/>
          <w:highlight w:val="none"/>
          <w:u w:val="none" w:color="auto"/>
          <w:lang w:eastAsia="zh-CN" w:bidi="ar"/>
        </w:rPr>
        <w:t>“</w:t>
      </w:r>
      <w:r>
        <w:rPr>
          <w:rFonts w:hint="default" w:ascii="Times New Roman" w:hAnsi="Times New Roman" w:cs="Times New Roman"/>
          <w:color w:val="auto"/>
          <w:kern w:val="0"/>
          <w:sz w:val="24"/>
          <w:szCs w:val="24"/>
          <w:highlight w:val="none"/>
          <w:u w:val="none" w:color="auto"/>
          <w:lang w:bidi="ar"/>
        </w:rPr>
        <w:t>8.2</w:t>
      </w:r>
    </w:p>
    <w:p w14:paraId="4825612A">
      <w:pPr>
        <w:numPr>
          <w:ilvl w:val="0"/>
          <w:numId w:val="0"/>
        </w:numPr>
        <w:ind w:firstLine="0" w:firstLineChars="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kern w:val="0"/>
          <w:sz w:val="24"/>
          <w:szCs w:val="24"/>
          <w:highlight w:val="none"/>
          <w:u w:val="none" w:color="auto"/>
          <w:lang w:bidi="ar"/>
        </w:rPr>
        <w:t>调查评价范围查表法：地下水</w:t>
      </w:r>
      <w:r>
        <w:rPr>
          <w:rFonts w:hint="eastAsia" w:cs="Times New Roman"/>
          <w:color w:val="auto"/>
          <w:kern w:val="0"/>
          <w:sz w:val="24"/>
          <w:szCs w:val="24"/>
          <w:highlight w:val="none"/>
          <w:u w:val="none" w:color="auto"/>
          <w:lang w:val="en-US" w:eastAsia="zh-CN" w:bidi="ar"/>
        </w:rPr>
        <w:t>三</w:t>
      </w:r>
      <w:r>
        <w:rPr>
          <w:rFonts w:hint="default" w:ascii="Times New Roman" w:hAnsi="Times New Roman" w:cs="Times New Roman"/>
          <w:color w:val="auto"/>
          <w:kern w:val="0"/>
          <w:sz w:val="24"/>
          <w:szCs w:val="24"/>
          <w:highlight w:val="none"/>
          <w:u w:val="none" w:color="auto"/>
          <w:lang w:bidi="ar"/>
        </w:rPr>
        <w:t>级评价调查评价面积为</w:t>
      </w:r>
      <w:r>
        <w:rPr>
          <w:rFonts w:hint="default" w:ascii="Arial" w:hAnsi="Arial" w:cs="Arial"/>
          <w:color w:val="auto"/>
          <w:kern w:val="0"/>
          <w:sz w:val="24"/>
          <w:szCs w:val="24"/>
          <w:highlight w:val="none"/>
          <w:u w:val="none" w:color="auto"/>
          <w:lang w:bidi="ar"/>
        </w:rPr>
        <w:t>≤</w:t>
      </w:r>
      <w:r>
        <w:rPr>
          <w:rFonts w:hint="default" w:ascii="Times New Roman" w:hAnsi="Times New Roman" w:cs="Times New Roman"/>
          <w:color w:val="auto"/>
          <w:kern w:val="0"/>
          <w:sz w:val="24"/>
          <w:szCs w:val="24"/>
          <w:highlight w:val="none"/>
          <w:u w:val="none" w:color="auto"/>
          <w:lang w:bidi="ar"/>
        </w:rPr>
        <w:t>6km</w:t>
      </w:r>
      <w:r>
        <w:rPr>
          <w:rFonts w:hint="default" w:ascii="Times New Roman" w:hAnsi="Times New Roman" w:cs="Times New Roman"/>
          <w:color w:val="auto"/>
          <w:kern w:val="0"/>
          <w:sz w:val="24"/>
          <w:szCs w:val="24"/>
          <w:highlight w:val="none"/>
          <w:u w:val="none" w:color="auto"/>
          <w:vertAlign w:val="superscript"/>
          <w:lang w:bidi="ar"/>
        </w:rPr>
        <w:t>2</w:t>
      </w:r>
      <w:r>
        <w:rPr>
          <w:rFonts w:hint="default" w:ascii="Times New Roman" w:hAnsi="Times New Roman" w:cs="Times New Roman"/>
          <w:color w:val="auto"/>
          <w:kern w:val="0"/>
          <w:sz w:val="24"/>
          <w:szCs w:val="24"/>
          <w:highlight w:val="none"/>
          <w:u w:val="none" w:color="auto"/>
          <w:lang w:eastAsia="zh-CN" w:bidi="ar"/>
        </w:rPr>
        <w:t>”</w:t>
      </w:r>
      <w:r>
        <w:rPr>
          <w:rFonts w:hint="default" w:ascii="Times New Roman" w:hAnsi="Times New Roman" w:cs="Times New Roman"/>
          <w:color w:val="auto"/>
          <w:kern w:val="0"/>
          <w:sz w:val="24"/>
          <w:szCs w:val="24"/>
          <w:highlight w:val="none"/>
          <w:u w:val="none" w:color="auto"/>
          <w:lang w:bidi="ar"/>
        </w:rPr>
        <w:t>，</w:t>
      </w:r>
      <w:r>
        <w:rPr>
          <w:rFonts w:hint="eastAsia" w:cs="Times New Roman"/>
          <w:color w:val="auto"/>
          <w:kern w:val="0"/>
          <w:sz w:val="24"/>
          <w:szCs w:val="24"/>
          <w:highlight w:val="none"/>
          <w:u w:val="none" w:color="auto"/>
          <w:lang w:val="en-US" w:eastAsia="zh-CN" w:bidi="ar"/>
        </w:rPr>
        <w:t>区域地下水走向为西南侧流向东北侧，</w:t>
      </w:r>
      <w:r>
        <w:rPr>
          <w:rFonts w:hint="default" w:ascii="Times New Roman" w:hAnsi="Times New Roman" w:cs="Times New Roman"/>
          <w:color w:val="auto"/>
          <w:kern w:val="0"/>
          <w:sz w:val="24"/>
          <w:szCs w:val="24"/>
          <w:highlight w:val="none"/>
          <w:u w:val="none" w:color="auto"/>
          <w:lang w:bidi="ar"/>
        </w:rPr>
        <w:t>结合项目的实际情况，拟建项目地下水环境评价范围确定为：</w:t>
      </w:r>
      <w:r>
        <w:rPr>
          <w:rFonts w:hint="eastAsia" w:cs="Times New Roman"/>
          <w:color w:val="auto"/>
          <w:kern w:val="0"/>
          <w:sz w:val="24"/>
          <w:szCs w:val="24"/>
          <w:highlight w:val="none"/>
          <w:u w:val="none" w:color="auto"/>
          <w:lang w:val="en-US" w:eastAsia="zh-CN" w:bidi="ar"/>
        </w:rPr>
        <w:t>以场址为中心，边长2*3km的矩形区域，</w:t>
      </w:r>
      <w:r>
        <w:rPr>
          <w:rFonts w:hint="default" w:ascii="Times New Roman" w:hAnsi="Times New Roman" w:cs="Times New Roman"/>
          <w:color w:val="auto"/>
          <w:kern w:val="0"/>
          <w:sz w:val="24"/>
          <w:szCs w:val="24"/>
          <w:highlight w:val="none"/>
          <w:u w:val="none" w:color="auto"/>
          <w:lang w:bidi="ar"/>
        </w:rPr>
        <w:t>评价区面积约</w:t>
      </w:r>
      <w:r>
        <w:rPr>
          <w:rFonts w:hint="eastAsia" w:cs="Times New Roman"/>
          <w:color w:val="auto"/>
          <w:kern w:val="0"/>
          <w:sz w:val="24"/>
          <w:szCs w:val="24"/>
          <w:highlight w:val="none"/>
          <w:u w:val="none" w:color="auto"/>
          <w:lang w:val="en-US" w:eastAsia="zh-CN" w:bidi="ar"/>
        </w:rPr>
        <w:t>6</w:t>
      </w:r>
      <w:r>
        <w:rPr>
          <w:rFonts w:hint="default" w:ascii="Times New Roman" w:hAnsi="Times New Roman" w:cs="Times New Roman"/>
          <w:color w:val="auto"/>
          <w:kern w:val="0"/>
          <w:sz w:val="24"/>
          <w:szCs w:val="24"/>
          <w:highlight w:val="none"/>
          <w:u w:val="none" w:color="auto"/>
          <w:lang w:bidi="ar"/>
        </w:rPr>
        <w:t>km</w:t>
      </w:r>
      <w:r>
        <w:rPr>
          <w:rFonts w:hint="default" w:ascii="Times New Roman" w:hAnsi="Times New Roman" w:cs="Times New Roman"/>
          <w:color w:val="auto"/>
          <w:kern w:val="0"/>
          <w:sz w:val="24"/>
          <w:szCs w:val="24"/>
          <w:highlight w:val="none"/>
          <w:u w:val="none" w:color="auto"/>
          <w:vertAlign w:val="superscript"/>
          <w:lang w:bidi="ar"/>
        </w:rPr>
        <w:t>2</w:t>
      </w:r>
      <w:r>
        <w:rPr>
          <w:rFonts w:hint="default" w:ascii="Times New Roman" w:hAnsi="Times New Roman" w:cs="Times New Roman"/>
          <w:color w:val="auto"/>
          <w:kern w:val="0"/>
          <w:sz w:val="24"/>
          <w:szCs w:val="24"/>
          <w:highlight w:val="none"/>
          <w:u w:val="none" w:color="auto"/>
          <w:lang w:bidi="ar"/>
        </w:rPr>
        <w:t>。</w:t>
      </w:r>
    </w:p>
    <w:p w14:paraId="5746C4D9">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85" w:name="_Toc11143"/>
      <w:bookmarkStart w:id="286" w:name="_Toc27564"/>
      <w:bookmarkStart w:id="287" w:name="_Toc7944"/>
      <w:bookmarkStart w:id="288" w:name="_Toc4468"/>
      <w:r>
        <w:rPr>
          <w:rFonts w:hint="default" w:ascii="Times New Roman" w:hAnsi="Times New Roman" w:cs="Times New Roman"/>
          <w:b/>
          <w:color w:val="auto"/>
          <w:sz w:val="28"/>
          <w:szCs w:val="28"/>
          <w:highlight w:val="none"/>
          <w:u w:val="none" w:color="auto"/>
        </w:rPr>
        <w:t>2.5.</w:t>
      </w:r>
      <w:r>
        <w:rPr>
          <w:rFonts w:hint="eastAsia" w:cs="Times New Roman"/>
          <w:b/>
          <w:color w:val="auto"/>
          <w:sz w:val="28"/>
          <w:szCs w:val="28"/>
          <w:highlight w:val="none"/>
          <w:u w:val="none" w:color="auto"/>
          <w:lang w:val="en-US" w:eastAsia="zh-CN"/>
        </w:rPr>
        <w:t>3</w:t>
      </w:r>
      <w:r>
        <w:rPr>
          <w:rFonts w:hint="default" w:ascii="Times New Roman" w:hAnsi="Times New Roman" w:cs="Times New Roman"/>
          <w:b/>
          <w:color w:val="auto"/>
          <w:sz w:val="28"/>
          <w:szCs w:val="28"/>
          <w:highlight w:val="none"/>
          <w:u w:val="none" w:color="auto"/>
        </w:rPr>
        <w:t>声环境</w:t>
      </w:r>
      <w:bookmarkEnd w:id="285"/>
      <w:bookmarkEnd w:id="286"/>
      <w:bookmarkEnd w:id="287"/>
      <w:bookmarkEnd w:id="288"/>
    </w:p>
    <w:p w14:paraId="70D4B1B3">
      <w:pPr>
        <w:topLinePunct w:val="0"/>
        <w:ind w:firstLine="480"/>
        <w:rPr>
          <w:rFonts w:hint="eastAsia"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rPr>
        <w:t>1）评价等级</w:t>
      </w:r>
    </w:p>
    <w:p w14:paraId="425EECE4">
      <w:pPr>
        <w:keepNext w:val="0"/>
        <w:keepLines w:val="0"/>
        <w:pageBreakBefore w:val="0"/>
        <w:widowControl w:val="0"/>
        <w:kinsoku/>
        <w:wordWrap w:val="0"/>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场址位于</w:t>
      </w:r>
      <w:r>
        <w:rPr>
          <w:rFonts w:hint="eastAsia" w:cs="Times New Roman"/>
          <w:color w:val="auto"/>
          <w:sz w:val="24"/>
          <w:szCs w:val="24"/>
          <w:highlight w:val="none"/>
          <w:u w:val="none" w:color="auto"/>
          <w:lang w:val="en-US" w:eastAsia="zh-CN"/>
        </w:rPr>
        <w:t>沅陵产业开发区</w:t>
      </w:r>
      <w:r>
        <w:rPr>
          <w:rFonts w:hint="default" w:ascii="Times New Roman" w:hAnsi="Times New Roman" w:cs="Times New Roman"/>
          <w:color w:val="auto"/>
          <w:sz w:val="24"/>
          <w:szCs w:val="24"/>
          <w:highlight w:val="none"/>
          <w:u w:val="none" w:color="auto"/>
        </w:rPr>
        <w:t>内，根据《环境影响评价技术导则—声环境》（HJ2.4-2021）中的相关规定，确定</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的声环境影响评价等级为</w:t>
      </w:r>
      <w:r>
        <w:rPr>
          <w:rFonts w:hint="eastAsia" w:ascii="Times New Roman" w:hAnsi="Times New Roman" w:cs="Times New Roman"/>
          <w:color w:val="auto"/>
          <w:sz w:val="24"/>
          <w:szCs w:val="24"/>
          <w:highlight w:val="none"/>
          <w:u w:val="none" w:color="auto"/>
          <w:lang w:val="en-US" w:eastAsia="zh-CN"/>
        </w:rPr>
        <w:t>三</w:t>
      </w:r>
      <w:r>
        <w:rPr>
          <w:rFonts w:hint="default" w:ascii="Times New Roman" w:hAnsi="Times New Roman" w:cs="Times New Roman"/>
          <w:color w:val="auto"/>
          <w:sz w:val="24"/>
          <w:szCs w:val="24"/>
          <w:highlight w:val="none"/>
          <w:u w:val="none" w:color="auto"/>
        </w:rPr>
        <w:t>级。</w:t>
      </w:r>
    </w:p>
    <w:p w14:paraId="25C7296D">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表2.5-</w:t>
      </w:r>
      <w:r>
        <w:rPr>
          <w:rFonts w:hint="eastAsia" w:cs="Times New Roman"/>
          <w:b/>
          <w:bCs/>
          <w:color w:val="auto"/>
          <w:sz w:val="21"/>
          <w:szCs w:val="21"/>
          <w:highlight w:val="none"/>
          <w:u w:val="none" w:color="auto"/>
          <w:lang w:val="en-US" w:eastAsia="zh-CN"/>
        </w:rPr>
        <w:t>5</w:t>
      </w:r>
      <w:r>
        <w:rPr>
          <w:rFonts w:hint="default" w:ascii="Times New Roman" w:hAnsi="Times New Roman" w:cs="Times New Roman"/>
          <w:b/>
          <w:bCs/>
          <w:color w:val="auto"/>
          <w:sz w:val="21"/>
          <w:szCs w:val="21"/>
          <w:highlight w:val="none"/>
          <w:u w:val="none" w:color="auto"/>
        </w:rPr>
        <w:t xml:space="preserve"> </w:t>
      </w:r>
      <w:r>
        <w:rPr>
          <w:rFonts w:hint="eastAsia" w:cs="Times New Roman"/>
          <w:b/>
          <w:bCs/>
          <w:color w:val="auto"/>
          <w:sz w:val="21"/>
          <w:szCs w:val="21"/>
          <w:highlight w:val="none"/>
          <w:u w:val="none" w:color="auto"/>
          <w:lang w:val="en-US" w:eastAsia="zh-CN"/>
        </w:rPr>
        <w:t xml:space="preserve"> </w:t>
      </w:r>
      <w:r>
        <w:rPr>
          <w:rFonts w:hint="eastAsia" w:cs="Times New Roman"/>
          <w:b/>
          <w:bCs/>
          <w:color w:val="auto"/>
          <w:sz w:val="21"/>
          <w:szCs w:val="21"/>
          <w:highlight w:val="none"/>
          <w:u w:val="none" w:color="auto"/>
          <w:lang w:eastAsia="zh-CN"/>
        </w:rPr>
        <w:t>本项目</w:t>
      </w:r>
      <w:r>
        <w:rPr>
          <w:rFonts w:hint="default" w:ascii="Times New Roman" w:hAnsi="Times New Roman" w:cs="Times New Roman"/>
          <w:b/>
          <w:bCs/>
          <w:color w:val="auto"/>
          <w:sz w:val="21"/>
          <w:szCs w:val="21"/>
          <w:highlight w:val="none"/>
          <w:u w:val="none" w:color="auto"/>
        </w:rPr>
        <w:t>声环境影响评价工作等级划分表</w:t>
      </w:r>
    </w:p>
    <w:tbl>
      <w:tblPr>
        <w:tblStyle w:val="46"/>
        <w:tblW w:w="499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3" w:type="dxa"/>
          <w:bottom w:w="0" w:type="dxa"/>
          <w:right w:w="113" w:type="dxa"/>
        </w:tblCellMar>
      </w:tblPr>
      <w:tblGrid>
        <w:gridCol w:w="2842"/>
        <w:gridCol w:w="6449"/>
      </w:tblGrid>
      <w:tr w14:paraId="066C85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529" w:type="pct"/>
            <w:noWrap w:val="0"/>
            <w:vAlign w:val="center"/>
          </w:tcPr>
          <w:p w14:paraId="74F8D4B5">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HJ2.4-2021划分原则</w:t>
            </w:r>
          </w:p>
        </w:tc>
        <w:tc>
          <w:tcPr>
            <w:tcW w:w="3470" w:type="pct"/>
            <w:noWrap w:val="0"/>
            <w:vAlign w:val="center"/>
          </w:tcPr>
          <w:p w14:paraId="320C6BDC">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建设项目所处的声环境功能区为GB3096规定的3类、4类地区，或建设项目建设前后评价范围内声环境保护目标噪声级增量在3dB(A</w:t>
            </w:r>
            <w:r>
              <w:rPr>
                <w:rFonts w:hint="eastAsia" w:cs="Times New Roman"/>
                <w:color w:val="auto"/>
                <w:sz w:val="21"/>
                <w:szCs w:val="21"/>
                <w:highlight w:val="none"/>
                <w:u w:val="none" w:color="auto"/>
                <w:lang w:eastAsia="zh-CN"/>
              </w:rPr>
              <w:t>）</w:t>
            </w:r>
            <w:r>
              <w:rPr>
                <w:rFonts w:hint="default" w:ascii="Times New Roman" w:hAnsi="Times New Roman" w:cs="Times New Roman"/>
                <w:color w:val="auto"/>
                <w:sz w:val="21"/>
                <w:szCs w:val="21"/>
                <w:highlight w:val="none"/>
                <w:u w:val="none" w:color="auto"/>
              </w:rPr>
              <w:t>以下（不含3dB(A</w:t>
            </w:r>
            <w:r>
              <w:rPr>
                <w:rFonts w:hint="eastAsia" w:cs="Times New Roman"/>
                <w:color w:val="auto"/>
                <w:sz w:val="21"/>
                <w:szCs w:val="21"/>
                <w:highlight w:val="none"/>
                <w:u w:val="none" w:color="auto"/>
                <w:lang w:eastAsia="zh-CN"/>
              </w:rPr>
              <w:t>）</w:t>
            </w:r>
            <w:r>
              <w:rPr>
                <w:rFonts w:hint="default" w:ascii="Times New Roman" w:hAnsi="Times New Roman" w:cs="Times New Roman"/>
                <w:color w:val="auto"/>
                <w:sz w:val="21"/>
                <w:szCs w:val="21"/>
                <w:highlight w:val="none"/>
                <w:u w:val="none" w:color="auto"/>
              </w:rPr>
              <w:t>），且受影响人口数量变化不大时，按三级评价。</w:t>
            </w:r>
          </w:p>
        </w:tc>
      </w:tr>
      <w:tr w14:paraId="13AB83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529" w:type="pct"/>
            <w:noWrap w:val="0"/>
            <w:vAlign w:val="center"/>
          </w:tcPr>
          <w:p w14:paraId="176B65EE">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项目所在区域环境功能区划</w:t>
            </w:r>
          </w:p>
        </w:tc>
        <w:tc>
          <w:tcPr>
            <w:tcW w:w="3470" w:type="pct"/>
            <w:noWrap w:val="0"/>
            <w:vAlign w:val="center"/>
          </w:tcPr>
          <w:p w14:paraId="58DFC449">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项目属于GB3096-2008规定的</w:t>
            </w:r>
            <w:r>
              <w:rPr>
                <w:rFonts w:hint="eastAsia"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rPr>
              <w:t>类声功能区</w:t>
            </w:r>
          </w:p>
        </w:tc>
      </w:tr>
      <w:tr w14:paraId="07C65C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529" w:type="pct"/>
            <w:noWrap w:val="0"/>
            <w:vAlign w:val="center"/>
          </w:tcPr>
          <w:p w14:paraId="034C54A6">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受影响人口</w:t>
            </w:r>
          </w:p>
        </w:tc>
        <w:tc>
          <w:tcPr>
            <w:tcW w:w="3470" w:type="pct"/>
            <w:noWrap w:val="0"/>
            <w:vAlign w:val="center"/>
          </w:tcPr>
          <w:p w14:paraId="481633DA">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eastAsia" w:cs="Times New Roman"/>
                <w:color w:val="auto"/>
                <w:sz w:val="21"/>
                <w:szCs w:val="21"/>
                <w:highlight w:val="none"/>
                <w:u w:val="none" w:color="auto"/>
                <w:lang w:eastAsia="zh-CN"/>
              </w:rPr>
              <w:t>本项目</w:t>
            </w:r>
            <w:r>
              <w:rPr>
                <w:rFonts w:hint="default" w:ascii="Times New Roman" w:hAnsi="Times New Roman" w:cs="Times New Roman"/>
                <w:color w:val="auto"/>
                <w:sz w:val="21"/>
                <w:szCs w:val="21"/>
                <w:highlight w:val="none"/>
                <w:u w:val="none" w:color="auto"/>
              </w:rPr>
              <w:t>位于</w:t>
            </w:r>
            <w:r>
              <w:rPr>
                <w:rFonts w:hint="eastAsia" w:cs="Times New Roman"/>
                <w:color w:val="auto"/>
                <w:sz w:val="21"/>
                <w:szCs w:val="21"/>
                <w:highlight w:val="none"/>
                <w:u w:val="none" w:color="auto"/>
                <w:lang w:val="en-US" w:eastAsia="zh-CN"/>
              </w:rPr>
              <w:t>平江县三阳乡</w:t>
            </w:r>
            <w:r>
              <w:rPr>
                <w:rFonts w:hint="default" w:ascii="Times New Roman" w:hAnsi="Times New Roman" w:cs="Times New Roman"/>
                <w:color w:val="auto"/>
                <w:sz w:val="21"/>
                <w:szCs w:val="21"/>
                <w:highlight w:val="none"/>
                <w:u w:val="none" w:color="auto"/>
              </w:rPr>
              <w:t>，项目所在区域声环境不敏感，受噪声影响的人口变化不大</w:t>
            </w:r>
          </w:p>
        </w:tc>
      </w:tr>
      <w:tr w14:paraId="66D87F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340" w:hRule="atLeast"/>
          <w:jc w:val="center"/>
        </w:trPr>
        <w:tc>
          <w:tcPr>
            <w:tcW w:w="1529" w:type="pct"/>
            <w:noWrap w:val="0"/>
            <w:vAlign w:val="center"/>
          </w:tcPr>
          <w:p w14:paraId="2D92F7F7">
            <w:pPr>
              <w:topLinePunct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评价等级</w:t>
            </w:r>
          </w:p>
        </w:tc>
        <w:tc>
          <w:tcPr>
            <w:tcW w:w="3470" w:type="pct"/>
            <w:noWrap w:val="0"/>
            <w:vAlign w:val="center"/>
          </w:tcPr>
          <w:p w14:paraId="78F9FD04">
            <w:pPr>
              <w:topLinePunct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lang w:val="en-US" w:eastAsia="zh-CN"/>
              </w:rPr>
              <w:t>三</w:t>
            </w:r>
            <w:r>
              <w:rPr>
                <w:rFonts w:hint="default" w:ascii="Times New Roman" w:hAnsi="Times New Roman" w:cs="Times New Roman"/>
                <w:color w:val="auto"/>
                <w:sz w:val="21"/>
                <w:szCs w:val="21"/>
                <w:highlight w:val="none"/>
                <w:u w:val="none" w:color="auto"/>
              </w:rPr>
              <w:t>级</w:t>
            </w:r>
          </w:p>
        </w:tc>
      </w:tr>
    </w:tbl>
    <w:p w14:paraId="5757BCA1">
      <w:pPr>
        <w:topLinePunct w:val="0"/>
        <w:ind w:firstLine="480"/>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cs="Times New Roman"/>
          <w:color w:val="auto"/>
          <w:sz w:val="24"/>
          <w:szCs w:val="24"/>
          <w:highlight w:val="none"/>
          <w:u w:val="none" w:color="auto"/>
        </w:rPr>
        <w:t>评价范围</w:t>
      </w:r>
    </w:p>
    <w:p w14:paraId="6A0BD23F">
      <w:pPr>
        <w:topLinePunct w:val="0"/>
        <w:ind w:left="420" w:leftChars="200" w:firstLine="0" w:firstLineChars="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声环境评价范围为拟建项目厂界外200m的区域。</w:t>
      </w:r>
    </w:p>
    <w:p w14:paraId="48DBDC45">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89" w:name="_Toc28334"/>
      <w:bookmarkStart w:id="290" w:name="_Toc19361"/>
      <w:bookmarkStart w:id="291" w:name="_Toc22811"/>
      <w:bookmarkStart w:id="292" w:name="_Toc8738"/>
      <w:r>
        <w:rPr>
          <w:rFonts w:hint="default" w:ascii="Times New Roman" w:hAnsi="Times New Roman" w:cs="Times New Roman"/>
          <w:b/>
          <w:color w:val="auto"/>
          <w:sz w:val="28"/>
          <w:szCs w:val="28"/>
          <w:highlight w:val="none"/>
          <w:u w:val="none" w:color="auto"/>
        </w:rPr>
        <w:t>2.5.</w:t>
      </w:r>
      <w:r>
        <w:rPr>
          <w:rFonts w:hint="eastAsia" w:cs="Times New Roman"/>
          <w:b/>
          <w:color w:val="auto"/>
          <w:sz w:val="28"/>
          <w:szCs w:val="28"/>
          <w:highlight w:val="none"/>
          <w:u w:val="none" w:color="auto"/>
          <w:lang w:val="en-US" w:eastAsia="zh-CN"/>
        </w:rPr>
        <w:t>4</w:t>
      </w:r>
      <w:r>
        <w:rPr>
          <w:rFonts w:hint="default" w:ascii="Times New Roman" w:hAnsi="Times New Roman" w:cs="Times New Roman"/>
          <w:b/>
          <w:color w:val="auto"/>
          <w:sz w:val="28"/>
          <w:szCs w:val="28"/>
          <w:highlight w:val="none"/>
          <w:u w:val="none" w:color="auto"/>
        </w:rPr>
        <w:t>土壤环境</w:t>
      </w:r>
      <w:bookmarkEnd w:id="289"/>
      <w:bookmarkEnd w:id="290"/>
      <w:bookmarkEnd w:id="291"/>
      <w:bookmarkEnd w:id="292"/>
    </w:p>
    <w:p w14:paraId="6A51FE33">
      <w:pPr>
        <w:numPr>
          <w:ilvl w:val="0"/>
          <w:numId w:val="11"/>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评价等级</w:t>
      </w:r>
    </w:p>
    <w:p w14:paraId="76BA4485">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依照《环境影响评价技术导则 土壤环境（试行）》（HJ964-2018）中附录A，</w:t>
      </w:r>
      <w:r>
        <w:rPr>
          <w:rFonts w:hint="eastAsia" w:cs="Times New Roman"/>
          <w:color w:val="auto"/>
          <w:sz w:val="24"/>
          <w:szCs w:val="24"/>
          <w:highlight w:val="none"/>
          <w:u w:val="none" w:color="auto"/>
          <w:lang w:val="en-US" w:eastAsia="zh-CN"/>
        </w:rPr>
        <w:t>本项目为“</w:t>
      </w:r>
      <w:r>
        <w:rPr>
          <w:rFonts w:hint="eastAsia"/>
          <w:color w:val="auto"/>
          <w:sz w:val="24"/>
          <w:szCs w:val="24"/>
          <w:highlight w:val="none"/>
          <w:u w:val="none" w:color="auto"/>
          <w:lang w:val="en-US" w:eastAsia="zh-CN"/>
        </w:rPr>
        <w:t>环境和公共设施管理业</w:t>
      </w:r>
      <w:r>
        <w:rPr>
          <w:rFonts w:hint="eastAsia"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eastAsia="zh-CN"/>
        </w:rPr>
        <w:t>，</w:t>
      </w:r>
      <w:r>
        <w:rPr>
          <w:rFonts w:hint="eastAsia" w:cs="Times New Roman"/>
          <w:color w:val="auto"/>
          <w:sz w:val="24"/>
          <w:szCs w:val="24"/>
          <w:highlight w:val="none"/>
          <w:u w:val="none" w:color="auto"/>
          <w:lang w:val="en-US" w:eastAsia="zh-CN"/>
        </w:rPr>
        <w:t>结合本项目的特点，本项目的清渣工程为改善土壤环境且为Ⅳ类项目，不开展土壤环境评价；填埋区工程（含临时取土场）为导则附录A中的“采取填埋和焚烧方式的一般工业固体废物处置及综合利用”</w:t>
      </w:r>
      <w:r>
        <w:rPr>
          <w:rFonts w:hint="default" w:ascii="Times New Roman" w:hAnsi="Times New Roman" w:cs="Times New Roman"/>
          <w:color w:val="auto"/>
          <w:sz w:val="24"/>
          <w:szCs w:val="24"/>
          <w:highlight w:val="none"/>
          <w:u w:val="none" w:color="auto"/>
        </w:rPr>
        <w:t>，为</w:t>
      </w:r>
      <w:r>
        <w:rPr>
          <w:rFonts w:hint="eastAsia" w:cs="Times New Roman"/>
          <w:color w:val="auto"/>
          <w:sz w:val="24"/>
          <w:szCs w:val="24"/>
          <w:highlight w:val="none"/>
          <w:u w:val="none" w:color="auto"/>
          <w:lang w:eastAsia="zh-CN"/>
        </w:rPr>
        <w:t>Ⅱ类</w:t>
      </w:r>
      <w:r>
        <w:rPr>
          <w:rFonts w:hint="default" w:ascii="Times New Roman" w:hAnsi="Times New Roman" w:cs="Times New Roman"/>
          <w:color w:val="auto"/>
          <w:sz w:val="24"/>
          <w:szCs w:val="24"/>
          <w:highlight w:val="none"/>
          <w:u w:val="none" w:color="auto"/>
        </w:rPr>
        <w:t>建设项目。根据表2.</w:t>
      </w:r>
      <w:r>
        <w:rPr>
          <w:rFonts w:hint="eastAsia" w:cs="Times New Roman"/>
          <w:color w:val="auto"/>
          <w:sz w:val="24"/>
          <w:szCs w:val="24"/>
          <w:highlight w:val="none"/>
          <w:u w:val="none" w:color="auto"/>
          <w:lang w:val="en-US" w:eastAsia="zh-CN"/>
        </w:rPr>
        <w:t>6-1</w:t>
      </w:r>
      <w:r>
        <w:rPr>
          <w:rFonts w:hint="default" w:ascii="Times New Roman" w:hAnsi="Times New Roman" w:cs="Times New Roman"/>
          <w:color w:val="auto"/>
          <w:sz w:val="24"/>
          <w:szCs w:val="24"/>
          <w:highlight w:val="none"/>
          <w:u w:val="none" w:color="auto"/>
        </w:rPr>
        <w:t>及现状调查，项目</w:t>
      </w:r>
      <w:r>
        <w:rPr>
          <w:rFonts w:hint="eastAsia" w:cs="Times New Roman"/>
          <w:color w:val="auto"/>
          <w:sz w:val="24"/>
          <w:szCs w:val="24"/>
          <w:highlight w:val="none"/>
          <w:u w:val="none" w:color="auto"/>
          <w:lang w:val="en-US" w:eastAsia="zh-CN"/>
        </w:rPr>
        <w:t>填埋区工程（含临时取土场）</w:t>
      </w:r>
      <w:r>
        <w:rPr>
          <w:rFonts w:hint="default" w:ascii="Times New Roman" w:hAnsi="Times New Roman" w:cs="Times New Roman"/>
          <w:color w:val="auto"/>
          <w:sz w:val="24"/>
          <w:szCs w:val="24"/>
          <w:highlight w:val="none"/>
          <w:u w:val="none" w:color="auto"/>
        </w:rPr>
        <w:t>附近</w:t>
      </w:r>
      <w:r>
        <w:rPr>
          <w:rFonts w:hint="eastAsia" w:cs="Times New Roman"/>
          <w:color w:val="auto"/>
          <w:sz w:val="24"/>
          <w:szCs w:val="24"/>
          <w:highlight w:val="none"/>
          <w:u w:val="none" w:color="auto"/>
          <w:lang w:val="en-US" w:eastAsia="zh-CN"/>
        </w:rPr>
        <w:t>50m范围内不存在敏感目标</w:t>
      </w:r>
      <w:r>
        <w:rPr>
          <w:rFonts w:hint="eastAsia" w:ascii="Times New Roman" w:hAnsi="Times New Roman" w:cs="Times New Roman"/>
          <w:color w:val="auto"/>
          <w:sz w:val="24"/>
          <w:szCs w:val="24"/>
          <w:highlight w:val="none"/>
          <w:u w:val="none" w:color="auto"/>
          <w:lang w:val="en-US" w:eastAsia="zh-CN"/>
        </w:rPr>
        <w:t>，故敏感程度判别为</w:t>
      </w:r>
      <w:r>
        <w:rPr>
          <w:rFonts w:hint="eastAsia" w:cs="Times New Roman"/>
          <w:color w:val="auto"/>
          <w:sz w:val="24"/>
          <w:szCs w:val="24"/>
          <w:highlight w:val="none"/>
          <w:u w:val="none" w:color="auto"/>
          <w:lang w:val="en-US" w:eastAsia="zh-CN"/>
        </w:rPr>
        <w:t>不</w:t>
      </w:r>
      <w:r>
        <w:rPr>
          <w:rFonts w:hint="eastAsia" w:ascii="Times New Roman" w:hAnsi="Times New Roman" w:cs="Times New Roman"/>
          <w:color w:val="auto"/>
          <w:sz w:val="24"/>
          <w:szCs w:val="24"/>
          <w:highlight w:val="none"/>
          <w:u w:val="none" w:color="auto"/>
          <w:lang w:val="en-US" w:eastAsia="zh-CN"/>
        </w:rPr>
        <w:t>敏感。</w:t>
      </w:r>
      <w:r>
        <w:rPr>
          <w:rFonts w:hint="eastAsia" w:cs="Times New Roman"/>
          <w:color w:val="auto"/>
          <w:sz w:val="24"/>
          <w:szCs w:val="24"/>
          <w:highlight w:val="none"/>
          <w:u w:val="none" w:color="auto"/>
          <w:lang w:val="en-US" w:eastAsia="zh-CN"/>
        </w:rPr>
        <w:t>本项目填埋场、取土场</w:t>
      </w:r>
      <w:r>
        <w:rPr>
          <w:rFonts w:hint="default" w:ascii="Times New Roman" w:hAnsi="Times New Roman" w:cs="Times New Roman"/>
          <w:color w:val="auto"/>
          <w:sz w:val="24"/>
          <w:szCs w:val="24"/>
          <w:highlight w:val="none"/>
          <w:u w:val="none" w:color="auto"/>
        </w:rPr>
        <w:t>占地面积为</w:t>
      </w:r>
      <w:r>
        <w:rPr>
          <w:rFonts w:hint="eastAsia" w:cs="Times New Roman"/>
          <w:b w:val="0"/>
          <w:color w:val="auto"/>
          <w:kern w:val="2"/>
          <w:sz w:val="24"/>
          <w:szCs w:val="24"/>
          <w:highlight w:val="none"/>
          <w:u w:val="none" w:color="auto"/>
          <w:lang w:val="en-US" w:eastAsia="zh-CN" w:bidi="ar-SA"/>
        </w:rPr>
        <w:t>8762.59</w:t>
      </w:r>
      <w:r>
        <w:rPr>
          <w:rFonts w:hint="default" w:ascii="Times New Roman" w:hAnsi="Times New Roman" w:eastAsia="宋体" w:cs="Times New Roman"/>
          <w:b w:val="0"/>
          <w:color w:val="auto"/>
          <w:kern w:val="2"/>
          <w:sz w:val="24"/>
          <w:szCs w:val="24"/>
          <w:highlight w:val="none"/>
          <w:u w:val="none" w:color="auto"/>
          <w:lang w:val="en-US" w:eastAsia="zh-CN" w:bidi="ar-SA"/>
        </w:rPr>
        <w:t>m</w:t>
      </w:r>
      <w:r>
        <w:rPr>
          <w:rFonts w:hint="default" w:ascii="Times New Roman" w:hAnsi="Times New Roman" w:eastAsia="宋体" w:cs="Times New Roman"/>
          <w:b w:val="0"/>
          <w:color w:val="auto"/>
          <w:kern w:val="2"/>
          <w:sz w:val="24"/>
          <w:szCs w:val="24"/>
          <w:highlight w:val="none"/>
          <w:u w:val="none" w:color="auto"/>
          <w:vertAlign w:val="superscript"/>
          <w:lang w:val="en-US" w:eastAsia="zh-CN" w:bidi="ar-SA"/>
        </w:rPr>
        <w:t>2</w:t>
      </w:r>
      <w:r>
        <w:rPr>
          <w:rFonts w:hint="default" w:ascii="Times New Roman" w:hAnsi="Times New Roman" w:eastAsia="宋体" w:cs="Times New Roman"/>
          <w:b w:val="0"/>
          <w:color w:val="auto"/>
          <w:kern w:val="2"/>
          <w:sz w:val="24"/>
          <w:szCs w:val="24"/>
          <w:highlight w:val="none"/>
          <w:u w:val="none" w:color="auto"/>
          <w:lang w:val="en-US" w:eastAsia="zh-CN" w:bidi="ar-SA"/>
        </w:rPr>
        <w:t>，</w:t>
      </w:r>
      <w:r>
        <w:rPr>
          <w:rFonts w:hint="default" w:ascii="Times New Roman" w:hAnsi="Times New Roman" w:cs="Times New Roman"/>
          <w:color w:val="auto"/>
          <w:sz w:val="24"/>
          <w:szCs w:val="24"/>
          <w:highlight w:val="none"/>
          <w:u w:val="none" w:color="auto"/>
        </w:rPr>
        <w:t>属于小型项目（≤5hm</w:t>
      </w:r>
      <w:r>
        <w:rPr>
          <w:rFonts w:hint="default" w:ascii="Times New Roman" w:hAnsi="Times New Roman" w:cs="Times New Roman"/>
          <w:color w:val="auto"/>
          <w:sz w:val="24"/>
          <w:szCs w:val="24"/>
          <w:highlight w:val="none"/>
          <w:u w:val="none" w:color="auto"/>
          <w:vertAlign w:val="superscript"/>
        </w:rPr>
        <w:t>2</w:t>
      </w:r>
      <w:r>
        <w:rPr>
          <w:rFonts w:hint="default" w:ascii="Times New Roman" w:hAnsi="Times New Roman" w:cs="Times New Roman"/>
          <w:color w:val="auto"/>
          <w:sz w:val="24"/>
          <w:szCs w:val="24"/>
          <w:highlight w:val="none"/>
          <w:u w:val="none" w:color="auto"/>
        </w:rPr>
        <w:t>）。根据表2.5-</w:t>
      </w:r>
      <w:r>
        <w:rPr>
          <w:rFonts w:hint="eastAsia" w:cs="Times New Roman"/>
          <w:color w:val="auto"/>
          <w:sz w:val="24"/>
          <w:szCs w:val="24"/>
          <w:highlight w:val="none"/>
          <w:u w:val="none" w:color="auto"/>
          <w:lang w:val="en-US" w:eastAsia="zh-CN"/>
        </w:rPr>
        <w:t>7</w:t>
      </w:r>
      <w:r>
        <w:rPr>
          <w:rFonts w:hint="default" w:ascii="Times New Roman" w:hAnsi="Times New Roman" w:cs="Times New Roman"/>
          <w:color w:val="auto"/>
          <w:sz w:val="24"/>
          <w:szCs w:val="24"/>
          <w:highlight w:val="none"/>
          <w:u w:val="none" w:color="auto"/>
        </w:rPr>
        <w:t>判断</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土壤</w:t>
      </w:r>
      <w:r>
        <w:rPr>
          <w:rFonts w:hint="eastAsia" w:cs="Times New Roman"/>
          <w:color w:val="auto"/>
          <w:sz w:val="24"/>
          <w:szCs w:val="24"/>
          <w:highlight w:val="none"/>
          <w:u w:val="none" w:color="auto"/>
          <w:lang w:eastAsia="zh-CN"/>
        </w:rPr>
        <w:t>环境影响评价</w:t>
      </w:r>
      <w:r>
        <w:rPr>
          <w:rFonts w:hint="default" w:ascii="Times New Roman" w:hAnsi="Times New Roman" w:cs="Times New Roman"/>
          <w:color w:val="auto"/>
          <w:sz w:val="24"/>
          <w:szCs w:val="24"/>
          <w:highlight w:val="none"/>
          <w:u w:val="none" w:color="auto"/>
        </w:rPr>
        <w:t>等级为</w:t>
      </w:r>
      <w:r>
        <w:rPr>
          <w:rFonts w:hint="eastAsia" w:cs="Times New Roman"/>
          <w:color w:val="auto"/>
          <w:sz w:val="24"/>
          <w:szCs w:val="24"/>
          <w:highlight w:val="none"/>
          <w:u w:val="none" w:color="auto"/>
          <w:lang w:val="en-US" w:eastAsia="zh-CN"/>
        </w:rPr>
        <w:t>三</w:t>
      </w:r>
      <w:r>
        <w:rPr>
          <w:rFonts w:hint="default" w:ascii="Times New Roman" w:hAnsi="Times New Roman" w:cs="Times New Roman"/>
          <w:color w:val="auto"/>
          <w:sz w:val="24"/>
          <w:szCs w:val="24"/>
          <w:highlight w:val="none"/>
          <w:u w:val="none" w:color="auto"/>
        </w:rPr>
        <w:t>级。</w:t>
      </w:r>
    </w:p>
    <w:p w14:paraId="1F9C1C0F">
      <w:pPr>
        <w:topLinePunct w:val="0"/>
        <w:spacing w:line="240" w:lineRule="atLeast"/>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表2.5-</w:t>
      </w:r>
      <w:r>
        <w:rPr>
          <w:rFonts w:hint="eastAsia" w:cs="Times New Roman"/>
          <w:b/>
          <w:bCs/>
          <w:color w:val="auto"/>
          <w:sz w:val="21"/>
          <w:szCs w:val="21"/>
          <w:highlight w:val="none"/>
          <w:u w:val="none" w:color="auto"/>
          <w:lang w:val="en-US" w:eastAsia="zh-CN"/>
        </w:rPr>
        <w:t>6</w:t>
      </w:r>
      <w:r>
        <w:rPr>
          <w:rFonts w:hint="default" w:ascii="Times New Roman" w:hAnsi="Times New Roman" w:cs="Times New Roman"/>
          <w:b/>
          <w:bCs/>
          <w:color w:val="auto"/>
          <w:sz w:val="21"/>
          <w:szCs w:val="21"/>
          <w:highlight w:val="none"/>
          <w:u w:val="none" w:color="auto"/>
        </w:rPr>
        <w:t xml:space="preserve">  污染影响型敏感程度分级表</w:t>
      </w:r>
    </w:p>
    <w:tbl>
      <w:tblPr>
        <w:tblStyle w:val="4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13" w:type="dxa"/>
          <w:bottom w:w="0" w:type="dxa"/>
          <w:right w:w="113" w:type="dxa"/>
        </w:tblCellMar>
      </w:tblPr>
      <w:tblGrid>
        <w:gridCol w:w="1294"/>
        <w:gridCol w:w="8004"/>
      </w:tblGrid>
      <w:tr w14:paraId="20A260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1147" w:type="dxa"/>
            <w:noWrap w:val="0"/>
            <w:vAlign w:val="center"/>
          </w:tcPr>
          <w:p w14:paraId="76606E99">
            <w:pPr>
              <w:pStyle w:val="114"/>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敏感程度</w:t>
            </w:r>
          </w:p>
        </w:tc>
        <w:tc>
          <w:tcPr>
            <w:tcW w:w="7096" w:type="dxa"/>
            <w:noWrap w:val="0"/>
            <w:vAlign w:val="center"/>
          </w:tcPr>
          <w:p w14:paraId="71F165B6">
            <w:pPr>
              <w:pStyle w:val="114"/>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判别依据</w:t>
            </w:r>
          </w:p>
        </w:tc>
      </w:tr>
      <w:tr w14:paraId="4EA1D6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544" w:hRule="atLeast"/>
          <w:jc w:val="center"/>
        </w:trPr>
        <w:tc>
          <w:tcPr>
            <w:tcW w:w="1147" w:type="dxa"/>
            <w:noWrap w:val="0"/>
            <w:vAlign w:val="center"/>
          </w:tcPr>
          <w:p w14:paraId="0571FA4B">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敏感</w:t>
            </w:r>
          </w:p>
        </w:tc>
        <w:tc>
          <w:tcPr>
            <w:tcW w:w="7096" w:type="dxa"/>
            <w:noWrap w:val="0"/>
            <w:vAlign w:val="center"/>
          </w:tcPr>
          <w:p w14:paraId="47D56E7C">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建设项目周边存在耕地、园地、牧草地、饮用水水源地或居民区、学校、医院、疗养院、养老院等土壤环境敏感目标的</w:t>
            </w:r>
          </w:p>
        </w:tc>
      </w:tr>
      <w:tr w14:paraId="5C5373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1147" w:type="dxa"/>
            <w:noWrap w:val="0"/>
            <w:vAlign w:val="center"/>
          </w:tcPr>
          <w:p w14:paraId="24466C04">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较敏感</w:t>
            </w:r>
          </w:p>
        </w:tc>
        <w:tc>
          <w:tcPr>
            <w:tcW w:w="7096" w:type="dxa"/>
            <w:noWrap w:val="0"/>
            <w:vAlign w:val="center"/>
          </w:tcPr>
          <w:p w14:paraId="51BF3F79">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建设项目周边存在其他土壤环境敏感目标的</w:t>
            </w:r>
          </w:p>
        </w:tc>
      </w:tr>
      <w:tr w14:paraId="2E639A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1147" w:type="dxa"/>
            <w:noWrap w:val="0"/>
            <w:vAlign w:val="center"/>
          </w:tcPr>
          <w:p w14:paraId="56D48046">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不敏感</w:t>
            </w:r>
          </w:p>
        </w:tc>
        <w:tc>
          <w:tcPr>
            <w:tcW w:w="7096" w:type="dxa"/>
            <w:noWrap w:val="0"/>
            <w:vAlign w:val="center"/>
          </w:tcPr>
          <w:p w14:paraId="1F1E616A">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其他情况</w:t>
            </w:r>
          </w:p>
        </w:tc>
      </w:tr>
    </w:tbl>
    <w:p w14:paraId="5264CD39">
      <w:pPr>
        <w:topLinePunct w:val="0"/>
        <w:spacing w:line="240" w:lineRule="atLeast"/>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表2.5-</w:t>
      </w:r>
      <w:r>
        <w:rPr>
          <w:rFonts w:hint="eastAsia" w:cs="Times New Roman"/>
          <w:b/>
          <w:bCs/>
          <w:color w:val="auto"/>
          <w:sz w:val="21"/>
          <w:szCs w:val="21"/>
          <w:highlight w:val="none"/>
          <w:u w:val="none" w:color="auto"/>
          <w:lang w:val="en-US" w:eastAsia="zh-CN"/>
        </w:rPr>
        <w:t xml:space="preserve">7 </w:t>
      </w:r>
      <w:r>
        <w:rPr>
          <w:rFonts w:hint="default" w:ascii="Times New Roman" w:hAnsi="Times New Roman" w:cs="Times New Roman"/>
          <w:b/>
          <w:bCs/>
          <w:color w:val="auto"/>
          <w:sz w:val="21"/>
          <w:szCs w:val="21"/>
          <w:highlight w:val="none"/>
          <w:u w:val="none" w:color="auto"/>
        </w:rPr>
        <w:t xml:space="preserve"> 污染影响型评价工作等级划分表</w:t>
      </w:r>
    </w:p>
    <w:tbl>
      <w:tblPr>
        <w:tblStyle w:val="46"/>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28" w:type="dxa"/>
          <w:left w:w="57" w:type="dxa"/>
          <w:bottom w:w="28" w:type="dxa"/>
          <w:right w:w="57" w:type="dxa"/>
        </w:tblCellMar>
      </w:tblPr>
      <w:tblGrid>
        <w:gridCol w:w="2293"/>
        <w:gridCol w:w="760"/>
        <w:gridCol w:w="762"/>
        <w:gridCol w:w="771"/>
        <w:gridCol w:w="762"/>
        <w:gridCol w:w="799"/>
        <w:gridCol w:w="769"/>
        <w:gridCol w:w="762"/>
        <w:gridCol w:w="760"/>
        <w:gridCol w:w="742"/>
      </w:tblGrid>
      <w:tr w14:paraId="00DC0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90" w:hRule="atLeast"/>
          <w:jc w:val="center"/>
        </w:trPr>
        <w:tc>
          <w:tcPr>
            <w:tcW w:w="1249" w:type="pct"/>
            <w:vMerge w:val="restart"/>
            <w:tcBorders>
              <w:top w:val="single" w:color="auto" w:sz="12" w:space="0"/>
              <w:left w:val="single" w:color="auto" w:sz="12" w:space="0"/>
              <w:bottom w:val="single" w:color="auto" w:sz="6" w:space="0"/>
              <w:right w:val="single" w:color="auto" w:sz="6" w:space="0"/>
            </w:tcBorders>
            <w:noWrap w:val="0"/>
            <w:vAlign w:val="center"/>
          </w:tcPr>
          <w:p w14:paraId="30847CCD">
            <w:pPr>
              <w:spacing w:line="240" w:lineRule="auto"/>
              <w:ind w:firstLine="0" w:firstLineChars="0"/>
              <w:jc w:val="right"/>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mc:AlternateContent>
                <mc:Choice Requires="wps">
                  <w:drawing>
                    <wp:anchor distT="0" distB="0" distL="114300" distR="114300" simplePos="0" relativeHeight="251663360" behindDoc="0" locked="0" layoutInCell="1" allowOverlap="1">
                      <wp:simplePos x="0" y="0"/>
                      <wp:positionH relativeFrom="column">
                        <wp:posOffset>478790</wp:posOffset>
                      </wp:positionH>
                      <wp:positionV relativeFrom="paragraph">
                        <wp:posOffset>-13970</wp:posOffset>
                      </wp:positionV>
                      <wp:extent cx="895350" cy="642620"/>
                      <wp:effectExtent l="2540" t="3810" r="16510" b="20320"/>
                      <wp:wrapNone/>
                      <wp:docPr id="8" name="直接连接符 8"/>
                      <wp:cNvGraphicFramePr/>
                      <a:graphic xmlns:a="http://schemas.openxmlformats.org/drawingml/2006/main">
                        <a:graphicData uri="http://schemas.microsoft.com/office/word/2010/wordprocessingShape">
                          <wps:wsp>
                            <wps:cNvCnPr/>
                            <wps:spPr>
                              <a:xfrm>
                                <a:off x="0" y="0"/>
                                <a:ext cx="895350" cy="64262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7.7pt;margin-top:-1.1pt;height:50.6pt;width:70.5pt;z-index:251663360;mso-width-relative:page;mso-height-relative:page;" filled="f" stroked="t" coordsize="21600,21600" o:gfxdata="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b0z8LXAAAACAEAAA8AAAAAAAAAAQAgAAAAIgAAAGRycy9kb3ducmV2Lnht&#10;bFBLAQIUABQAAAAIAIdO4kAcJiCD+gEAAOgDAAAOAAAAAAAAAAEAIAAAACYBAABkcnMvZTJvRG9j&#10;LnhtbFBLBQYAAAAABgAGAFkBAACSBQAAAAA=&#10;">
                      <v:fill on="f" focussize="0,0"/>
                      <v:stroke color="#000000" joinstyle="round"/>
                      <v:imagedata o:title=""/>
                      <o:lock v:ext="edit" aspectratio="f"/>
                    </v:line>
                  </w:pict>
                </mc:Fallback>
              </mc:AlternateContent>
            </w:r>
            <w:r>
              <w:rPr>
                <w:rFonts w:hint="default" w:ascii="Times New Roman" w:hAnsi="Times New Roman" w:eastAsia="宋体" w:cs="Times New Roman"/>
                <w:b/>
                <w:bCs/>
                <w:color w:val="auto"/>
                <w:sz w:val="21"/>
                <w:szCs w:val="21"/>
                <w:highlight w:val="none"/>
                <w:u w:val="none" w:color="auto"/>
              </w:rPr>
              <mc:AlternateContent>
                <mc:Choice Requires="wps">
                  <w:drawing>
                    <wp:anchor distT="0" distB="0" distL="114300" distR="114300" simplePos="0" relativeHeight="251662336" behindDoc="0" locked="0" layoutInCell="1" allowOverlap="1">
                      <wp:simplePos x="0" y="0"/>
                      <wp:positionH relativeFrom="column">
                        <wp:posOffset>488315</wp:posOffset>
                      </wp:positionH>
                      <wp:positionV relativeFrom="paragraph">
                        <wp:posOffset>-5715</wp:posOffset>
                      </wp:positionV>
                      <wp:extent cx="800100" cy="594360"/>
                      <wp:effectExtent l="0" t="0" r="0" b="0"/>
                      <wp:wrapNone/>
                      <wp:docPr id="10" name="直接连接符 10"/>
                      <wp:cNvGraphicFramePr/>
                      <a:graphic xmlns:a="http://schemas.openxmlformats.org/drawingml/2006/main">
                        <a:graphicData uri="http://schemas.microsoft.com/office/word/2010/wordprocessingShape">
                          <wps:wsp>
                            <wps:cNvCnPr/>
                            <wps:spPr>
                              <a:xfrm>
                                <a:off x="0" y="0"/>
                                <a:ext cx="800100" cy="594360"/>
                              </a:xfrm>
                              <a:prstGeom prst="line">
                                <a:avLst/>
                              </a:prstGeom>
                              <a:ln>
                                <a:noFill/>
                              </a:ln>
                            </wps:spPr>
                            <wps:bodyPr upright="1"/>
                          </wps:wsp>
                        </a:graphicData>
                      </a:graphic>
                    </wp:anchor>
                  </w:drawing>
                </mc:Choice>
                <mc:Fallback>
                  <w:pict>
                    <v:line id="_x0000_s1026" o:spid="_x0000_s1026" o:spt="20" style="position:absolute;left:0pt;margin-left:38.45pt;margin-top:-0.45pt;height:46.8pt;width:63pt;z-index:251662336;mso-width-relative:page;mso-height-relative:page;" filled="f" stroked="f" coordsize="21600,21600" o:gfxdata="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muW4KNcAAAAHAQAADwAA&#10;AAAAAAABACAAAAAiAAAAZHJzL2Rvd25yZXYueG1sUEsBAhQAFAAAAAgAh07iQEyvZ42lAQAANQMA&#10;AA4AAAAAAAAAAQAgAAAAJgEAAGRycy9lMm9Eb2MueG1sUEsFBgAAAAAGAAYAWQEAAD0FAAAAAA==&#10;">
                      <v:fill on="f" focussize="0,0"/>
                      <v:stroke on="f"/>
                      <v:imagedata o:title=""/>
                      <o:lock v:ext="edit" aspectratio="f"/>
                    </v:line>
                  </w:pict>
                </mc:Fallback>
              </mc:AlternateContent>
            </w:r>
            <w:r>
              <w:rPr>
                <w:rFonts w:hint="default" w:ascii="Times New Roman" w:hAnsi="Times New Roman" w:eastAsia="宋体" w:cs="Times New Roman"/>
                <w:b/>
                <w:bCs/>
                <w:color w:val="auto"/>
                <w:sz w:val="21"/>
                <w:szCs w:val="21"/>
                <w:highlight w:val="none"/>
                <w:u w:val="none" w:color="auto"/>
              </w:rPr>
              <mc:AlternateContent>
                <mc:Choice Requires="wps">
                  <w:drawing>
                    <wp:anchor distT="0" distB="0" distL="114300" distR="114300" simplePos="0" relativeHeight="251661312" behindDoc="0" locked="0" layoutInCell="1" allowOverlap="1">
                      <wp:simplePos x="0" y="0"/>
                      <wp:positionH relativeFrom="column">
                        <wp:posOffset>259715</wp:posOffset>
                      </wp:positionH>
                      <wp:positionV relativeFrom="paragraph">
                        <wp:posOffset>-8255</wp:posOffset>
                      </wp:positionV>
                      <wp:extent cx="1024890" cy="585470"/>
                      <wp:effectExtent l="0" t="0" r="0" b="0"/>
                      <wp:wrapNone/>
                      <wp:docPr id="12" name="直接连接符 12"/>
                      <wp:cNvGraphicFramePr/>
                      <a:graphic xmlns:a="http://schemas.openxmlformats.org/drawingml/2006/main">
                        <a:graphicData uri="http://schemas.microsoft.com/office/word/2010/wordprocessingShape">
                          <wps:wsp>
                            <wps:cNvCnPr/>
                            <wps:spPr>
                              <a:xfrm>
                                <a:off x="0" y="0"/>
                                <a:ext cx="1024890" cy="585470"/>
                              </a:xfrm>
                              <a:prstGeom prst="line">
                                <a:avLst/>
                              </a:prstGeom>
                              <a:ln>
                                <a:noFill/>
                              </a:ln>
                            </wps:spPr>
                            <wps:bodyPr upright="1"/>
                          </wps:wsp>
                        </a:graphicData>
                      </a:graphic>
                    </wp:anchor>
                  </w:drawing>
                </mc:Choice>
                <mc:Fallback>
                  <w:pict>
                    <v:line id="_x0000_s1026" o:spid="_x0000_s1026" o:spt="20" style="position:absolute;left:0pt;margin-left:20.45pt;margin-top:-0.65pt;height:46.1pt;width:80.7pt;z-index:251661312;mso-width-relative:page;mso-height-relative:page;" filled="f" stroked="f" coordsize="21600,21600" o:gfxdata="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OJFME7XAAAACAEA&#10;AA8AAAAAAAAAAQAgAAAAIgAAAGRycy9kb3ducmV2LnhtbFBLAQIUABQAAAAIAIdO4kBXB93IqQEA&#10;ADYDAAAOAAAAAAAAAAEAIAAAACYBAABkcnMvZTJvRG9jLnhtbFBLBQYAAAAABgAGAFkBAABBBQAA&#10;AAA=&#10;">
                      <v:fill on="f" focussize="0,0"/>
                      <v:stroke on="f"/>
                      <v:imagedata o:title=""/>
                      <o:lock v:ext="edit" aspectratio="f"/>
                    </v:line>
                  </w:pict>
                </mc:Fallback>
              </mc:AlternateContent>
            </w:r>
            <w:r>
              <w:rPr>
                <w:rFonts w:hint="default" w:ascii="Times New Roman" w:hAnsi="Times New Roman" w:eastAsia="宋体" w:cs="Times New Roman"/>
                <w:b/>
                <w:bCs/>
                <w:color w:val="auto"/>
                <w:sz w:val="21"/>
                <w:szCs w:val="21"/>
                <w:highlight w:val="none"/>
                <w:u w:val="none" w:color="auto"/>
              </w:rPr>
              <w:t>占地规模</w:t>
            </w:r>
          </w:p>
          <w:p w14:paraId="6D5C0892">
            <w:pPr>
              <w:spacing w:line="240" w:lineRule="auto"/>
              <w:ind w:firstLine="0" w:firstLineChars="0"/>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mc:AlternateContent>
                <mc:Choice Requires="wps">
                  <w:drawing>
                    <wp:anchor distT="0" distB="0" distL="114300" distR="114300" simplePos="0" relativeHeight="251664384" behindDoc="0" locked="0" layoutInCell="1" allowOverlap="1">
                      <wp:simplePos x="0" y="0"/>
                      <wp:positionH relativeFrom="column">
                        <wp:posOffset>-26035</wp:posOffset>
                      </wp:positionH>
                      <wp:positionV relativeFrom="paragraph">
                        <wp:posOffset>105410</wp:posOffset>
                      </wp:positionV>
                      <wp:extent cx="1443990" cy="332105"/>
                      <wp:effectExtent l="1270" t="4445" r="2540" b="6350"/>
                      <wp:wrapNone/>
                      <wp:docPr id="2" name="直接连接符 2"/>
                      <wp:cNvGraphicFramePr/>
                      <a:graphic xmlns:a="http://schemas.openxmlformats.org/drawingml/2006/main">
                        <a:graphicData uri="http://schemas.microsoft.com/office/word/2010/wordprocessingShape">
                          <wps:wsp>
                            <wps:cNvCnPr/>
                            <wps:spPr>
                              <a:xfrm>
                                <a:off x="0" y="0"/>
                                <a:ext cx="1443990" cy="33210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05pt;margin-top:8.3pt;height:26.15pt;width:113.7pt;z-index:251664384;mso-width-relative:page;mso-height-relative:page;" filled="f" stroked="t" coordsize="21600,21600" o:gfxdata="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NrVfTdcAAAAIAQAADwAAAAAAAAABACAAAAAiAAAAZHJzL2Rvd25yZXYueG1s&#10;UEsBAhQAFAAAAAgAh07iQM5Tt0b5AQAA6QMAAA4AAAAAAAAAAQAgAAAAJgEAAGRycy9lMm9Eb2Mu&#10;eG1sUEsFBgAAAAAGAAYAWQEAAJEFAAAAAA==&#10;">
                      <v:fill on="f" focussize="0,0"/>
                      <v:stroke color="#000000" joinstyle="round"/>
                      <v:imagedata o:title=""/>
                      <o:lock v:ext="edit" aspectratio="f"/>
                    </v:line>
                  </w:pict>
                </mc:Fallback>
              </mc:AlternateContent>
            </w:r>
            <w:r>
              <w:rPr>
                <w:rFonts w:hint="default" w:ascii="Times New Roman" w:hAnsi="Times New Roman" w:eastAsia="宋体" w:cs="Times New Roman"/>
                <w:b/>
                <w:bCs/>
                <w:color w:val="auto"/>
                <w:sz w:val="21"/>
                <w:szCs w:val="21"/>
                <w:highlight w:val="none"/>
                <w:u w:val="none" w:color="auto"/>
              </w:rPr>
              <w:t>评价工作等级</w:t>
            </w:r>
          </w:p>
          <w:p w14:paraId="3728B4D3">
            <w:pPr>
              <w:spacing w:line="240" w:lineRule="auto"/>
              <w:ind w:firstLine="0" w:firstLineChars="0"/>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敏感程度</w:t>
            </w:r>
          </w:p>
        </w:tc>
        <w:tc>
          <w:tcPr>
            <w:tcW w:w="1249" w:type="pct"/>
            <w:gridSpan w:val="3"/>
            <w:tcBorders>
              <w:top w:val="single" w:color="auto" w:sz="12" w:space="0"/>
              <w:left w:val="single" w:color="auto" w:sz="6" w:space="0"/>
              <w:bottom w:val="single" w:color="auto" w:sz="6" w:space="0"/>
              <w:right w:val="single" w:color="auto" w:sz="6" w:space="0"/>
            </w:tcBorders>
            <w:noWrap w:val="0"/>
            <w:vAlign w:val="center"/>
          </w:tcPr>
          <w:p w14:paraId="5B97986C">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Ⅰ</w:t>
            </w:r>
            <w:r>
              <w:rPr>
                <w:rFonts w:hint="default" w:ascii="Times New Roman" w:hAnsi="Times New Roman" w:eastAsia="宋体" w:cs="Times New Roman"/>
                <w:color w:val="auto"/>
                <w:sz w:val="21"/>
                <w:szCs w:val="21"/>
                <w:highlight w:val="none"/>
                <w:u w:val="none" w:color="auto"/>
              </w:rPr>
              <w:t>类</w:t>
            </w:r>
          </w:p>
        </w:tc>
        <w:tc>
          <w:tcPr>
            <w:tcW w:w="1269" w:type="pct"/>
            <w:gridSpan w:val="3"/>
            <w:tcBorders>
              <w:top w:val="single" w:color="auto" w:sz="12" w:space="0"/>
              <w:left w:val="single" w:color="auto" w:sz="6" w:space="0"/>
              <w:bottom w:val="single" w:color="auto" w:sz="6" w:space="0"/>
              <w:right w:val="single" w:color="auto" w:sz="6" w:space="0"/>
            </w:tcBorders>
            <w:noWrap w:val="0"/>
            <w:vAlign w:val="center"/>
          </w:tcPr>
          <w:p w14:paraId="2CB05D05">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Ⅱ</w:t>
            </w:r>
            <w:r>
              <w:rPr>
                <w:rFonts w:hint="default" w:ascii="Times New Roman" w:hAnsi="Times New Roman" w:eastAsia="宋体" w:cs="Times New Roman"/>
                <w:color w:val="auto"/>
                <w:sz w:val="21"/>
                <w:szCs w:val="21"/>
                <w:highlight w:val="none"/>
                <w:u w:val="none" w:color="auto"/>
              </w:rPr>
              <w:t>类</w:t>
            </w:r>
          </w:p>
        </w:tc>
        <w:tc>
          <w:tcPr>
            <w:tcW w:w="1231" w:type="pct"/>
            <w:gridSpan w:val="3"/>
            <w:tcBorders>
              <w:top w:val="single" w:color="auto" w:sz="12" w:space="0"/>
              <w:left w:val="single" w:color="auto" w:sz="6" w:space="0"/>
              <w:bottom w:val="single" w:color="auto" w:sz="6" w:space="0"/>
              <w:right w:val="single" w:color="auto" w:sz="12" w:space="0"/>
            </w:tcBorders>
            <w:noWrap w:val="0"/>
            <w:vAlign w:val="center"/>
          </w:tcPr>
          <w:p w14:paraId="7EFA3803">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Ⅲ</w:t>
            </w:r>
            <w:r>
              <w:rPr>
                <w:rFonts w:hint="default" w:ascii="Times New Roman" w:hAnsi="Times New Roman" w:eastAsia="宋体" w:cs="Times New Roman"/>
                <w:color w:val="auto"/>
                <w:sz w:val="21"/>
                <w:szCs w:val="21"/>
                <w:highlight w:val="none"/>
                <w:u w:val="none" w:color="auto"/>
              </w:rPr>
              <w:t>类</w:t>
            </w:r>
          </w:p>
        </w:tc>
      </w:tr>
      <w:tr w14:paraId="0871BE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516" w:hRule="atLeast"/>
          <w:jc w:val="center"/>
        </w:trPr>
        <w:tc>
          <w:tcPr>
            <w:tcW w:w="1249" w:type="pct"/>
            <w:vMerge w:val="continue"/>
            <w:tcBorders>
              <w:top w:val="single" w:color="auto" w:sz="12" w:space="0"/>
              <w:left w:val="single" w:color="auto" w:sz="12" w:space="0"/>
              <w:bottom w:val="single" w:color="auto" w:sz="6" w:space="0"/>
              <w:right w:val="single" w:color="auto" w:sz="6" w:space="0"/>
            </w:tcBorders>
            <w:noWrap w:val="0"/>
            <w:vAlign w:val="center"/>
          </w:tcPr>
          <w:p w14:paraId="4E567EA6">
            <w:pPr>
              <w:widowControl/>
              <w:spacing w:line="240" w:lineRule="auto"/>
              <w:ind w:firstLine="0" w:firstLineChars="0"/>
              <w:jc w:val="left"/>
              <w:rPr>
                <w:rFonts w:hint="default" w:ascii="Times New Roman" w:hAnsi="Times New Roman" w:eastAsia="宋体" w:cs="Times New Roman"/>
                <w:b/>
                <w:bCs/>
                <w:color w:val="auto"/>
                <w:sz w:val="21"/>
                <w:szCs w:val="21"/>
                <w:highlight w:val="none"/>
                <w:u w:val="none" w:color="auto"/>
              </w:rPr>
            </w:pPr>
          </w:p>
        </w:tc>
        <w:tc>
          <w:tcPr>
            <w:tcW w:w="414" w:type="pct"/>
            <w:tcBorders>
              <w:top w:val="single" w:color="auto" w:sz="6" w:space="0"/>
              <w:left w:val="single" w:color="auto" w:sz="6" w:space="0"/>
              <w:bottom w:val="single" w:color="auto" w:sz="6" w:space="0"/>
              <w:right w:val="single" w:color="auto" w:sz="6" w:space="0"/>
            </w:tcBorders>
            <w:noWrap w:val="0"/>
            <w:vAlign w:val="center"/>
          </w:tcPr>
          <w:p w14:paraId="50962B84">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FECF36E">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中</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7DE8B811">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小</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ADF9217">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大</w:t>
            </w:r>
          </w:p>
        </w:tc>
        <w:tc>
          <w:tcPr>
            <w:tcW w:w="435" w:type="pct"/>
            <w:tcBorders>
              <w:top w:val="single" w:color="auto" w:sz="6" w:space="0"/>
              <w:left w:val="single" w:color="auto" w:sz="6" w:space="0"/>
              <w:bottom w:val="single" w:color="auto" w:sz="6" w:space="0"/>
              <w:right w:val="single" w:color="auto" w:sz="6" w:space="0"/>
            </w:tcBorders>
            <w:noWrap w:val="0"/>
            <w:vAlign w:val="center"/>
          </w:tcPr>
          <w:p w14:paraId="431931DB">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中</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2F13A0CE">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小</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5B29B1A">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大</w:t>
            </w:r>
          </w:p>
        </w:tc>
        <w:tc>
          <w:tcPr>
            <w:tcW w:w="414" w:type="pct"/>
            <w:tcBorders>
              <w:top w:val="single" w:color="auto" w:sz="6" w:space="0"/>
              <w:left w:val="single" w:color="auto" w:sz="6" w:space="0"/>
              <w:bottom w:val="single" w:color="auto" w:sz="6" w:space="0"/>
              <w:right w:val="single" w:color="auto" w:sz="6" w:space="0"/>
            </w:tcBorders>
            <w:noWrap w:val="0"/>
            <w:vAlign w:val="center"/>
          </w:tcPr>
          <w:p w14:paraId="0CAE11A5">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中</w:t>
            </w:r>
          </w:p>
        </w:tc>
        <w:tc>
          <w:tcPr>
            <w:tcW w:w="400" w:type="pct"/>
            <w:tcBorders>
              <w:top w:val="single" w:color="auto" w:sz="6" w:space="0"/>
              <w:left w:val="single" w:color="auto" w:sz="6" w:space="0"/>
              <w:bottom w:val="single" w:color="auto" w:sz="6" w:space="0"/>
              <w:right w:val="single" w:color="auto" w:sz="12" w:space="0"/>
            </w:tcBorders>
            <w:noWrap w:val="0"/>
            <w:vAlign w:val="center"/>
          </w:tcPr>
          <w:p w14:paraId="61E8620A">
            <w:pPr>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小</w:t>
            </w:r>
          </w:p>
        </w:tc>
      </w:tr>
      <w:tr w14:paraId="79A40C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369" w:hRule="atLeast"/>
          <w:jc w:val="center"/>
        </w:trPr>
        <w:tc>
          <w:tcPr>
            <w:tcW w:w="1249" w:type="pct"/>
            <w:tcBorders>
              <w:top w:val="single" w:color="auto" w:sz="6" w:space="0"/>
              <w:left w:val="single" w:color="auto" w:sz="12" w:space="0"/>
              <w:bottom w:val="single" w:color="auto" w:sz="6" w:space="0"/>
              <w:right w:val="single" w:color="auto" w:sz="6" w:space="0"/>
            </w:tcBorders>
            <w:noWrap w:val="0"/>
            <w:vAlign w:val="center"/>
          </w:tcPr>
          <w:p w14:paraId="0F19BEF1">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敏感</w:t>
            </w:r>
          </w:p>
        </w:tc>
        <w:tc>
          <w:tcPr>
            <w:tcW w:w="760" w:type="dxa"/>
            <w:tcBorders>
              <w:top w:val="single" w:color="auto" w:sz="6" w:space="0"/>
              <w:left w:val="single" w:color="auto" w:sz="6" w:space="0"/>
              <w:bottom w:val="single" w:color="auto" w:sz="6" w:space="0"/>
              <w:right w:val="single" w:color="auto" w:sz="6" w:space="0"/>
            </w:tcBorders>
            <w:noWrap w:val="0"/>
            <w:vAlign w:val="center"/>
          </w:tcPr>
          <w:p w14:paraId="3CF14843">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一级</w:t>
            </w:r>
          </w:p>
        </w:tc>
        <w:tc>
          <w:tcPr>
            <w:tcW w:w="762" w:type="dxa"/>
            <w:tcBorders>
              <w:top w:val="single" w:color="auto" w:sz="6" w:space="0"/>
              <w:left w:val="single" w:color="auto" w:sz="6" w:space="0"/>
              <w:bottom w:val="single" w:color="auto" w:sz="6" w:space="0"/>
              <w:right w:val="single" w:color="auto" w:sz="6" w:space="0"/>
            </w:tcBorders>
            <w:noWrap w:val="0"/>
            <w:vAlign w:val="center"/>
          </w:tcPr>
          <w:p w14:paraId="6E63C332">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一级</w:t>
            </w:r>
          </w:p>
        </w:tc>
        <w:tc>
          <w:tcPr>
            <w:tcW w:w="771" w:type="dxa"/>
            <w:tcBorders>
              <w:top w:val="single" w:color="auto" w:sz="6" w:space="0"/>
              <w:left w:val="single" w:color="auto" w:sz="6" w:space="0"/>
              <w:bottom w:val="single" w:color="auto" w:sz="6" w:space="0"/>
              <w:right w:val="single" w:color="auto" w:sz="6" w:space="0"/>
            </w:tcBorders>
            <w:noWrap w:val="0"/>
            <w:vAlign w:val="center"/>
          </w:tcPr>
          <w:p w14:paraId="63BE6F66">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7A8CFF62">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35" w:type="pct"/>
            <w:tcBorders>
              <w:top w:val="single" w:color="auto" w:sz="6" w:space="0"/>
              <w:left w:val="single" w:color="auto" w:sz="6" w:space="0"/>
              <w:bottom w:val="single" w:color="auto" w:sz="6" w:space="0"/>
              <w:right w:val="single" w:color="auto" w:sz="6" w:space="0"/>
            </w:tcBorders>
            <w:noWrap w:val="0"/>
            <w:vAlign w:val="center"/>
          </w:tcPr>
          <w:p w14:paraId="3F42A091">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22DBFF4E">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2E88E0BD">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14" w:type="pct"/>
            <w:tcBorders>
              <w:top w:val="single" w:color="auto" w:sz="6" w:space="0"/>
              <w:left w:val="single" w:color="auto" w:sz="6" w:space="0"/>
              <w:bottom w:val="single" w:color="auto" w:sz="6" w:space="0"/>
              <w:right w:val="single" w:color="auto" w:sz="6" w:space="0"/>
            </w:tcBorders>
            <w:noWrap w:val="0"/>
            <w:vAlign w:val="center"/>
          </w:tcPr>
          <w:p w14:paraId="6E5145E4">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00" w:type="pct"/>
            <w:tcBorders>
              <w:top w:val="single" w:color="auto" w:sz="6" w:space="0"/>
              <w:left w:val="single" w:color="auto" w:sz="6" w:space="0"/>
              <w:bottom w:val="single" w:color="auto" w:sz="6" w:space="0"/>
              <w:right w:val="single" w:color="auto" w:sz="12" w:space="0"/>
            </w:tcBorders>
            <w:noWrap w:val="0"/>
            <w:vAlign w:val="center"/>
          </w:tcPr>
          <w:p w14:paraId="12C0FAA1">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r>
      <w:tr w14:paraId="1F629A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369" w:hRule="atLeast"/>
          <w:jc w:val="center"/>
        </w:trPr>
        <w:tc>
          <w:tcPr>
            <w:tcW w:w="1249" w:type="pct"/>
            <w:tcBorders>
              <w:top w:val="single" w:color="auto" w:sz="6" w:space="0"/>
              <w:left w:val="single" w:color="auto" w:sz="12" w:space="0"/>
              <w:bottom w:val="single" w:color="auto" w:sz="6" w:space="0"/>
              <w:right w:val="single" w:color="auto" w:sz="6" w:space="0"/>
            </w:tcBorders>
            <w:noWrap w:val="0"/>
            <w:vAlign w:val="center"/>
          </w:tcPr>
          <w:p w14:paraId="0EA89BC1">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较敏感</w:t>
            </w:r>
          </w:p>
        </w:tc>
        <w:tc>
          <w:tcPr>
            <w:tcW w:w="414" w:type="pct"/>
            <w:tcBorders>
              <w:top w:val="single" w:color="auto" w:sz="6" w:space="0"/>
              <w:left w:val="single" w:color="auto" w:sz="6" w:space="0"/>
              <w:bottom w:val="single" w:color="auto" w:sz="6" w:space="0"/>
              <w:right w:val="single" w:color="auto" w:sz="6" w:space="0"/>
            </w:tcBorders>
            <w:noWrap w:val="0"/>
            <w:vAlign w:val="center"/>
          </w:tcPr>
          <w:p w14:paraId="495876A2">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0289282">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一级</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36A41A4D">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788DCD41">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35" w:type="pct"/>
            <w:tcBorders>
              <w:top w:val="single" w:color="auto" w:sz="6" w:space="0"/>
              <w:left w:val="single" w:color="auto" w:sz="6" w:space="0"/>
              <w:bottom w:val="single" w:color="auto" w:sz="6" w:space="0"/>
              <w:right w:val="single" w:color="auto" w:sz="6" w:space="0"/>
            </w:tcBorders>
            <w:noWrap w:val="0"/>
            <w:vAlign w:val="center"/>
          </w:tcPr>
          <w:p w14:paraId="72E25B5D">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084D2A47">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5A68ACD4">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14" w:type="pct"/>
            <w:tcBorders>
              <w:top w:val="single" w:color="auto" w:sz="6" w:space="0"/>
              <w:left w:val="single" w:color="auto" w:sz="6" w:space="0"/>
              <w:bottom w:val="single" w:color="auto" w:sz="6" w:space="0"/>
              <w:right w:val="single" w:color="auto" w:sz="6" w:space="0"/>
            </w:tcBorders>
            <w:noWrap w:val="0"/>
            <w:vAlign w:val="center"/>
          </w:tcPr>
          <w:p w14:paraId="2BB70AEF">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00" w:type="pct"/>
            <w:tcBorders>
              <w:top w:val="single" w:color="auto" w:sz="6" w:space="0"/>
              <w:left w:val="single" w:color="auto" w:sz="6" w:space="0"/>
              <w:bottom w:val="single" w:color="auto" w:sz="6" w:space="0"/>
              <w:right w:val="single" w:color="auto" w:sz="12" w:space="0"/>
            </w:tcBorders>
            <w:noWrap w:val="0"/>
            <w:vAlign w:val="center"/>
          </w:tcPr>
          <w:p w14:paraId="35DF5CB4">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r>
      <w:tr w14:paraId="6D85D9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369" w:hRule="atLeast"/>
          <w:jc w:val="center"/>
        </w:trPr>
        <w:tc>
          <w:tcPr>
            <w:tcW w:w="1249" w:type="pct"/>
            <w:tcBorders>
              <w:top w:val="single" w:color="auto" w:sz="6" w:space="0"/>
              <w:left w:val="single" w:color="auto" w:sz="12" w:space="0"/>
              <w:bottom w:val="single" w:color="auto" w:sz="6" w:space="0"/>
              <w:right w:val="single" w:color="auto" w:sz="6" w:space="0"/>
            </w:tcBorders>
            <w:noWrap w:val="0"/>
            <w:vAlign w:val="center"/>
          </w:tcPr>
          <w:p w14:paraId="2ADAF0A7">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不敏感</w:t>
            </w:r>
          </w:p>
        </w:tc>
        <w:tc>
          <w:tcPr>
            <w:tcW w:w="414" w:type="pct"/>
            <w:tcBorders>
              <w:top w:val="single" w:color="auto" w:sz="6" w:space="0"/>
              <w:left w:val="single" w:color="auto" w:sz="6" w:space="0"/>
              <w:bottom w:val="single" w:color="auto" w:sz="6" w:space="0"/>
              <w:right w:val="single" w:color="auto" w:sz="6" w:space="0"/>
            </w:tcBorders>
            <w:noWrap w:val="0"/>
            <w:vAlign w:val="center"/>
          </w:tcPr>
          <w:p w14:paraId="17D73FAE">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一级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575309F">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5890C419">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8C8C5E6">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二级</w:t>
            </w:r>
          </w:p>
        </w:tc>
        <w:tc>
          <w:tcPr>
            <w:tcW w:w="435" w:type="pct"/>
            <w:tcBorders>
              <w:top w:val="single" w:color="auto" w:sz="6" w:space="0"/>
              <w:left w:val="single" w:color="auto" w:sz="6" w:space="0"/>
              <w:bottom w:val="single" w:color="auto" w:sz="6" w:space="0"/>
              <w:right w:val="single" w:color="auto" w:sz="6" w:space="0"/>
            </w:tcBorders>
            <w:noWrap w:val="0"/>
            <w:vAlign w:val="center"/>
          </w:tcPr>
          <w:p w14:paraId="579AD40C">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18" w:type="pct"/>
            <w:tcBorders>
              <w:top w:val="single" w:color="auto" w:sz="6" w:space="0"/>
              <w:left w:val="single" w:color="auto" w:sz="6" w:space="0"/>
              <w:bottom w:val="single" w:color="auto" w:sz="6" w:space="0"/>
              <w:right w:val="single" w:color="auto" w:sz="6" w:space="0"/>
            </w:tcBorders>
            <w:noWrap w:val="0"/>
            <w:vAlign w:val="center"/>
          </w:tcPr>
          <w:p w14:paraId="0F97B8D3">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15" w:type="pct"/>
            <w:tcBorders>
              <w:top w:val="single" w:color="auto" w:sz="6" w:space="0"/>
              <w:left w:val="single" w:color="auto" w:sz="6" w:space="0"/>
              <w:bottom w:val="single" w:color="auto" w:sz="6" w:space="0"/>
              <w:right w:val="single" w:color="auto" w:sz="6" w:space="0"/>
            </w:tcBorders>
            <w:noWrap w:val="0"/>
            <w:vAlign w:val="center"/>
          </w:tcPr>
          <w:p w14:paraId="13A9894B">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三级</w:t>
            </w:r>
          </w:p>
        </w:tc>
        <w:tc>
          <w:tcPr>
            <w:tcW w:w="414" w:type="pct"/>
            <w:tcBorders>
              <w:top w:val="single" w:color="auto" w:sz="6" w:space="0"/>
              <w:left w:val="single" w:color="auto" w:sz="6" w:space="0"/>
              <w:bottom w:val="single" w:color="auto" w:sz="6" w:space="0"/>
              <w:right w:val="single" w:color="auto" w:sz="6" w:space="0"/>
            </w:tcBorders>
            <w:noWrap w:val="0"/>
            <w:vAlign w:val="center"/>
          </w:tcPr>
          <w:p w14:paraId="74156ED5">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c>
          <w:tcPr>
            <w:tcW w:w="400" w:type="pct"/>
            <w:tcBorders>
              <w:top w:val="single" w:color="auto" w:sz="6" w:space="0"/>
              <w:left w:val="single" w:color="auto" w:sz="6" w:space="0"/>
              <w:bottom w:val="single" w:color="auto" w:sz="6" w:space="0"/>
              <w:right w:val="single" w:color="auto" w:sz="12" w:space="0"/>
            </w:tcBorders>
            <w:noWrap w:val="0"/>
            <w:vAlign w:val="center"/>
          </w:tcPr>
          <w:p w14:paraId="66DB55F6">
            <w:pPr>
              <w:spacing w:line="240" w:lineRule="auto"/>
              <w:ind w:firstLine="0" w:firstLine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w:t>
            </w:r>
          </w:p>
        </w:tc>
      </w:tr>
      <w:tr w14:paraId="2EBE3E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369" w:hRule="atLeast"/>
          <w:jc w:val="center"/>
        </w:trPr>
        <w:tc>
          <w:tcPr>
            <w:tcW w:w="5000" w:type="pct"/>
            <w:gridSpan w:val="10"/>
            <w:tcBorders>
              <w:top w:val="single" w:color="auto" w:sz="6" w:space="0"/>
              <w:left w:val="single" w:color="auto" w:sz="12" w:space="0"/>
              <w:bottom w:val="single" w:color="auto" w:sz="12" w:space="0"/>
              <w:right w:val="single" w:color="auto" w:sz="12" w:space="0"/>
            </w:tcBorders>
            <w:noWrap w:val="0"/>
            <w:vAlign w:val="center"/>
          </w:tcPr>
          <w:p w14:paraId="71B73396">
            <w:pPr>
              <w:spacing w:line="240" w:lineRule="auto"/>
              <w:ind w:firstLine="0" w:firstLineChars="0"/>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注：</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w:t>
            </w:r>
            <w:r>
              <w:rPr>
                <w:rFonts w:hint="default" w:ascii="Times New Roman" w:hAnsi="Times New Roman"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表示可不开展土壤环境影响评价工作。</w:t>
            </w:r>
          </w:p>
        </w:tc>
      </w:tr>
    </w:tbl>
    <w:p w14:paraId="44DADEB5">
      <w:pPr>
        <w:numPr>
          <w:ilvl w:val="0"/>
          <w:numId w:val="11"/>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评价范围</w:t>
      </w:r>
    </w:p>
    <w:p w14:paraId="1FCE84A6">
      <w:pPr>
        <w:pStyle w:val="15"/>
        <w:ind w:firstLine="480"/>
        <w:rPr>
          <w:rFonts w:hint="eastAsia" w:ascii="Times New Roman" w:hAnsi="Times New Roman" w:eastAsia="宋体" w:cs="Times New Roman"/>
          <w:color w:val="auto"/>
          <w:sz w:val="24"/>
          <w:highlight w:val="none"/>
          <w:u w:val="none" w:color="auto"/>
          <w:lang w:val="en-US" w:eastAsia="zh-CN"/>
        </w:rPr>
      </w:pPr>
      <w:r>
        <w:rPr>
          <w:rFonts w:hint="eastAsia"/>
          <w:color w:val="auto"/>
          <w:sz w:val="24"/>
          <w:highlight w:val="none"/>
          <w:u w:val="none" w:color="auto"/>
        </w:rPr>
        <w:t>根据《环境影响评价技术导则土壤环境（试行）》（HJ964-2018），拟建项目土壤环境调查评价范围为项目用地红线范围内及往外</w:t>
      </w:r>
      <w:r>
        <w:rPr>
          <w:rFonts w:hint="eastAsia"/>
          <w:color w:val="auto"/>
          <w:sz w:val="24"/>
          <w:highlight w:val="none"/>
          <w:u w:val="none" w:color="auto"/>
          <w:lang w:val="en-US" w:eastAsia="zh-CN"/>
        </w:rPr>
        <w:t>50</w:t>
      </w:r>
      <w:r>
        <w:rPr>
          <w:rFonts w:hint="default" w:ascii="Times New Roman" w:hAnsi="Times New Roman" w:cs="Times New Roman"/>
          <w:color w:val="auto"/>
          <w:sz w:val="24"/>
          <w:highlight w:val="none"/>
          <w:u w:val="none" w:color="auto"/>
        </w:rPr>
        <w:t>m</w:t>
      </w:r>
      <w:r>
        <w:rPr>
          <w:rFonts w:hint="eastAsia"/>
          <w:color w:val="auto"/>
          <w:sz w:val="24"/>
          <w:highlight w:val="none"/>
          <w:u w:val="none" w:color="auto"/>
        </w:rPr>
        <w:t>范围的区域，评价范围一般与调查范围一致</w:t>
      </w:r>
      <w:r>
        <w:rPr>
          <w:rFonts w:hint="eastAsia" w:cs="Times New Roman"/>
          <w:color w:val="auto"/>
          <w:sz w:val="24"/>
          <w:highlight w:val="none"/>
          <w:u w:val="none" w:color="auto"/>
          <w:lang w:val="en-US" w:eastAsia="zh-CN"/>
        </w:rPr>
        <w:t>，故本次</w:t>
      </w:r>
      <w:r>
        <w:rPr>
          <w:rFonts w:hint="default" w:ascii="Times New Roman" w:hAnsi="Times New Roman" w:cs="Times New Roman"/>
          <w:color w:val="auto"/>
          <w:sz w:val="24"/>
          <w:highlight w:val="none"/>
          <w:u w:val="none" w:color="auto"/>
        </w:rPr>
        <w:t>土壤环境影响评价范围为</w:t>
      </w:r>
      <w:r>
        <w:rPr>
          <w:rFonts w:hint="eastAsia" w:ascii="Times New Roman" w:hAnsi="Times New Roman" w:cs="Times New Roman"/>
          <w:color w:val="auto"/>
          <w:sz w:val="24"/>
          <w:highlight w:val="none"/>
          <w:u w:val="none" w:color="auto"/>
          <w:lang w:val="en-US" w:eastAsia="zh-CN"/>
        </w:rPr>
        <w:t>全厂</w:t>
      </w:r>
      <w:r>
        <w:rPr>
          <w:rFonts w:hint="default" w:ascii="Times New Roman" w:hAnsi="Times New Roman" w:cs="Times New Roman"/>
          <w:color w:val="auto"/>
          <w:sz w:val="24"/>
          <w:highlight w:val="none"/>
          <w:u w:val="none" w:color="auto"/>
        </w:rPr>
        <w:t>占地范围及厂界外</w:t>
      </w:r>
      <w:r>
        <w:rPr>
          <w:rFonts w:hint="eastAsia" w:cs="Times New Roman"/>
          <w:color w:val="auto"/>
          <w:sz w:val="24"/>
          <w:highlight w:val="none"/>
          <w:u w:val="none" w:color="auto"/>
          <w:lang w:val="en-US" w:eastAsia="zh-CN"/>
        </w:rPr>
        <w:t>50</w:t>
      </w:r>
      <w:r>
        <w:rPr>
          <w:rFonts w:hint="default" w:ascii="Times New Roman" w:hAnsi="Times New Roman" w:cs="Times New Roman"/>
          <w:color w:val="auto"/>
          <w:sz w:val="24"/>
          <w:highlight w:val="none"/>
          <w:u w:val="none" w:color="auto"/>
        </w:rPr>
        <w:t>m范围内</w:t>
      </w:r>
      <w:r>
        <w:rPr>
          <w:rFonts w:hint="eastAsia" w:ascii="Times New Roman" w:hAnsi="Times New Roman" w:cs="Times New Roman"/>
          <w:color w:val="auto"/>
          <w:sz w:val="24"/>
          <w:highlight w:val="none"/>
          <w:u w:val="none" w:color="auto"/>
          <w:lang w:eastAsia="zh-CN"/>
        </w:rPr>
        <w:t>。</w:t>
      </w:r>
    </w:p>
    <w:p w14:paraId="04168816">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93" w:name="_Toc23263"/>
      <w:bookmarkStart w:id="294" w:name="_Toc12080"/>
      <w:bookmarkStart w:id="295" w:name="_Toc11855"/>
      <w:bookmarkStart w:id="296" w:name="_Toc14133"/>
      <w:r>
        <w:rPr>
          <w:rFonts w:hint="default" w:ascii="Times New Roman" w:hAnsi="Times New Roman" w:cs="Times New Roman"/>
          <w:b/>
          <w:color w:val="auto"/>
          <w:sz w:val="28"/>
          <w:szCs w:val="28"/>
          <w:highlight w:val="none"/>
          <w:u w:val="none" w:color="auto"/>
        </w:rPr>
        <w:t>2.5.</w:t>
      </w:r>
      <w:r>
        <w:rPr>
          <w:rFonts w:hint="eastAsia" w:cs="Times New Roman"/>
          <w:b/>
          <w:color w:val="auto"/>
          <w:sz w:val="28"/>
          <w:szCs w:val="28"/>
          <w:highlight w:val="none"/>
          <w:u w:val="none" w:color="auto"/>
          <w:lang w:val="en-US" w:eastAsia="zh-CN"/>
        </w:rPr>
        <w:t>5</w:t>
      </w:r>
      <w:r>
        <w:rPr>
          <w:rFonts w:hint="default" w:ascii="Times New Roman" w:hAnsi="Times New Roman" w:cs="Times New Roman"/>
          <w:b/>
          <w:color w:val="auto"/>
          <w:sz w:val="28"/>
          <w:szCs w:val="28"/>
          <w:highlight w:val="none"/>
          <w:u w:val="none" w:color="auto"/>
        </w:rPr>
        <w:t>生态环境</w:t>
      </w:r>
      <w:bookmarkEnd w:id="293"/>
      <w:bookmarkEnd w:id="294"/>
      <w:bookmarkEnd w:id="295"/>
      <w:bookmarkEnd w:id="296"/>
    </w:p>
    <w:p w14:paraId="323D260B">
      <w:pPr>
        <w:bidi w:val="0"/>
        <w:rPr>
          <w:rFonts w:hint="eastAsia"/>
          <w:sz w:val="24"/>
          <w:szCs w:val="24"/>
          <w:highlight w:val="none"/>
        </w:rPr>
      </w:pPr>
      <w:r>
        <w:rPr>
          <w:rFonts w:hint="eastAsia"/>
          <w:sz w:val="24"/>
          <w:szCs w:val="24"/>
          <w:highlight w:val="none"/>
        </w:rPr>
        <w:t>根据《环境影响评价技术导则  生态影响》（HJ19-2022）中关于生态环境评价工作等级判定：</w:t>
      </w:r>
    </w:p>
    <w:p w14:paraId="69B53002">
      <w:pPr>
        <w:bidi w:val="0"/>
        <w:rPr>
          <w:rFonts w:hint="eastAsia"/>
          <w:sz w:val="24"/>
          <w:szCs w:val="24"/>
          <w:highlight w:val="none"/>
        </w:rPr>
      </w:pPr>
      <w:r>
        <w:rPr>
          <w:rFonts w:hint="eastAsia"/>
          <w:sz w:val="24"/>
          <w:szCs w:val="24"/>
          <w:highlight w:val="none"/>
        </w:rPr>
        <w:t>a）涉及国家公园、自然保护区、世界自然遗产、重要生境时，评价等级为一级；</w:t>
      </w:r>
    </w:p>
    <w:p w14:paraId="4E9968A3">
      <w:pPr>
        <w:bidi w:val="0"/>
        <w:rPr>
          <w:rFonts w:hint="eastAsia"/>
          <w:sz w:val="24"/>
          <w:szCs w:val="24"/>
          <w:highlight w:val="none"/>
        </w:rPr>
      </w:pPr>
      <w:r>
        <w:rPr>
          <w:rFonts w:hint="eastAsia"/>
          <w:sz w:val="24"/>
          <w:szCs w:val="24"/>
          <w:highlight w:val="none"/>
        </w:rPr>
        <w:t>b）涉及自然公园时，评价等级为二级；</w:t>
      </w:r>
    </w:p>
    <w:p w14:paraId="7A43B28C">
      <w:pPr>
        <w:bidi w:val="0"/>
        <w:rPr>
          <w:rFonts w:hint="eastAsia"/>
          <w:sz w:val="24"/>
          <w:szCs w:val="24"/>
          <w:highlight w:val="none"/>
        </w:rPr>
      </w:pPr>
      <w:r>
        <w:rPr>
          <w:rFonts w:hint="eastAsia"/>
          <w:sz w:val="24"/>
          <w:szCs w:val="24"/>
          <w:highlight w:val="none"/>
        </w:rPr>
        <w:t>c）涉及生态保护红线时，评价等级不低于二级；</w:t>
      </w:r>
    </w:p>
    <w:p w14:paraId="668E03F7">
      <w:pPr>
        <w:bidi w:val="0"/>
        <w:rPr>
          <w:rFonts w:hint="eastAsia"/>
          <w:sz w:val="24"/>
          <w:szCs w:val="24"/>
          <w:highlight w:val="none"/>
        </w:rPr>
      </w:pPr>
      <w:r>
        <w:rPr>
          <w:rFonts w:hint="eastAsia"/>
          <w:sz w:val="24"/>
          <w:szCs w:val="24"/>
          <w:highlight w:val="none"/>
        </w:rPr>
        <w:t>d）根据HJ2.3判断属于水文要素影响型且地表水评价等级不低于二级的建设项目，生态影响评价等级不低于二级；</w:t>
      </w:r>
    </w:p>
    <w:p w14:paraId="53F64A34">
      <w:pPr>
        <w:keepNext w:val="0"/>
        <w:keepLines w:val="0"/>
        <w:pageBreakBefore w:val="0"/>
        <w:widowControl/>
        <w:kinsoku/>
        <w:wordWrap/>
        <w:overflowPunct/>
        <w:topLinePunct/>
        <w:autoSpaceDE/>
        <w:autoSpaceDN/>
        <w:bidi w:val="0"/>
        <w:adjustRightInd/>
        <w:snapToGrid/>
        <w:spacing w:line="360" w:lineRule="auto"/>
        <w:ind w:left="0"/>
        <w:textAlignment w:val="auto"/>
        <w:rPr>
          <w:rFonts w:hint="default" w:ascii="Times New Roman" w:hAnsi="Times New Roman" w:cs="Times New Roman"/>
          <w:sz w:val="24"/>
          <w:szCs w:val="24"/>
          <w:highlight w:val="none"/>
        </w:rPr>
      </w:pPr>
      <w:r>
        <w:rPr>
          <w:rFonts w:hint="eastAsia"/>
          <w:sz w:val="24"/>
          <w:szCs w:val="24"/>
          <w:highlight w:val="none"/>
        </w:rPr>
        <w:t>e</w:t>
      </w:r>
      <w:r>
        <w:rPr>
          <w:rFonts w:hint="default" w:ascii="Times New Roman" w:hAnsi="Times New Roman" w:cs="Times New Roman"/>
          <w:sz w:val="24"/>
          <w:szCs w:val="24"/>
          <w:highlight w:val="none"/>
        </w:rPr>
        <w:t>）根据HJ610、HJ964判断地下水水位或土壤影响范围内分布有天然林、公益林、湿地等生态保护目标的建设项目，生态影响评价等级不低于二级；</w:t>
      </w:r>
    </w:p>
    <w:p w14:paraId="737BE837">
      <w:pPr>
        <w:keepNext w:val="0"/>
        <w:keepLines w:val="0"/>
        <w:pageBreakBefore w:val="0"/>
        <w:widowControl/>
        <w:kinsoku/>
        <w:wordWrap/>
        <w:overflowPunct/>
        <w:topLinePunct/>
        <w:autoSpaceDE/>
        <w:autoSpaceDN/>
        <w:bidi w:val="0"/>
        <w:adjustRightInd/>
        <w:snapToGrid/>
        <w:spacing w:line="360" w:lineRule="auto"/>
        <w:ind w:lef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f）当工程占地规模大于20km</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时（包括永久和临时占用陆域和水域），评价等级不低于二级；改扩建项目的占地范围以新增占地（包括陆域和水域）确定；</w:t>
      </w:r>
    </w:p>
    <w:p w14:paraId="0AC1246D">
      <w:pPr>
        <w:keepNext w:val="0"/>
        <w:keepLines w:val="0"/>
        <w:pageBreakBefore w:val="0"/>
        <w:widowControl/>
        <w:kinsoku/>
        <w:wordWrap/>
        <w:overflowPunct/>
        <w:topLinePunct/>
        <w:autoSpaceDE/>
        <w:autoSpaceDN/>
        <w:bidi w:val="0"/>
        <w:adjustRightInd/>
        <w:snapToGrid/>
        <w:spacing w:line="360" w:lineRule="auto"/>
        <w:ind w:left="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g）除本条a）、b）、c）、d）、e）、f）以外的情况，评价等级为三级；</w:t>
      </w:r>
    </w:p>
    <w:p w14:paraId="3BFF7B66">
      <w:pPr>
        <w:keepNext w:val="0"/>
        <w:keepLines w:val="0"/>
        <w:pageBreakBefore w:val="0"/>
        <w:widowControl/>
        <w:kinsoku/>
        <w:wordWrap/>
        <w:overflowPunct/>
        <w:topLinePunct/>
        <w:autoSpaceDE/>
        <w:autoSpaceDN/>
        <w:bidi w:val="0"/>
        <w:adjustRightInd/>
        <w:snapToGrid/>
        <w:spacing w:line="360" w:lineRule="auto"/>
        <w:ind w:left="0"/>
        <w:textAlignment w:val="auto"/>
        <w:rPr>
          <w:rFonts w:hint="default" w:ascii="Times New Roman" w:hAnsi="Times New Roman" w:cs="Times New Roman"/>
          <w:sz w:val="24"/>
          <w:szCs w:val="24"/>
          <w:highlight w:val="yellow"/>
        </w:rPr>
      </w:pPr>
      <w:r>
        <w:rPr>
          <w:rFonts w:hint="default" w:ascii="Times New Roman" w:hAnsi="Times New Roman" w:cs="Times New Roman"/>
          <w:sz w:val="24"/>
          <w:szCs w:val="24"/>
          <w:highlight w:val="none"/>
        </w:rPr>
        <w:t>h）当评价等级判定同时符合上述多种情况时，应采用其中最高的评价等级。</w:t>
      </w:r>
    </w:p>
    <w:p w14:paraId="5B69686B">
      <w:pPr>
        <w:keepNext w:val="0"/>
        <w:keepLines w:val="0"/>
        <w:pageBreakBefore w:val="0"/>
        <w:widowControl/>
        <w:kinsoku/>
        <w:wordWrap/>
        <w:overflowPunct/>
        <w:topLinePunct/>
        <w:autoSpaceDE/>
        <w:autoSpaceDN/>
        <w:bidi w:val="0"/>
        <w:adjustRightInd/>
        <w:snapToGrid/>
        <w:spacing w:line="360" w:lineRule="auto"/>
        <w:ind w:left="0"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本项目属于环保治理项目，通过治理完成，封场绿化后，对当地产生有利的生态影</w:t>
      </w:r>
      <w:r>
        <w:rPr>
          <w:rFonts w:hint="default" w:ascii="Times New Roman" w:hAnsi="Times New Roman" w:eastAsia="宋体" w:cs="Times New Roman"/>
          <w:spacing w:val="-4"/>
          <w:sz w:val="24"/>
          <w:szCs w:val="24"/>
        </w:rPr>
        <w:t>响，项目产生的不利生态影响主要发生在施工期。本工程占地面积为</w:t>
      </w:r>
      <w:r>
        <w:rPr>
          <w:rFonts w:hint="default" w:ascii="Times New Roman" w:hAnsi="Times New Roman" w:eastAsia="宋体" w:cs="Times New Roman"/>
          <w:spacing w:val="-50"/>
          <w:sz w:val="24"/>
          <w:szCs w:val="24"/>
        </w:rPr>
        <w:t xml:space="preserve"> </w:t>
      </w:r>
      <w:r>
        <w:rPr>
          <w:rFonts w:hint="eastAsia" w:ascii="Times New Roman" w:hAnsi="Times New Roman" w:eastAsia="宋体" w:cs="Times New Roman"/>
          <w:spacing w:val="-4"/>
          <w:sz w:val="24"/>
          <w:szCs w:val="24"/>
          <w:lang w:eastAsia="zh-CN"/>
        </w:rPr>
        <w:t>34557.68</w:t>
      </w:r>
      <w:r>
        <w:rPr>
          <w:rFonts w:hint="default" w:ascii="Times New Roman" w:hAnsi="Times New Roman" w:eastAsia="Times New Roman" w:cs="Times New Roman"/>
          <w:spacing w:val="-4"/>
          <w:sz w:val="24"/>
          <w:szCs w:val="24"/>
        </w:rPr>
        <w:t>m</w:t>
      </w:r>
      <w:r>
        <w:rPr>
          <w:rFonts w:hint="default" w:ascii="Times New Roman" w:hAnsi="Times New Roman" w:eastAsia="Times New Roman" w:cs="Times New Roman"/>
          <w:spacing w:val="-4"/>
          <w:position w:val="8"/>
          <w:sz w:val="15"/>
          <w:szCs w:val="15"/>
        </w:rPr>
        <w:t>2</w:t>
      </w:r>
      <w:r>
        <w:rPr>
          <w:rFonts w:hint="default" w:ascii="Times New Roman" w:hAnsi="Times New Roman" w:eastAsia="Times New Roman" w:cs="Times New Roman"/>
          <w:spacing w:val="-4"/>
          <w:sz w:val="24"/>
          <w:szCs w:val="24"/>
        </w:rPr>
        <w:t>˂20km</w:t>
      </w:r>
      <w:r>
        <w:rPr>
          <w:rFonts w:hint="default" w:ascii="Times New Roman" w:hAnsi="Times New Roman" w:eastAsia="Times New Roman" w:cs="Times New Roman"/>
          <w:spacing w:val="-5"/>
          <w:position w:val="8"/>
          <w:sz w:val="15"/>
          <w:szCs w:val="15"/>
        </w:rPr>
        <w:t>2</w:t>
      </w:r>
      <w:r>
        <w:rPr>
          <w:rFonts w:hint="default" w:ascii="Times New Roman" w:hAnsi="Times New Roman" w:eastAsia="宋体" w:cs="Times New Roman"/>
          <w:spacing w:val="-5"/>
          <w:sz w:val="24"/>
          <w:szCs w:val="24"/>
        </w:rPr>
        <w:t>，</w:t>
      </w:r>
      <w:r>
        <w:rPr>
          <w:rFonts w:hint="default" w:ascii="Times New Roman" w:hAnsi="Times New Roman" w:eastAsia="宋体" w:cs="Times New Roman"/>
          <w:spacing w:val="-2"/>
          <w:sz w:val="24"/>
          <w:szCs w:val="24"/>
        </w:rPr>
        <w:t>地块不涉及国家公园、自然保护区、世界自然遗产、重要生境、自然公园、生态保护红线，根据三阳乡林业工作站出具的林地属性查询说明</w:t>
      </w:r>
      <w:r>
        <w:rPr>
          <w:rFonts w:hint="eastAsia" w:ascii="Times New Roman" w:hAnsi="Times New Roman" w:cs="Times New Roman"/>
          <w:spacing w:val="-2"/>
          <w:sz w:val="24"/>
          <w:szCs w:val="24"/>
          <w:lang w:eastAsia="zh-CN"/>
        </w:rPr>
        <w:t>（</w:t>
      </w:r>
      <w:r>
        <w:rPr>
          <w:rFonts w:hint="eastAsia" w:ascii="Times New Roman" w:hAnsi="Times New Roman" w:cs="Times New Roman"/>
          <w:spacing w:val="-2"/>
          <w:sz w:val="24"/>
          <w:szCs w:val="24"/>
          <w:lang w:val="en-US" w:eastAsia="zh-CN"/>
        </w:rPr>
        <w:t>详见附件11</w:t>
      </w:r>
      <w:r>
        <w:rPr>
          <w:rFonts w:hint="eastAsia" w:ascii="Times New Roman" w:hAnsi="Times New Roman" w:cs="Times New Roman"/>
          <w:spacing w:val="-2"/>
          <w:sz w:val="24"/>
          <w:szCs w:val="24"/>
          <w:lang w:eastAsia="zh-CN"/>
        </w:rPr>
        <w:t>）</w:t>
      </w:r>
      <w:r>
        <w:rPr>
          <w:rFonts w:hint="eastAsia" w:ascii="Times New Roman" w:hAnsi="Times New Roman" w:cs="Times New Roman"/>
          <w:spacing w:val="-2"/>
          <w:sz w:val="24"/>
          <w:szCs w:val="24"/>
          <w:lang w:val="en-US" w:eastAsia="zh-CN"/>
        </w:rPr>
        <w:t>以及</w:t>
      </w:r>
      <w:r>
        <w:rPr>
          <w:rFonts w:hint="eastAsia" w:cs="Times New Roman"/>
          <w:spacing w:val="-2"/>
          <w:sz w:val="24"/>
          <w:szCs w:val="24"/>
          <w:lang w:val="en-US" w:eastAsia="zh-CN"/>
        </w:rPr>
        <w:t>“三区三线”套合图</w:t>
      </w:r>
      <w:r>
        <w:rPr>
          <w:rFonts w:hint="eastAsia" w:ascii="Times New Roman" w:hAnsi="Times New Roman" w:cs="Times New Roman"/>
          <w:spacing w:val="-2"/>
          <w:sz w:val="24"/>
          <w:szCs w:val="24"/>
          <w:lang w:val="en-US" w:eastAsia="zh-CN"/>
        </w:rPr>
        <w:t>（详见附图8）</w:t>
      </w:r>
      <w:r>
        <w:rPr>
          <w:rFonts w:hint="default" w:ascii="Times New Roman" w:hAnsi="Times New Roman" w:eastAsia="宋体" w:cs="Times New Roman"/>
          <w:spacing w:val="-2"/>
          <w:sz w:val="24"/>
          <w:szCs w:val="24"/>
        </w:rPr>
        <w:t>，不涉及</w:t>
      </w:r>
      <w:r>
        <w:rPr>
          <w:rFonts w:hint="eastAsia" w:cs="Times New Roman"/>
          <w:spacing w:val="-2"/>
          <w:sz w:val="24"/>
          <w:szCs w:val="24"/>
          <w:lang w:val="en-US" w:eastAsia="zh-CN"/>
        </w:rPr>
        <w:t>生态保护红线及生态敏感区（1#渣区、2#渣区涉及基本农田，但不涉及生态保护红线）</w:t>
      </w:r>
      <w:r>
        <w:rPr>
          <w:rFonts w:hint="default" w:ascii="Times New Roman" w:hAnsi="Times New Roman" w:eastAsia="宋体" w:cs="Times New Roman"/>
          <w:spacing w:val="-2"/>
          <w:sz w:val="24"/>
          <w:szCs w:val="24"/>
        </w:rPr>
        <w:t>，因此评价等级为</w:t>
      </w:r>
      <w:r>
        <w:rPr>
          <w:rFonts w:hint="default" w:ascii="Times New Roman" w:hAnsi="Times New Roman" w:eastAsia="宋体" w:cs="Times New Roman"/>
          <w:spacing w:val="-4"/>
          <w:sz w:val="24"/>
          <w:szCs w:val="24"/>
        </w:rPr>
        <w:t>三级</w:t>
      </w:r>
      <w:r>
        <w:rPr>
          <w:rFonts w:hint="default" w:ascii="Times New Roman" w:hAnsi="Times New Roman" w:cs="Times New Roman"/>
          <w:spacing w:val="-4"/>
          <w:sz w:val="24"/>
          <w:szCs w:val="24"/>
          <w:lang w:eastAsia="zh-CN"/>
        </w:rPr>
        <w:t>，</w:t>
      </w:r>
      <w:r>
        <w:rPr>
          <w:rFonts w:hint="default" w:ascii="Times New Roman" w:hAnsi="Times New Roman" w:cs="Times New Roman"/>
          <w:spacing w:val="-4"/>
          <w:sz w:val="24"/>
          <w:szCs w:val="24"/>
          <w:lang w:val="en-US" w:eastAsia="zh-CN"/>
        </w:rPr>
        <w:t>评价范围为项目填埋场、</w:t>
      </w:r>
      <w:r>
        <w:rPr>
          <w:rFonts w:hint="eastAsia" w:cs="Times New Roman"/>
          <w:spacing w:val="-4"/>
          <w:sz w:val="24"/>
          <w:szCs w:val="24"/>
          <w:lang w:val="en-US" w:eastAsia="zh-CN"/>
        </w:rPr>
        <w:t>渣区、</w:t>
      </w:r>
      <w:r>
        <w:rPr>
          <w:rFonts w:hint="default" w:ascii="Times New Roman" w:hAnsi="Times New Roman" w:cs="Times New Roman"/>
          <w:spacing w:val="-4"/>
          <w:sz w:val="24"/>
          <w:szCs w:val="24"/>
          <w:lang w:val="en-US" w:eastAsia="zh-CN"/>
        </w:rPr>
        <w:t>取土场及运输路线占地范围内全部以及占地范围外500m范围内</w:t>
      </w:r>
      <w:r>
        <w:rPr>
          <w:rFonts w:hint="default" w:ascii="Times New Roman" w:hAnsi="Times New Roman" w:eastAsia="宋体" w:cs="Times New Roman"/>
          <w:spacing w:val="-4"/>
          <w:sz w:val="24"/>
          <w:szCs w:val="24"/>
        </w:rPr>
        <w:t>。</w:t>
      </w:r>
    </w:p>
    <w:p w14:paraId="587A2B2E">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297" w:name="_Toc11753"/>
      <w:bookmarkStart w:id="298" w:name="_Toc22999"/>
      <w:bookmarkStart w:id="299" w:name="_Toc9030"/>
      <w:bookmarkStart w:id="300" w:name="_Toc19673"/>
      <w:r>
        <w:rPr>
          <w:rFonts w:hint="default" w:ascii="Times New Roman" w:hAnsi="Times New Roman" w:cs="Times New Roman"/>
          <w:b/>
          <w:color w:val="auto"/>
          <w:sz w:val="28"/>
          <w:szCs w:val="28"/>
          <w:highlight w:val="none"/>
          <w:u w:val="none" w:color="auto"/>
        </w:rPr>
        <w:t>2.5.</w:t>
      </w:r>
      <w:r>
        <w:rPr>
          <w:rFonts w:hint="eastAsia" w:cs="Times New Roman"/>
          <w:b/>
          <w:color w:val="auto"/>
          <w:sz w:val="28"/>
          <w:szCs w:val="28"/>
          <w:highlight w:val="none"/>
          <w:u w:val="none" w:color="auto"/>
          <w:lang w:val="en-US" w:eastAsia="zh-CN"/>
        </w:rPr>
        <w:t>6</w:t>
      </w:r>
      <w:r>
        <w:rPr>
          <w:rFonts w:hint="default" w:ascii="Times New Roman" w:hAnsi="Times New Roman" w:cs="Times New Roman"/>
          <w:b/>
          <w:color w:val="auto"/>
          <w:sz w:val="28"/>
          <w:szCs w:val="28"/>
          <w:highlight w:val="none"/>
          <w:u w:val="none" w:color="auto"/>
        </w:rPr>
        <w:t>环境风险</w:t>
      </w:r>
      <w:bookmarkEnd w:id="297"/>
      <w:bookmarkEnd w:id="298"/>
      <w:bookmarkEnd w:id="299"/>
      <w:bookmarkEnd w:id="300"/>
    </w:p>
    <w:p w14:paraId="696074F2">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lang w:val="en-US" w:eastAsia="zh-CN" w:bidi="ar"/>
        </w:rPr>
        <w:t xml:space="preserve">根据《建设项目环境风险评价技术导则》（HJ169-2018），环境风险评价工作等级划分情况详见下表。 </w:t>
      </w:r>
    </w:p>
    <w:p w14:paraId="18FFB086">
      <w:pPr>
        <w:topLinePunct w:val="0"/>
        <w:spacing w:line="240" w:lineRule="auto"/>
        <w:ind w:firstLine="422"/>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w:t>
      </w:r>
      <w:r>
        <w:rPr>
          <w:rFonts w:hint="eastAsia" w:ascii="Times New Roman" w:hAnsi="Times New Roman" w:cs="Times New Roman"/>
          <w:b/>
          <w:bCs/>
          <w:color w:val="auto"/>
          <w:sz w:val="21"/>
          <w:szCs w:val="21"/>
          <w:highlight w:val="none"/>
          <w:u w:val="none" w:color="auto"/>
          <w:lang w:val="en-US" w:eastAsia="zh-CN"/>
        </w:rPr>
        <w:t>2.5-</w:t>
      </w:r>
      <w:r>
        <w:rPr>
          <w:rFonts w:hint="eastAsia" w:cs="Times New Roman"/>
          <w:b/>
          <w:bCs/>
          <w:color w:val="auto"/>
          <w:sz w:val="21"/>
          <w:szCs w:val="21"/>
          <w:highlight w:val="none"/>
          <w:u w:val="none" w:color="auto"/>
          <w:lang w:val="en-US" w:eastAsia="zh-CN"/>
        </w:rPr>
        <w:t>8</w:t>
      </w:r>
      <w:r>
        <w:rPr>
          <w:rFonts w:hint="eastAsia" w:ascii="Times New Roman" w:hAnsi="Times New Roman" w:cs="Times New Roman"/>
          <w:b/>
          <w:bCs/>
          <w:color w:val="auto"/>
          <w:sz w:val="21"/>
          <w:szCs w:val="21"/>
          <w:highlight w:val="none"/>
          <w:u w:val="none" w:color="auto"/>
          <w:lang w:val="en-US" w:eastAsia="zh-CN"/>
        </w:rPr>
        <w:t xml:space="preserve">  </w:t>
      </w:r>
      <w:r>
        <w:rPr>
          <w:rFonts w:hint="default" w:ascii="Times New Roman" w:hAnsi="Times New Roman" w:cs="Times New Roman"/>
          <w:b/>
          <w:bCs/>
          <w:color w:val="auto"/>
          <w:sz w:val="21"/>
          <w:szCs w:val="21"/>
          <w:highlight w:val="none"/>
          <w:u w:val="none" w:color="auto"/>
        </w:rPr>
        <w:t>评价工作等级判定</w:t>
      </w:r>
    </w:p>
    <w:tbl>
      <w:tblPr>
        <w:tblStyle w:val="46"/>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857"/>
        <w:gridCol w:w="1857"/>
        <w:gridCol w:w="1857"/>
        <w:gridCol w:w="1857"/>
        <w:gridCol w:w="1858"/>
      </w:tblGrid>
      <w:tr w14:paraId="749FF7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1858" w:type="dxa"/>
            <w:noWrap w:val="0"/>
            <w:vAlign w:val="center"/>
          </w:tcPr>
          <w:p w14:paraId="61E1A2E5">
            <w:pPr>
              <w:pStyle w:val="114"/>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环境风险潜势</w:t>
            </w:r>
          </w:p>
        </w:tc>
        <w:tc>
          <w:tcPr>
            <w:tcW w:w="1858" w:type="dxa"/>
            <w:noWrap w:val="0"/>
            <w:vAlign w:val="center"/>
          </w:tcPr>
          <w:p w14:paraId="678E269C">
            <w:pPr>
              <w:pStyle w:val="114"/>
              <w:rPr>
                <w:rFonts w:hint="default" w:ascii="Times New Roman" w:hAnsi="Times New Roman" w:cs="Times New Roman"/>
                <w:b/>
                <w:bCs/>
                <w:color w:val="auto"/>
                <w:highlight w:val="none"/>
                <w:u w:val="none" w:color="auto"/>
              </w:rPr>
            </w:pPr>
            <w:r>
              <w:rPr>
                <w:rFonts w:hint="eastAsia" w:cs="Times New Roman"/>
                <w:b/>
                <w:bCs/>
                <w:color w:val="auto"/>
                <w:highlight w:val="none"/>
                <w:u w:val="none" w:color="auto"/>
                <w:lang w:eastAsia="zh-CN"/>
              </w:rPr>
              <w:t>Ⅳ</w:t>
            </w:r>
            <w:r>
              <w:rPr>
                <w:rFonts w:hint="default" w:ascii="Times New Roman" w:hAnsi="Times New Roman" w:cs="Times New Roman"/>
                <w:b/>
                <w:bCs/>
                <w:color w:val="auto"/>
                <w:highlight w:val="none"/>
                <w:u w:val="none" w:color="auto"/>
              </w:rPr>
              <w:t>、IV+</w:t>
            </w:r>
          </w:p>
        </w:tc>
        <w:tc>
          <w:tcPr>
            <w:tcW w:w="1858" w:type="dxa"/>
            <w:noWrap w:val="0"/>
            <w:vAlign w:val="center"/>
          </w:tcPr>
          <w:p w14:paraId="6D7EF988">
            <w:pPr>
              <w:pStyle w:val="114"/>
              <w:ind w:firstLine="0" w:firstLineChars="0"/>
              <w:rPr>
                <w:rFonts w:hint="default" w:ascii="Times New Roman" w:hAnsi="Times New Roman" w:cs="Times New Roman"/>
                <w:b/>
                <w:bCs/>
                <w:color w:val="auto"/>
                <w:kern w:val="18"/>
                <w:sz w:val="21"/>
                <w:szCs w:val="21"/>
                <w:highlight w:val="none"/>
                <w:u w:val="none" w:color="auto"/>
                <w:lang w:val="en-US" w:eastAsia="zh-CN" w:bidi="ar-SA"/>
              </w:rPr>
            </w:pPr>
            <w:r>
              <w:rPr>
                <w:rFonts w:hint="default" w:ascii="Times New Roman" w:hAnsi="Times New Roman" w:eastAsia="宋体" w:cs="Times New Roman"/>
                <w:b/>
                <w:bCs/>
                <w:color w:val="auto"/>
                <w:highlight w:val="none"/>
                <w:u w:val="none" w:color="auto"/>
              </w:rPr>
              <w:t>Ⅲ</w:t>
            </w:r>
          </w:p>
        </w:tc>
        <w:tc>
          <w:tcPr>
            <w:tcW w:w="1858" w:type="dxa"/>
            <w:noWrap w:val="0"/>
            <w:vAlign w:val="center"/>
          </w:tcPr>
          <w:p w14:paraId="1A4CF2C7">
            <w:pPr>
              <w:pStyle w:val="114"/>
              <w:rPr>
                <w:rFonts w:hint="default" w:ascii="Times New Roman" w:hAnsi="Times New Roman" w:cs="Times New Roman"/>
                <w:b/>
                <w:bCs/>
                <w:color w:val="auto"/>
                <w:highlight w:val="none"/>
                <w:u w:val="none" w:color="auto"/>
              </w:rPr>
            </w:pPr>
            <w:r>
              <w:rPr>
                <w:rFonts w:hint="eastAsia" w:ascii="宋体" w:hAnsi="宋体" w:eastAsia="宋体" w:cs="宋体"/>
                <w:b/>
                <w:bCs/>
                <w:color w:val="auto"/>
                <w:highlight w:val="none"/>
                <w:u w:val="none" w:color="auto"/>
              </w:rPr>
              <w:t>Ⅱ</w:t>
            </w:r>
          </w:p>
        </w:tc>
        <w:tc>
          <w:tcPr>
            <w:tcW w:w="1860" w:type="dxa"/>
            <w:noWrap w:val="0"/>
            <w:vAlign w:val="center"/>
          </w:tcPr>
          <w:p w14:paraId="1DBB6419">
            <w:pPr>
              <w:pStyle w:val="114"/>
              <w:rPr>
                <w:rFonts w:hint="default" w:ascii="Times New Roman" w:hAnsi="Times New Roman" w:cs="Times New Roman"/>
                <w:b/>
                <w:bCs/>
                <w:color w:val="auto"/>
                <w:highlight w:val="none"/>
                <w:u w:val="none" w:color="auto"/>
              </w:rPr>
            </w:pPr>
            <w:r>
              <w:rPr>
                <w:rFonts w:hint="eastAsia" w:ascii="宋体" w:hAnsi="宋体" w:eastAsia="宋体" w:cs="宋体"/>
                <w:b/>
                <w:bCs/>
                <w:color w:val="auto"/>
                <w:highlight w:val="none"/>
                <w:u w:val="none" w:color="auto"/>
              </w:rPr>
              <w:t>Ⅰ</w:t>
            </w:r>
          </w:p>
        </w:tc>
      </w:tr>
      <w:tr w14:paraId="1565A6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1858" w:type="dxa"/>
            <w:noWrap w:val="0"/>
            <w:vAlign w:val="center"/>
          </w:tcPr>
          <w:p w14:paraId="24FA4733">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评价工作等级</w:t>
            </w:r>
          </w:p>
        </w:tc>
        <w:tc>
          <w:tcPr>
            <w:tcW w:w="1858" w:type="dxa"/>
            <w:noWrap w:val="0"/>
            <w:vAlign w:val="center"/>
          </w:tcPr>
          <w:p w14:paraId="497D3935">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一</w:t>
            </w:r>
          </w:p>
        </w:tc>
        <w:tc>
          <w:tcPr>
            <w:tcW w:w="1858" w:type="dxa"/>
            <w:noWrap w:val="0"/>
            <w:vAlign w:val="center"/>
          </w:tcPr>
          <w:p w14:paraId="1124FE30">
            <w:pPr>
              <w:pStyle w:val="114"/>
              <w:ind w:firstLine="0" w:firstLineChars="0"/>
              <w:rPr>
                <w:rFonts w:hint="default" w:ascii="Times New Roman" w:hAnsi="Times New Roman" w:eastAsia="宋体" w:cs="Times New Roman"/>
                <w:color w:val="auto"/>
                <w:kern w:val="18"/>
                <w:sz w:val="21"/>
                <w:szCs w:val="21"/>
                <w:highlight w:val="none"/>
                <w:u w:val="none" w:color="auto"/>
                <w:lang w:val="en-US" w:eastAsia="zh-CN" w:bidi="ar-SA"/>
              </w:rPr>
            </w:pPr>
            <w:r>
              <w:rPr>
                <w:rFonts w:hint="eastAsia" w:ascii="Times New Roman" w:hAnsi="Times New Roman" w:cs="Times New Roman"/>
                <w:color w:val="auto"/>
                <w:kern w:val="18"/>
                <w:sz w:val="21"/>
                <w:szCs w:val="21"/>
                <w:highlight w:val="none"/>
                <w:u w:val="none" w:color="auto"/>
                <w:lang w:val="en-US" w:eastAsia="zh-CN" w:bidi="ar-SA"/>
              </w:rPr>
              <w:t>二</w:t>
            </w:r>
          </w:p>
        </w:tc>
        <w:tc>
          <w:tcPr>
            <w:tcW w:w="1858" w:type="dxa"/>
            <w:noWrap w:val="0"/>
            <w:vAlign w:val="center"/>
          </w:tcPr>
          <w:p w14:paraId="633A497A">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三</w:t>
            </w:r>
          </w:p>
        </w:tc>
        <w:tc>
          <w:tcPr>
            <w:tcW w:w="1860" w:type="dxa"/>
            <w:noWrap w:val="0"/>
            <w:vAlign w:val="center"/>
          </w:tcPr>
          <w:p w14:paraId="4199F1CE">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简单分析a</w:t>
            </w:r>
          </w:p>
        </w:tc>
      </w:tr>
      <w:tr w14:paraId="749AAE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9292" w:type="dxa"/>
            <w:gridSpan w:val="5"/>
            <w:noWrap w:val="0"/>
            <w:vAlign w:val="center"/>
          </w:tcPr>
          <w:p w14:paraId="6BE4E31C">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a</w:t>
            </w:r>
            <w:r>
              <w:rPr>
                <w:rFonts w:hint="eastAsia" w:ascii="Times New Roman" w:hAnsi="Times New Roman" w:cs="Times New Roman"/>
                <w:color w:val="auto"/>
                <w:highlight w:val="none"/>
                <w:u w:val="none" w:color="auto"/>
                <w:lang w:val="en-US" w:eastAsia="zh-CN"/>
              </w:rPr>
              <w:t>.</w:t>
            </w:r>
            <w:r>
              <w:rPr>
                <w:rFonts w:hint="default" w:ascii="Times New Roman" w:hAnsi="Times New Roman" w:cs="Times New Roman"/>
                <w:color w:val="auto"/>
                <w:highlight w:val="none"/>
                <w:u w:val="none" w:color="auto"/>
              </w:rPr>
              <w:t>是相对于详细评价工作内容而言，在描述危险物质、环境影响途径、环境危害后果、风险防范措施等方面给出定性的说明。见附录A。</w:t>
            </w:r>
          </w:p>
        </w:tc>
      </w:tr>
    </w:tbl>
    <w:p w14:paraId="2CF7D8CE">
      <w:pPr>
        <w:pStyle w:val="205"/>
        <w:numPr>
          <w:ilvl w:val="0"/>
          <w:numId w:val="0"/>
        </w:numPr>
        <w:jc w:val="center"/>
        <w:outlineLvl w:val="9"/>
        <w:rPr>
          <w:rFonts w:hint="default" w:ascii="Times New Roman" w:hAnsi="Times New Roman" w:cs="Times New Roman"/>
          <w:b/>
          <w:bCs/>
          <w:color w:val="auto"/>
          <w:sz w:val="21"/>
          <w:szCs w:val="21"/>
          <w:highlight w:val="none"/>
          <w:u w:val="none" w:color="auto"/>
        </w:rPr>
      </w:pPr>
    </w:p>
    <w:p w14:paraId="2575C8E8">
      <w:pPr>
        <w:pStyle w:val="205"/>
        <w:numPr>
          <w:ilvl w:val="0"/>
          <w:numId w:val="0"/>
        </w:numPr>
        <w:jc w:val="center"/>
        <w:outlineLvl w:val="9"/>
        <w:rPr>
          <w:rFonts w:hint="default" w:ascii="Times New Roman" w:hAnsi="Times New Roman" w:cs="Times New Roman"/>
          <w:b/>
          <w:bCs/>
          <w:color w:val="auto"/>
          <w:sz w:val="21"/>
          <w:szCs w:val="21"/>
          <w:highlight w:val="none"/>
          <w:u w:val="none" w:color="auto"/>
        </w:rPr>
      </w:pPr>
    </w:p>
    <w:p w14:paraId="357876F7">
      <w:pPr>
        <w:pStyle w:val="205"/>
        <w:numPr>
          <w:ilvl w:val="0"/>
          <w:numId w:val="0"/>
        </w:numPr>
        <w:jc w:val="center"/>
        <w:outlineLvl w:val="9"/>
        <w:rPr>
          <w:color w:val="auto"/>
          <w:sz w:val="21"/>
          <w:szCs w:val="21"/>
          <w:highlight w:val="yellow"/>
          <w:u w:val="none" w:color="auto"/>
        </w:rPr>
      </w:pPr>
      <w:r>
        <w:rPr>
          <w:rFonts w:hint="default" w:ascii="Times New Roman" w:hAnsi="Times New Roman" w:cs="Times New Roman"/>
          <w:b/>
          <w:bCs/>
          <w:color w:val="auto"/>
          <w:sz w:val="21"/>
          <w:szCs w:val="21"/>
          <w:highlight w:val="none"/>
          <w:u w:val="none" w:color="auto"/>
        </w:rPr>
        <w:t>表</w:t>
      </w:r>
      <w:r>
        <w:rPr>
          <w:rFonts w:hint="eastAsia" w:ascii="Times New Roman" w:hAnsi="Times New Roman" w:cs="Times New Roman"/>
          <w:b/>
          <w:bCs/>
          <w:color w:val="auto"/>
          <w:sz w:val="21"/>
          <w:szCs w:val="21"/>
          <w:highlight w:val="none"/>
          <w:u w:val="none" w:color="auto"/>
          <w:lang w:val="en-US" w:eastAsia="zh-CN"/>
        </w:rPr>
        <w:t>2.5-</w:t>
      </w:r>
      <w:r>
        <w:rPr>
          <w:rFonts w:hint="eastAsia" w:cs="Times New Roman"/>
          <w:b/>
          <w:bCs/>
          <w:color w:val="auto"/>
          <w:sz w:val="21"/>
          <w:szCs w:val="21"/>
          <w:highlight w:val="none"/>
          <w:u w:val="none" w:color="auto"/>
          <w:lang w:val="en-US" w:eastAsia="zh-CN"/>
        </w:rPr>
        <w:t>9</w:t>
      </w:r>
      <w:r>
        <w:rPr>
          <w:rFonts w:hint="eastAsia" w:ascii="Times New Roman" w:hAnsi="Times New Roman" w:cs="Times New Roman"/>
          <w:b/>
          <w:bCs/>
          <w:color w:val="auto"/>
          <w:sz w:val="21"/>
          <w:szCs w:val="21"/>
          <w:highlight w:val="none"/>
          <w:u w:val="none" w:color="auto"/>
          <w:lang w:val="en-US" w:eastAsia="zh-CN"/>
        </w:rPr>
        <w:t xml:space="preserve">  </w:t>
      </w:r>
      <w:r>
        <w:rPr>
          <w:color w:val="auto"/>
          <w:sz w:val="21"/>
          <w:szCs w:val="21"/>
          <w:u w:val="none" w:color="auto"/>
        </w:rPr>
        <w:t>危险物质数量与临界量的比值确定</w:t>
      </w:r>
    </w:p>
    <w:tbl>
      <w:tblPr>
        <w:tblStyle w:val="4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89"/>
        <w:gridCol w:w="1099"/>
        <w:gridCol w:w="1103"/>
        <w:gridCol w:w="1543"/>
        <w:gridCol w:w="1147"/>
      </w:tblGrid>
      <w:tr w14:paraId="16D0E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2365" w:type="pct"/>
            <w:vMerge w:val="restart"/>
            <w:noWrap w:val="0"/>
            <w:vAlign w:val="center"/>
          </w:tcPr>
          <w:p w14:paraId="70BD0D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危险物质名称</w:t>
            </w:r>
          </w:p>
        </w:tc>
        <w:tc>
          <w:tcPr>
            <w:tcW w:w="1186" w:type="pct"/>
            <w:gridSpan w:val="2"/>
            <w:noWrap w:val="0"/>
            <w:vAlign w:val="center"/>
          </w:tcPr>
          <w:p w14:paraId="3AEB45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最大</w:t>
            </w:r>
            <w:r>
              <w:rPr>
                <w:rFonts w:hint="eastAsia"/>
                <w:b/>
                <w:bCs/>
                <w:color w:val="auto"/>
                <w:sz w:val="21"/>
                <w:szCs w:val="21"/>
                <w:highlight w:val="none"/>
              </w:rPr>
              <w:t>存在</w:t>
            </w:r>
            <w:r>
              <w:rPr>
                <w:b/>
                <w:bCs/>
                <w:color w:val="auto"/>
                <w:sz w:val="21"/>
                <w:szCs w:val="21"/>
                <w:highlight w:val="none"/>
              </w:rPr>
              <w:t>量（t）</w:t>
            </w:r>
          </w:p>
        </w:tc>
        <w:tc>
          <w:tcPr>
            <w:tcW w:w="830" w:type="pct"/>
            <w:vMerge w:val="restart"/>
            <w:noWrap w:val="0"/>
            <w:vAlign w:val="center"/>
          </w:tcPr>
          <w:p w14:paraId="2AA22C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临界量（t）</w:t>
            </w:r>
          </w:p>
        </w:tc>
        <w:tc>
          <w:tcPr>
            <w:tcW w:w="617" w:type="pct"/>
            <w:vMerge w:val="restart"/>
            <w:noWrap w:val="0"/>
            <w:vAlign w:val="center"/>
          </w:tcPr>
          <w:p w14:paraId="7094C8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q/Q</w:t>
            </w:r>
          </w:p>
        </w:tc>
      </w:tr>
      <w:tr w14:paraId="0C0049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2365" w:type="pct"/>
            <w:vMerge w:val="continue"/>
            <w:noWrap w:val="0"/>
            <w:vAlign w:val="center"/>
          </w:tcPr>
          <w:p w14:paraId="08D288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color w:val="auto"/>
                <w:sz w:val="21"/>
                <w:szCs w:val="21"/>
                <w:highlight w:val="none"/>
              </w:rPr>
            </w:pPr>
          </w:p>
        </w:tc>
        <w:tc>
          <w:tcPr>
            <w:tcW w:w="592" w:type="pct"/>
            <w:noWrap w:val="0"/>
            <w:vAlign w:val="center"/>
          </w:tcPr>
          <w:p w14:paraId="5AD196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rFonts w:hint="eastAsia"/>
                <w:b/>
                <w:bCs/>
                <w:color w:val="auto"/>
                <w:sz w:val="21"/>
                <w:szCs w:val="21"/>
                <w:highlight w:val="none"/>
                <w:lang w:eastAsia="zh-CN"/>
              </w:rPr>
              <w:t>储存量</w:t>
            </w:r>
          </w:p>
        </w:tc>
        <w:tc>
          <w:tcPr>
            <w:tcW w:w="594" w:type="pct"/>
            <w:noWrap w:val="0"/>
            <w:vAlign w:val="center"/>
          </w:tcPr>
          <w:p w14:paraId="51360F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rFonts w:hint="eastAsia"/>
                <w:b/>
                <w:bCs/>
                <w:color w:val="auto"/>
                <w:sz w:val="21"/>
                <w:szCs w:val="21"/>
                <w:highlight w:val="none"/>
                <w:lang w:eastAsia="zh-CN"/>
              </w:rPr>
              <w:t>在线量</w:t>
            </w:r>
          </w:p>
        </w:tc>
        <w:tc>
          <w:tcPr>
            <w:tcW w:w="830" w:type="pct"/>
            <w:vMerge w:val="continue"/>
            <w:noWrap w:val="0"/>
            <w:vAlign w:val="center"/>
          </w:tcPr>
          <w:p w14:paraId="2B5C01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p>
        </w:tc>
        <w:tc>
          <w:tcPr>
            <w:tcW w:w="617" w:type="pct"/>
            <w:vMerge w:val="continue"/>
            <w:noWrap w:val="0"/>
            <w:vAlign w:val="center"/>
          </w:tcPr>
          <w:p w14:paraId="58BD6F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p>
        </w:tc>
      </w:tr>
      <w:tr w14:paraId="00E3E6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65" w:type="pct"/>
            <w:noWrap w:val="0"/>
            <w:vAlign w:val="center"/>
          </w:tcPr>
          <w:p w14:paraId="13103E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PAC</w:t>
            </w:r>
          </w:p>
        </w:tc>
        <w:tc>
          <w:tcPr>
            <w:tcW w:w="592" w:type="pct"/>
            <w:noWrap w:val="0"/>
            <w:vAlign w:val="center"/>
          </w:tcPr>
          <w:p w14:paraId="4C9C55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w:t>
            </w:r>
          </w:p>
        </w:tc>
        <w:tc>
          <w:tcPr>
            <w:tcW w:w="594" w:type="pct"/>
            <w:noWrap w:val="0"/>
            <w:vAlign w:val="center"/>
          </w:tcPr>
          <w:p w14:paraId="4C7C4B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830" w:type="pct"/>
            <w:noWrap w:val="0"/>
            <w:vAlign w:val="center"/>
          </w:tcPr>
          <w:p w14:paraId="0C0081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617" w:type="pct"/>
            <w:noWrap w:val="0"/>
            <w:vAlign w:val="center"/>
          </w:tcPr>
          <w:p w14:paraId="25B0FD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0.002</w:t>
            </w:r>
          </w:p>
        </w:tc>
      </w:tr>
      <w:tr w14:paraId="71192F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65" w:type="pct"/>
            <w:noWrap w:val="0"/>
            <w:vAlign w:val="center"/>
          </w:tcPr>
          <w:p w14:paraId="277E61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PAM</w:t>
            </w:r>
          </w:p>
        </w:tc>
        <w:tc>
          <w:tcPr>
            <w:tcW w:w="592" w:type="pct"/>
            <w:noWrap w:val="0"/>
            <w:vAlign w:val="center"/>
          </w:tcPr>
          <w:p w14:paraId="2C2540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w:t>
            </w:r>
          </w:p>
        </w:tc>
        <w:tc>
          <w:tcPr>
            <w:tcW w:w="594" w:type="pct"/>
            <w:noWrap w:val="0"/>
            <w:vAlign w:val="center"/>
          </w:tcPr>
          <w:p w14:paraId="7F3A72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830" w:type="pct"/>
            <w:noWrap w:val="0"/>
            <w:vAlign w:val="center"/>
          </w:tcPr>
          <w:p w14:paraId="29BB4E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617" w:type="pct"/>
            <w:noWrap w:val="0"/>
            <w:vAlign w:val="center"/>
          </w:tcPr>
          <w:p w14:paraId="0C4652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0.002</w:t>
            </w:r>
          </w:p>
        </w:tc>
      </w:tr>
      <w:tr w14:paraId="205964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65" w:type="pct"/>
            <w:noWrap w:val="0"/>
            <w:vAlign w:val="center"/>
          </w:tcPr>
          <w:p w14:paraId="394DB7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氢氧化钙</w:t>
            </w:r>
          </w:p>
        </w:tc>
        <w:tc>
          <w:tcPr>
            <w:tcW w:w="592" w:type="pct"/>
            <w:noWrap w:val="0"/>
            <w:vAlign w:val="center"/>
          </w:tcPr>
          <w:p w14:paraId="5EB018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w:t>
            </w:r>
          </w:p>
        </w:tc>
        <w:tc>
          <w:tcPr>
            <w:tcW w:w="594" w:type="pct"/>
            <w:noWrap w:val="0"/>
            <w:vAlign w:val="center"/>
          </w:tcPr>
          <w:p w14:paraId="0C934C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830" w:type="pct"/>
            <w:noWrap w:val="0"/>
            <w:vAlign w:val="center"/>
          </w:tcPr>
          <w:p w14:paraId="1D1018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617" w:type="pct"/>
            <w:noWrap w:val="0"/>
            <w:vAlign w:val="center"/>
          </w:tcPr>
          <w:p w14:paraId="6FEA28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0.002</w:t>
            </w:r>
          </w:p>
        </w:tc>
      </w:tr>
      <w:tr w14:paraId="3F3C29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382" w:type="pct"/>
            <w:gridSpan w:val="4"/>
            <w:noWrap w:val="0"/>
            <w:vAlign w:val="center"/>
          </w:tcPr>
          <w:p w14:paraId="5C3888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合计</w:t>
            </w:r>
          </w:p>
        </w:tc>
        <w:tc>
          <w:tcPr>
            <w:tcW w:w="617" w:type="pct"/>
            <w:noWrap w:val="0"/>
            <w:vAlign w:val="center"/>
          </w:tcPr>
          <w:p w14:paraId="6D841C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0.006</w:t>
            </w:r>
          </w:p>
        </w:tc>
      </w:tr>
      <w:tr w14:paraId="4C96F6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noWrap w:val="0"/>
            <w:vAlign w:val="center"/>
          </w:tcPr>
          <w:p w14:paraId="37959B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rPr>
                <w:b/>
                <w:bCs/>
                <w:color w:val="auto"/>
                <w:sz w:val="21"/>
                <w:szCs w:val="21"/>
                <w:highlight w:val="none"/>
              </w:rPr>
            </w:pPr>
            <w:r>
              <w:rPr>
                <w:rFonts w:hint="default" w:ascii="Times New Roman" w:hAnsi="Times New Roman" w:cs="Times New Roman"/>
                <w:b/>
                <w:bCs/>
                <w:color w:val="auto"/>
                <w:sz w:val="21"/>
                <w:szCs w:val="21"/>
                <w:highlight w:val="none"/>
              </w:rPr>
              <w:t>注：参照“健康危险急性毒性物质（类别3）：50”。</w:t>
            </w:r>
          </w:p>
        </w:tc>
      </w:tr>
    </w:tbl>
    <w:p w14:paraId="424866E2">
      <w:pPr>
        <w:topLinePunct w:val="0"/>
        <w:spacing w:line="360" w:lineRule="auto"/>
        <w:ind w:firstLine="480" w:firstLineChars="200"/>
        <w:jc w:val="left"/>
        <w:rPr>
          <w:rFonts w:hint="default" w:ascii="Times New Roman" w:hAnsi="Times New Roman" w:eastAsia="宋体" w:cs="Times New Roman"/>
          <w:b/>
          <w:bCs/>
          <w:color w:val="auto"/>
          <w:sz w:val="24"/>
          <w:szCs w:val="24"/>
          <w:highlight w:val="none"/>
          <w:u w:val="none" w:color="auto"/>
          <w:lang w:val="en-US" w:eastAsia="zh-CN"/>
        </w:rPr>
      </w:pPr>
      <w:r>
        <w:rPr>
          <w:rFonts w:hint="eastAsia"/>
          <w:color w:val="auto"/>
          <w:sz w:val="24"/>
          <w:szCs w:val="24"/>
          <w:u w:val="none" w:color="auto"/>
        </w:rPr>
        <w:t>根据</w:t>
      </w:r>
      <w:r>
        <w:rPr>
          <w:rFonts w:hint="eastAsia"/>
          <w:color w:val="auto"/>
          <w:sz w:val="24"/>
          <w:szCs w:val="24"/>
          <w:u w:val="none" w:color="auto"/>
          <w:lang w:val="en-US" w:eastAsia="zh-CN"/>
        </w:rPr>
        <w:t>上</w:t>
      </w:r>
      <w:r>
        <w:rPr>
          <w:rFonts w:hint="eastAsia"/>
          <w:color w:val="auto"/>
          <w:sz w:val="24"/>
          <w:szCs w:val="24"/>
          <w:u w:val="none" w:color="auto"/>
        </w:rPr>
        <w:t>表，本项目的Q&lt;1，</w:t>
      </w:r>
      <w:r>
        <w:rPr>
          <w:rFonts w:hint="eastAsia"/>
          <w:color w:val="auto"/>
          <w:sz w:val="24"/>
          <w:szCs w:val="24"/>
          <w:u w:val="none" w:color="auto"/>
          <w:lang w:val="en-US" w:eastAsia="zh-CN"/>
        </w:rPr>
        <w:t>因此</w:t>
      </w: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环境风险潜势等级为I级，</w:t>
      </w:r>
      <w:r>
        <w:rPr>
          <w:rFonts w:hint="eastAsia" w:ascii="Times New Roman" w:hAnsi="Times New Roman" w:cs="Times New Roman"/>
          <w:color w:val="auto"/>
          <w:sz w:val="24"/>
          <w:szCs w:val="24"/>
          <w:highlight w:val="none"/>
          <w:u w:val="none" w:color="auto"/>
          <w:lang w:val="en-US" w:eastAsia="zh-CN"/>
        </w:rPr>
        <w:t>仅需做简单分析</w:t>
      </w:r>
      <w:r>
        <w:rPr>
          <w:rFonts w:hint="eastAsia" w:cs="Times New Roman"/>
          <w:color w:val="auto"/>
          <w:sz w:val="24"/>
          <w:szCs w:val="24"/>
          <w:highlight w:val="none"/>
          <w:u w:val="none" w:color="auto"/>
          <w:lang w:val="en-US" w:eastAsia="zh-CN"/>
        </w:rPr>
        <w:t>，无需设置评价范围</w:t>
      </w:r>
      <w:r>
        <w:rPr>
          <w:rFonts w:hint="eastAsia" w:ascii="Times New Roman" w:hAnsi="Times New Roman" w:cs="Times New Roman"/>
          <w:color w:val="auto"/>
          <w:sz w:val="24"/>
          <w:szCs w:val="24"/>
          <w:highlight w:val="none"/>
          <w:u w:val="none" w:color="auto"/>
          <w:lang w:val="en-US" w:eastAsia="zh-CN"/>
        </w:rPr>
        <w:t>。</w:t>
      </w:r>
    </w:p>
    <w:p w14:paraId="51E1E9F6">
      <w:pPr>
        <w:topLinePunct w:val="0"/>
        <w:spacing w:line="240" w:lineRule="auto"/>
        <w:ind w:firstLine="0" w:firstLineChars="0"/>
        <w:outlineLvl w:val="2"/>
        <w:rPr>
          <w:rFonts w:hint="default" w:ascii="Times New Roman" w:hAnsi="Times New Roman" w:cs="Times New Roman"/>
          <w:b/>
          <w:color w:val="auto"/>
          <w:sz w:val="28"/>
          <w:szCs w:val="28"/>
          <w:highlight w:val="none"/>
          <w:u w:val="none" w:color="auto"/>
        </w:rPr>
      </w:pPr>
      <w:bookmarkStart w:id="301" w:name="_bookmark8"/>
      <w:bookmarkEnd w:id="301"/>
      <w:bookmarkStart w:id="302" w:name="_Toc80"/>
      <w:bookmarkStart w:id="303" w:name="_Toc6495"/>
      <w:bookmarkStart w:id="304" w:name="_Toc18974"/>
      <w:bookmarkStart w:id="305" w:name="_Toc30084"/>
      <w:bookmarkStart w:id="306" w:name="_Toc7957"/>
      <w:r>
        <w:rPr>
          <w:rFonts w:hint="default" w:ascii="Times New Roman" w:hAnsi="Times New Roman" w:cs="Times New Roman"/>
          <w:b/>
          <w:color w:val="auto"/>
          <w:sz w:val="28"/>
          <w:szCs w:val="28"/>
          <w:highlight w:val="none"/>
          <w:u w:val="none" w:color="auto"/>
        </w:rPr>
        <w:t>2.5.</w:t>
      </w:r>
      <w:bookmarkEnd w:id="302"/>
      <w:r>
        <w:rPr>
          <w:rFonts w:hint="eastAsia" w:cs="Times New Roman"/>
          <w:b/>
          <w:color w:val="auto"/>
          <w:sz w:val="28"/>
          <w:szCs w:val="28"/>
          <w:highlight w:val="none"/>
          <w:u w:val="none" w:color="auto"/>
          <w:lang w:val="en-US" w:eastAsia="zh-CN"/>
        </w:rPr>
        <w:t>7</w:t>
      </w:r>
      <w:r>
        <w:rPr>
          <w:rFonts w:hint="default" w:ascii="Times New Roman" w:hAnsi="Times New Roman" w:cs="Times New Roman"/>
          <w:b/>
          <w:color w:val="auto"/>
          <w:sz w:val="28"/>
          <w:szCs w:val="28"/>
          <w:highlight w:val="none"/>
          <w:u w:val="none" w:color="auto"/>
        </w:rPr>
        <w:t>小结</w:t>
      </w:r>
      <w:bookmarkEnd w:id="303"/>
      <w:bookmarkEnd w:id="304"/>
      <w:bookmarkEnd w:id="305"/>
      <w:bookmarkEnd w:id="306"/>
    </w:p>
    <w:p w14:paraId="619C13A9">
      <w:pPr>
        <w:topLinePunct w:val="0"/>
        <w:ind w:firstLine="480"/>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各环境要素评价等级及评价范围统计见表2.5-1</w:t>
      </w:r>
      <w:r>
        <w:rPr>
          <w:rFonts w:hint="eastAsia" w:cs="Times New Roman"/>
          <w:color w:val="auto"/>
          <w:sz w:val="24"/>
          <w:szCs w:val="24"/>
          <w:highlight w:val="none"/>
          <w:u w:val="none" w:color="auto"/>
          <w:lang w:val="en-US" w:eastAsia="zh-CN"/>
        </w:rPr>
        <w:t>0</w:t>
      </w:r>
      <w:r>
        <w:rPr>
          <w:rFonts w:hint="default" w:ascii="Times New Roman" w:hAnsi="Times New Roman" w:cs="Times New Roman"/>
          <w:color w:val="auto"/>
          <w:sz w:val="24"/>
          <w:szCs w:val="24"/>
          <w:highlight w:val="none"/>
          <w:u w:val="none" w:color="auto"/>
        </w:rPr>
        <w:t>。</w:t>
      </w:r>
    </w:p>
    <w:p w14:paraId="79892C64">
      <w:pPr>
        <w:topLinePunct w:val="0"/>
        <w:spacing w:line="240" w:lineRule="atLeast"/>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表2.5-1</w:t>
      </w:r>
      <w:r>
        <w:rPr>
          <w:rFonts w:hint="eastAsia" w:cs="Times New Roman"/>
          <w:b/>
          <w:bCs/>
          <w:color w:val="auto"/>
          <w:sz w:val="21"/>
          <w:szCs w:val="21"/>
          <w:highlight w:val="none"/>
          <w:u w:val="none" w:color="auto"/>
          <w:lang w:val="en-US" w:eastAsia="zh-CN"/>
        </w:rPr>
        <w:t>0</w:t>
      </w:r>
      <w:r>
        <w:rPr>
          <w:rFonts w:hint="default" w:ascii="Times New Roman" w:hAnsi="Times New Roman" w:cs="Times New Roman"/>
          <w:b/>
          <w:bCs/>
          <w:color w:val="auto"/>
          <w:sz w:val="21"/>
          <w:szCs w:val="21"/>
          <w:highlight w:val="none"/>
          <w:u w:val="none" w:color="auto"/>
        </w:rPr>
        <w:t xml:space="preserve">  </w:t>
      </w:r>
      <w:r>
        <w:rPr>
          <w:rFonts w:hint="eastAsia" w:cs="Times New Roman"/>
          <w:b/>
          <w:bCs/>
          <w:color w:val="auto"/>
          <w:sz w:val="21"/>
          <w:szCs w:val="21"/>
          <w:highlight w:val="none"/>
          <w:u w:val="none" w:color="auto"/>
          <w:lang w:eastAsia="zh-CN"/>
        </w:rPr>
        <w:t>本项目</w:t>
      </w:r>
      <w:r>
        <w:rPr>
          <w:rFonts w:hint="default" w:ascii="Times New Roman" w:hAnsi="Times New Roman" w:cs="Times New Roman"/>
          <w:b/>
          <w:bCs/>
          <w:color w:val="auto"/>
          <w:sz w:val="21"/>
          <w:szCs w:val="21"/>
          <w:highlight w:val="none"/>
          <w:u w:val="none" w:color="auto"/>
        </w:rPr>
        <w:t>评价等级与评价范围一览表</w:t>
      </w:r>
    </w:p>
    <w:tbl>
      <w:tblPr>
        <w:tblStyle w:val="4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13" w:type="dxa"/>
          <w:bottom w:w="0" w:type="dxa"/>
          <w:right w:w="113" w:type="dxa"/>
        </w:tblCellMar>
      </w:tblPr>
      <w:tblGrid>
        <w:gridCol w:w="1278"/>
        <w:gridCol w:w="1170"/>
        <w:gridCol w:w="5340"/>
        <w:gridCol w:w="1510"/>
      </w:tblGrid>
      <w:tr w14:paraId="2A932E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1278" w:type="dxa"/>
            <w:noWrap w:val="0"/>
            <w:vAlign w:val="center"/>
          </w:tcPr>
          <w:p w14:paraId="7E08EB60">
            <w:pPr>
              <w:pStyle w:val="114"/>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内容</w:t>
            </w:r>
          </w:p>
        </w:tc>
        <w:tc>
          <w:tcPr>
            <w:tcW w:w="1170" w:type="dxa"/>
            <w:noWrap w:val="0"/>
            <w:vAlign w:val="center"/>
          </w:tcPr>
          <w:p w14:paraId="081000D0">
            <w:pPr>
              <w:pStyle w:val="114"/>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评价等级</w:t>
            </w:r>
          </w:p>
        </w:tc>
        <w:tc>
          <w:tcPr>
            <w:tcW w:w="5340" w:type="dxa"/>
            <w:noWrap w:val="0"/>
            <w:vAlign w:val="center"/>
          </w:tcPr>
          <w:p w14:paraId="338C1448">
            <w:pPr>
              <w:pStyle w:val="114"/>
              <w:rPr>
                <w:rFonts w:hint="default" w:ascii="Times New Roman" w:hAnsi="Times New Roman" w:cs="Times New Roman"/>
                <w:b/>
                <w:bCs/>
                <w:color w:val="auto"/>
                <w:highlight w:val="none"/>
                <w:u w:val="none" w:color="auto"/>
              </w:rPr>
            </w:pPr>
            <w:r>
              <w:rPr>
                <w:rFonts w:hint="eastAsia" w:cs="Times New Roman"/>
                <w:b/>
                <w:bCs/>
                <w:color w:val="auto"/>
                <w:highlight w:val="none"/>
                <w:u w:val="none" w:color="auto"/>
                <w:lang w:eastAsia="zh-CN"/>
              </w:rPr>
              <w:t>本项目</w:t>
            </w:r>
            <w:r>
              <w:rPr>
                <w:rFonts w:hint="default" w:ascii="Times New Roman" w:hAnsi="Times New Roman" w:cs="Times New Roman"/>
                <w:b/>
                <w:bCs/>
                <w:color w:val="auto"/>
                <w:highlight w:val="none"/>
                <w:u w:val="none" w:color="auto"/>
              </w:rPr>
              <w:t>评价范围</w:t>
            </w:r>
          </w:p>
        </w:tc>
        <w:tc>
          <w:tcPr>
            <w:tcW w:w="1510" w:type="dxa"/>
            <w:noWrap w:val="0"/>
            <w:vAlign w:val="center"/>
          </w:tcPr>
          <w:p w14:paraId="5897CEA6">
            <w:pPr>
              <w:pStyle w:val="114"/>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依据</w:t>
            </w:r>
          </w:p>
        </w:tc>
      </w:tr>
      <w:tr w14:paraId="63D1D3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1278" w:type="dxa"/>
            <w:noWrap w:val="0"/>
            <w:vAlign w:val="center"/>
          </w:tcPr>
          <w:p w14:paraId="760AAECC">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大气环境</w:t>
            </w:r>
          </w:p>
        </w:tc>
        <w:tc>
          <w:tcPr>
            <w:tcW w:w="1170" w:type="dxa"/>
            <w:noWrap w:val="0"/>
            <w:vAlign w:val="center"/>
          </w:tcPr>
          <w:p w14:paraId="16326672">
            <w:pPr>
              <w:pStyle w:val="114"/>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三</w:t>
            </w:r>
            <w:r>
              <w:rPr>
                <w:rFonts w:hint="default" w:ascii="Times New Roman" w:hAnsi="Times New Roman" w:cs="Times New Roman"/>
                <w:color w:val="auto"/>
                <w:highlight w:val="none"/>
                <w:u w:val="none" w:color="auto"/>
              </w:rPr>
              <w:t>级</w:t>
            </w:r>
          </w:p>
        </w:tc>
        <w:tc>
          <w:tcPr>
            <w:tcW w:w="5340" w:type="dxa"/>
            <w:noWrap w:val="0"/>
            <w:vAlign w:val="center"/>
          </w:tcPr>
          <w:p w14:paraId="0418D03A">
            <w:pPr>
              <w:pStyle w:val="114"/>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w:t>
            </w:r>
          </w:p>
        </w:tc>
        <w:tc>
          <w:tcPr>
            <w:tcW w:w="1510" w:type="dxa"/>
            <w:noWrap w:val="0"/>
            <w:vAlign w:val="center"/>
          </w:tcPr>
          <w:p w14:paraId="0F07721C">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HJ2.2-2018</w:t>
            </w:r>
          </w:p>
        </w:tc>
      </w:tr>
      <w:tr w14:paraId="055652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1278" w:type="dxa"/>
            <w:noWrap w:val="0"/>
            <w:vAlign w:val="center"/>
          </w:tcPr>
          <w:p w14:paraId="34C6DA20">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地表水环境</w:t>
            </w:r>
          </w:p>
        </w:tc>
        <w:tc>
          <w:tcPr>
            <w:tcW w:w="1170" w:type="dxa"/>
            <w:noWrap w:val="0"/>
            <w:vAlign w:val="center"/>
          </w:tcPr>
          <w:p w14:paraId="47E94CEC">
            <w:pPr>
              <w:pStyle w:val="114"/>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三级B</w:t>
            </w:r>
          </w:p>
        </w:tc>
        <w:tc>
          <w:tcPr>
            <w:tcW w:w="5340" w:type="dxa"/>
            <w:noWrap w:val="0"/>
            <w:vAlign w:val="center"/>
          </w:tcPr>
          <w:p w14:paraId="6EC32C9D">
            <w:pPr>
              <w:pStyle w:val="114"/>
              <w:rPr>
                <w:rFonts w:hint="eastAsia" w:ascii="Times New Roman" w:hAnsi="Times New Roman" w:eastAsia="宋体" w:cs="Times New Roman"/>
                <w:color w:val="auto"/>
                <w:highlight w:val="none"/>
                <w:u w:val="none" w:color="auto"/>
                <w:lang w:eastAsia="zh-CN"/>
              </w:rPr>
            </w:pPr>
            <w:r>
              <w:rPr>
                <w:rFonts w:hint="eastAsia" w:cs="Times New Roman"/>
                <w:color w:val="auto"/>
                <w:highlight w:val="none"/>
                <w:u w:val="none" w:color="auto"/>
                <w:lang w:val="en-US" w:eastAsia="zh-CN"/>
              </w:rPr>
              <w:t>/</w:t>
            </w:r>
          </w:p>
        </w:tc>
        <w:tc>
          <w:tcPr>
            <w:tcW w:w="1510" w:type="dxa"/>
            <w:noWrap w:val="0"/>
            <w:vAlign w:val="center"/>
          </w:tcPr>
          <w:p w14:paraId="51738483">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HJ2.3-2018</w:t>
            </w:r>
          </w:p>
        </w:tc>
      </w:tr>
      <w:tr w14:paraId="087A0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1278" w:type="dxa"/>
            <w:noWrap w:val="0"/>
            <w:vAlign w:val="center"/>
          </w:tcPr>
          <w:p w14:paraId="44393A5F">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地下水环境</w:t>
            </w:r>
          </w:p>
        </w:tc>
        <w:tc>
          <w:tcPr>
            <w:tcW w:w="1170" w:type="dxa"/>
            <w:noWrap w:val="0"/>
            <w:vAlign w:val="center"/>
          </w:tcPr>
          <w:p w14:paraId="0E237CF9">
            <w:pPr>
              <w:pStyle w:val="114"/>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三</w:t>
            </w:r>
            <w:r>
              <w:rPr>
                <w:rFonts w:hint="default" w:ascii="Times New Roman" w:hAnsi="Times New Roman" w:cs="Times New Roman"/>
                <w:color w:val="auto"/>
                <w:highlight w:val="none"/>
                <w:u w:val="none" w:color="auto"/>
              </w:rPr>
              <w:t>级</w:t>
            </w:r>
          </w:p>
        </w:tc>
        <w:tc>
          <w:tcPr>
            <w:tcW w:w="5340" w:type="dxa"/>
            <w:noWrap w:val="0"/>
            <w:vAlign w:val="center"/>
          </w:tcPr>
          <w:p w14:paraId="1B87A25C">
            <w:pPr>
              <w:pStyle w:val="114"/>
              <w:rPr>
                <w:rFonts w:hint="default" w:ascii="Times New Roman" w:hAnsi="Times New Roman" w:cs="Times New Roman"/>
                <w:color w:val="auto"/>
                <w:highlight w:val="none"/>
                <w:u w:val="none" w:color="auto"/>
                <w:lang w:val="en-US"/>
              </w:rPr>
            </w:pPr>
            <w:r>
              <w:rPr>
                <w:rFonts w:hint="default" w:ascii="Times New Roman" w:hAnsi="Times New Roman" w:cs="Times New Roman"/>
                <w:color w:val="auto"/>
                <w:highlight w:val="none"/>
                <w:u w:val="none" w:color="auto"/>
              </w:rPr>
              <w:t>以场址为中心，边长</w:t>
            </w:r>
            <w:r>
              <w:rPr>
                <w:rFonts w:hint="eastAsia"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w:t>
            </w:r>
            <w:r>
              <w:rPr>
                <w:rFonts w:hint="eastAsia" w:cs="Times New Roman"/>
                <w:color w:val="auto"/>
                <w:highlight w:val="none"/>
                <w:u w:val="none" w:color="auto"/>
                <w:lang w:val="en-US" w:eastAsia="zh-CN"/>
              </w:rPr>
              <w:t>3</w:t>
            </w:r>
            <w:r>
              <w:rPr>
                <w:rFonts w:hint="default" w:ascii="Times New Roman" w:hAnsi="Times New Roman" w:cs="Times New Roman"/>
                <w:color w:val="auto"/>
                <w:highlight w:val="none"/>
                <w:u w:val="none" w:color="auto"/>
              </w:rPr>
              <w:t>km的矩形区域</w:t>
            </w:r>
          </w:p>
        </w:tc>
        <w:tc>
          <w:tcPr>
            <w:tcW w:w="1510" w:type="dxa"/>
            <w:noWrap w:val="0"/>
            <w:vAlign w:val="center"/>
          </w:tcPr>
          <w:p w14:paraId="474C57F6">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HJ610-2016</w:t>
            </w:r>
          </w:p>
        </w:tc>
      </w:tr>
      <w:tr w14:paraId="0717EA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1278" w:type="dxa"/>
            <w:noWrap w:val="0"/>
            <w:vAlign w:val="center"/>
          </w:tcPr>
          <w:p w14:paraId="64FBBD42">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声环境</w:t>
            </w:r>
          </w:p>
        </w:tc>
        <w:tc>
          <w:tcPr>
            <w:tcW w:w="1170" w:type="dxa"/>
            <w:noWrap w:val="0"/>
            <w:vAlign w:val="center"/>
          </w:tcPr>
          <w:p w14:paraId="19AA2F0D">
            <w:pPr>
              <w:pStyle w:val="114"/>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三</w:t>
            </w:r>
            <w:r>
              <w:rPr>
                <w:rFonts w:hint="default" w:ascii="Times New Roman" w:hAnsi="Times New Roman" w:cs="Times New Roman"/>
                <w:color w:val="auto"/>
                <w:highlight w:val="none"/>
                <w:u w:val="none" w:color="auto"/>
              </w:rPr>
              <w:t>级</w:t>
            </w:r>
          </w:p>
        </w:tc>
        <w:tc>
          <w:tcPr>
            <w:tcW w:w="5340" w:type="dxa"/>
            <w:noWrap w:val="0"/>
            <w:vAlign w:val="center"/>
          </w:tcPr>
          <w:p w14:paraId="00EEC696">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项目厂界外200m范围</w:t>
            </w:r>
          </w:p>
        </w:tc>
        <w:tc>
          <w:tcPr>
            <w:tcW w:w="1510" w:type="dxa"/>
            <w:noWrap w:val="0"/>
            <w:vAlign w:val="center"/>
          </w:tcPr>
          <w:p w14:paraId="4EEC3BC4">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HJ2.4-2021</w:t>
            </w:r>
          </w:p>
        </w:tc>
      </w:tr>
      <w:tr w14:paraId="2C0648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trHeight w:val="90" w:hRule="atLeast"/>
          <w:jc w:val="center"/>
        </w:trPr>
        <w:tc>
          <w:tcPr>
            <w:tcW w:w="1278" w:type="dxa"/>
            <w:noWrap w:val="0"/>
            <w:vAlign w:val="center"/>
          </w:tcPr>
          <w:p w14:paraId="18988C8F">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土壤环境</w:t>
            </w:r>
          </w:p>
        </w:tc>
        <w:tc>
          <w:tcPr>
            <w:tcW w:w="1170" w:type="dxa"/>
            <w:noWrap w:val="0"/>
            <w:vAlign w:val="center"/>
          </w:tcPr>
          <w:p w14:paraId="5D2F80F9">
            <w:pPr>
              <w:pStyle w:val="114"/>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三</w:t>
            </w:r>
            <w:r>
              <w:rPr>
                <w:rFonts w:hint="default" w:ascii="Times New Roman" w:hAnsi="Times New Roman" w:cs="Times New Roman"/>
                <w:color w:val="auto"/>
                <w:highlight w:val="none"/>
                <w:u w:val="none" w:color="auto"/>
              </w:rPr>
              <w:t>级</w:t>
            </w:r>
          </w:p>
        </w:tc>
        <w:tc>
          <w:tcPr>
            <w:tcW w:w="5340" w:type="dxa"/>
            <w:noWrap w:val="0"/>
            <w:vAlign w:val="center"/>
          </w:tcPr>
          <w:p w14:paraId="5CA6B819">
            <w:pPr>
              <w:pStyle w:val="114"/>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全厂</w:t>
            </w:r>
            <w:r>
              <w:rPr>
                <w:rFonts w:hint="default" w:ascii="Times New Roman" w:hAnsi="Times New Roman" w:cs="Times New Roman"/>
                <w:color w:val="auto"/>
                <w:highlight w:val="none"/>
                <w:u w:val="none" w:color="auto"/>
              </w:rPr>
              <w:t>占地范围及厂界外</w:t>
            </w:r>
            <w:r>
              <w:rPr>
                <w:rFonts w:hint="eastAsia" w:cs="Times New Roman"/>
                <w:color w:val="auto"/>
                <w:highlight w:val="none"/>
                <w:u w:val="none" w:color="auto"/>
                <w:lang w:val="en-US" w:eastAsia="zh-CN"/>
              </w:rPr>
              <w:t>50</w:t>
            </w:r>
            <w:r>
              <w:rPr>
                <w:rFonts w:hint="default" w:ascii="Times New Roman" w:hAnsi="Times New Roman" w:cs="Times New Roman"/>
                <w:color w:val="auto"/>
                <w:highlight w:val="none"/>
                <w:u w:val="none" w:color="auto"/>
              </w:rPr>
              <w:t>m范围内</w:t>
            </w:r>
          </w:p>
        </w:tc>
        <w:tc>
          <w:tcPr>
            <w:tcW w:w="1510" w:type="dxa"/>
            <w:noWrap w:val="0"/>
            <w:vAlign w:val="center"/>
          </w:tcPr>
          <w:p w14:paraId="4544A7E7">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HJ964-2018</w:t>
            </w:r>
          </w:p>
        </w:tc>
      </w:tr>
      <w:tr w14:paraId="4DE1F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1278" w:type="dxa"/>
            <w:noWrap w:val="0"/>
            <w:vAlign w:val="center"/>
          </w:tcPr>
          <w:p w14:paraId="56313017">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生态环境</w:t>
            </w:r>
          </w:p>
        </w:tc>
        <w:tc>
          <w:tcPr>
            <w:tcW w:w="1170" w:type="dxa"/>
            <w:noWrap w:val="0"/>
            <w:vAlign w:val="center"/>
          </w:tcPr>
          <w:p w14:paraId="3AE52B7D">
            <w:pPr>
              <w:pStyle w:val="114"/>
              <w:rPr>
                <w:rFonts w:hint="eastAsia" w:ascii="Times New Roman" w:hAnsi="Times New Roman" w:eastAsia="宋体" w:cs="Times New Roman"/>
                <w:color w:val="auto"/>
                <w:highlight w:val="none"/>
                <w:u w:val="none" w:color="auto"/>
                <w:lang w:eastAsia="zh-CN"/>
              </w:rPr>
            </w:pPr>
            <w:r>
              <w:rPr>
                <w:rFonts w:hint="eastAsia" w:cs="Times New Roman"/>
                <w:color w:val="auto"/>
                <w:highlight w:val="none"/>
                <w:u w:val="none" w:color="auto"/>
                <w:lang w:val="en-US" w:eastAsia="zh-CN"/>
              </w:rPr>
              <w:t>三级</w:t>
            </w:r>
          </w:p>
        </w:tc>
        <w:tc>
          <w:tcPr>
            <w:tcW w:w="5340" w:type="dxa"/>
            <w:noWrap w:val="0"/>
            <w:vAlign w:val="center"/>
          </w:tcPr>
          <w:p w14:paraId="60AB7111">
            <w:pPr>
              <w:pStyle w:val="114"/>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kern w:val="2"/>
                <w:sz w:val="21"/>
                <w:szCs w:val="21"/>
                <w:highlight w:val="none"/>
                <w:u w:val="none" w:color="auto"/>
                <w:lang w:val="en-US" w:eastAsia="zh-CN" w:bidi="ar-SA"/>
              </w:rPr>
              <w:t>项目</w:t>
            </w:r>
            <w:r>
              <w:rPr>
                <w:rFonts w:hint="eastAsia"/>
                <w:color w:val="auto"/>
                <w:sz w:val="21"/>
                <w:szCs w:val="21"/>
                <w:highlight w:val="none"/>
                <w:u w:val="none" w:color="auto"/>
                <w:lang w:val="en-US" w:eastAsia="zh-CN"/>
              </w:rPr>
              <w:t>填埋场、渣区、取土场及运输路线</w:t>
            </w:r>
            <w:r>
              <w:rPr>
                <w:rFonts w:hint="default" w:ascii="Times New Roman" w:hAnsi="Times New Roman" w:eastAsia="宋体" w:cs="Times New Roman"/>
                <w:color w:val="auto"/>
                <w:kern w:val="2"/>
                <w:sz w:val="21"/>
                <w:szCs w:val="21"/>
                <w:highlight w:val="none"/>
                <w:u w:val="none" w:color="auto"/>
                <w:lang w:val="en-US" w:eastAsia="zh-CN" w:bidi="ar-SA"/>
              </w:rPr>
              <w:t>占地范围内全部以及占地范围外</w:t>
            </w:r>
            <w:r>
              <w:rPr>
                <w:rFonts w:hint="eastAsia" w:cs="Times New Roman"/>
                <w:color w:val="auto"/>
                <w:kern w:val="2"/>
                <w:sz w:val="21"/>
                <w:szCs w:val="21"/>
                <w:highlight w:val="none"/>
                <w:u w:val="none" w:color="auto"/>
                <w:lang w:val="en-US" w:eastAsia="zh-CN" w:bidi="ar-SA"/>
              </w:rPr>
              <w:t>500m</w:t>
            </w:r>
            <w:r>
              <w:rPr>
                <w:rFonts w:hint="default" w:ascii="Times New Roman" w:hAnsi="Times New Roman" w:eastAsia="宋体" w:cs="Times New Roman"/>
                <w:color w:val="auto"/>
                <w:kern w:val="2"/>
                <w:sz w:val="21"/>
                <w:szCs w:val="21"/>
                <w:highlight w:val="none"/>
                <w:u w:val="none" w:color="auto"/>
                <w:lang w:val="en-US" w:eastAsia="zh-CN" w:bidi="ar-SA"/>
              </w:rPr>
              <w:t>范围内</w:t>
            </w:r>
          </w:p>
        </w:tc>
        <w:tc>
          <w:tcPr>
            <w:tcW w:w="1510" w:type="dxa"/>
            <w:noWrap w:val="0"/>
            <w:vAlign w:val="center"/>
          </w:tcPr>
          <w:p w14:paraId="194FFAC8">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HJ19-2022</w:t>
            </w:r>
          </w:p>
        </w:tc>
      </w:tr>
      <w:tr w14:paraId="252C3A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3" w:type="dxa"/>
            <w:bottom w:w="0" w:type="dxa"/>
            <w:right w:w="113" w:type="dxa"/>
          </w:tblCellMar>
        </w:tblPrEx>
        <w:trPr>
          <w:jc w:val="center"/>
        </w:trPr>
        <w:tc>
          <w:tcPr>
            <w:tcW w:w="1278" w:type="dxa"/>
            <w:noWrap w:val="0"/>
            <w:vAlign w:val="center"/>
          </w:tcPr>
          <w:p w14:paraId="44736762">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环境风险</w:t>
            </w:r>
          </w:p>
        </w:tc>
        <w:tc>
          <w:tcPr>
            <w:tcW w:w="1170" w:type="dxa"/>
            <w:noWrap w:val="0"/>
            <w:vAlign w:val="center"/>
          </w:tcPr>
          <w:p w14:paraId="15DE2EC7">
            <w:pPr>
              <w:pStyle w:val="114"/>
              <w:rPr>
                <w:rFonts w:hint="default" w:ascii="Times New Roman" w:hAnsi="Times New Roman" w:cs="Times New Roman"/>
                <w:color w:val="auto"/>
                <w:highlight w:val="none"/>
                <w:u w:val="none" w:color="auto"/>
              </w:rPr>
            </w:pPr>
            <w:r>
              <w:rPr>
                <w:rFonts w:hint="eastAsia" w:ascii="Times New Roman" w:hAnsi="Times New Roman" w:cs="Times New Roman"/>
                <w:color w:val="auto"/>
                <w:highlight w:val="none"/>
                <w:u w:val="none" w:color="auto"/>
                <w:lang w:val="en-US" w:eastAsia="zh-CN"/>
              </w:rPr>
              <w:t>简单分析</w:t>
            </w:r>
          </w:p>
        </w:tc>
        <w:tc>
          <w:tcPr>
            <w:tcW w:w="5340" w:type="dxa"/>
            <w:noWrap w:val="0"/>
            <w:vAlign w:val="center"/>
          </w:tcPr>
          <w:p w14:paraId="2D7250BB">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w:t>
            </w:r>
          </w:p>
        </w:tc>
        <w:tc>
          <w:tcPr>
            <w:tcW w:w="1510" w:type="dxa"/>
            <w:noWrap w:val="0"/>
            <w:vAlign w:val="center"/>
          </w:tcPr>
          <w:p w14:paraId="15CAC964">
            <w:pPr>
              <w:pStyle w:val="114"/>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HJ169-2018</w:t>
            </w:r>
          </w:p>
        </w:tc>
      </w:tr>
    </w:tbl>
    <w:p w14:paraId="2795C555">
      <w:pPr>
        <w:pStyle w:val="3"/>
        <w:topLinePunct w:val="0"/>
        <w:spacing w:before="166" w:after="166"/>
        <w:rPr>
          <w:rFonts w:hint="default" w:ascii="Times New Roman" w:hAnsi="Times New Roman" w:cs="Times New Roman"/>
          <w:color w:val="auto"/>
          <w:highlight w:val="none"/>
          <w:u w:val="none" w:color="auto"/>
        </w:rPr>
        <w:sectPr>
          <w:footerReference r:id="rId8" w:type="default"/>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33" w:charSpace="0"/>
        </w:sectPr>
      </w:pPr>
    </w:p>
    <w:p w14:paraId="158C4261">
      <w:pPr>
        <w:topLinePunct w:val="0"/>
        <w:ind w:firstLine="0" w:firstLineChars="0"/>
        <w:outlineLvl w:val="1"/>
        <w:rPr>
          <w:rFonts w:hint="default" w:ascii="Times New Roman" w:hAnsi="Times New Roman" w:cs="Times New Roman"/>
          <w:b/>
          <w:bCs/>
          <w:color w:val="auto"/>
          <w:sz w:val="30"/>
          <w:szCs w:val="30"/>
          <w:highlight w:val="none"/>
          <w:u w:val="none" w:color="auto"/>
          <w:lang w:bidi="zh-CN"/>
        </w:rPr>
      </w:pPr>
      <w:bookmarkStart w:id="307" w:name="_Toc7495"/>
      <w:bookmarkStart w:id="308" w:name="_Toc29272"/>
      <w:bookmarkStart w:id="309" w:name="_Toc15690"/>
      <w:bookmarkStart w:id="310" w:name="_Toc6664"/>
      <w:bookmarkStart w:id="311" w:name="_Toc9742"/>
      <w:bookmarkStart w:id="312" w:name="_Toc3251"/>
      <w:bookmarkStart w:id="313" w:name="_Toc23680"/>
      <w:bookmarkStart w:id="314" w:name="_Toc15970"/>
      <w:bookmarkStart w:id="315" w:name="_Toc22894"/>
      <w:bookmarkStart w:id="316" w:name="_Toc27652"/>
      <w:bookmarkStart w:id="317" w:name="_Toc25464"/>
      <w:bookmarkStart w:id="318" w:name="_Toc6985"/>
      <w:bookmarkStart w:id="319" w:name="_Toc622"/>
      <w:bookmarkStart w:id="320" w:name="_Toc26575"/>
      <w:r>
        <w:rPr>
          <w:rFonts w:hint="default" w:ascii="Times New Roman" w:hAnsi="Times New Roman" w:cs="Times New Roman"/>
          <w:b/>
          <w:bCs/>
          <w:color w:val="auto"/>
          <w:sz w:val="30"/>
          <w:szCs w:val="30"/>
          <w:highlight w:val="none"/>
          <w:u w:val="none" w:color="auto"/>
          <w:lang w:bidi="zh-CN"/>
        </w:rPr>
        <w:t>2.6环境保护目标</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p>
    <w:p w14:paraId="7E12FAFF">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根据各环境要素的评价等级，</w:t>
      </w:r>
      <w:r>
        <w:rPr>
          <w:rFonts w:hint="eastAsia" w:cs="Times New Roman"/>
          <w:color w:val="auto"/>
          <w:sz w:val="24"/>
          <w:szCs w:val="24"/>
          <w:highlight w:val="none"/>
          <w:u w:val="none" w:color="auto"/>
          <w:lang w:eastAsia="zh-CN"/>
        </w:rPr>
        <w:t>本项目</w:t>
      </w:r>
      <w:r>
        <w:rPr>
          <w:rFonts w:hint="eastAsia" w:cs="Times New Roman"/>
          <w:color w:val="auto"/>
          <w:sz w:val="24"/>
          <w:szCs w:val="24"/>
          <w:highlight w:val="none"/>
          <w:u w:val="none" w:color="auto"/>
          <w:lang w:val="en-US" w:eastAsia="zh-CN"/>
        </w:rPr>
        <w:t>不涉及拆迁、</w:t>
      </w:r>
      <w:r>
        <w:rPr>
          <w:rFonts w:hint="default" w:ascii="Times New Roman" w:hAnsi="Times New Roman" w:cs="Times New Roman"/>
          <w:color w:val="auto"/>
          <w:sz w:val="24"/>
          <w:szCs w:val="24"/>
          <w:highlight w:val="none"/>
          <w:u w:val="none" w:color="auto"/>
        </w:rPr>
        <w:t>不涉及自然保护区、风景名胜区等各类保护区</w:t>
      </w:r>
      <w:r>
        <w:rPr>
          <w:rFonts w:hint="eastAsia"/>
          <w:color w:val="auto"/>
          <w:sz w:val="24"/>
          <w:szCs w:val="24"/>
          <w:u w:val="none" w:color="auto"/>
        </w:rPr>
        <w:t>。</w:t>
      </w:r>
      <w:r>
        <w:rPr>
          <w:rFonts w:hint="default" w:ascii="Times New Roman" w:hAnsi="Times New Roman" w:cs="Times New Roman"/>
          <w:color w:val="auto"/>
          <w:sz w:val="24"/>
          <w:szCs w:val="24"/>
          <w:highlight w:val="none"/>
          <w:u w:val="none" w:color="auto"/>
        </w:rPr>
        <w:t>结合相关图件及现场踏勘，确定项目评价范围内环境保护敏感点具体详见表2.6-1</w:t>
      </w:r>
      <w:r>
        <w:rPr>
          <w:rFonts w:hint="eastAsia" w:cs="Times New Roman"/>
          <w:color w:val="auto"/>
          <w:sz w:val="24"/>
          <w:szCs w:val="24"/>
          <w:highlight w:val="none"/>
          <w:u w:val="none" w:color="auto"/>
          <w:lang w:val="en-US" w:eastAsia="zh-CN"/>
        </w:rPr>
        <w:t>，</w:t>
      </w:r>
      <w:r>
        <w:rPr>
          <w:rFonts w:hint="default" w:ascii="Times New Roman" w:hAnsi="Times New Roman" w:cs="Times New Roman"/>
          <w:color w:val="auto"/>
          <w:sz w:val="24"/>
          <w:szCs w:val="24"/>
          <w:highlight w:val="none"/>
          <w:u w:val="none" w:color="auto"/>
        </w:rPr>
        <w:t>附图</w:t>
      </w:r>
      <w:r>
        <w:rPr>
          <w:rFonts w:hint="eastAsia" w:cs="Times New Roman"/>
          <w:color w:val="auto"/>
          <w:sz w:val="24"/>
          <w:szCs w:val="24"/>
          <w:highlight w:val="none"/>
          <w:u w:val="none" w:color="auto"/>
          <w:lang w:val="en-US" w:eastAsia="zh-CN"/>
        </w:rPr>
        <w:t>4</w:t>
      </w:r>
      <w:r>
        <w:rPr>
          <w:rFonts w:hint="default" w:ascii="Times New Roman" w:hAnsi="Times New Roman" w:cs="Times New Roman"/>
          <w:color w:val="auto"/>
          <w:sz w:val="24"/>
          <w:szCs w:val="24"/>
          <w:highlight w:val="none"/>
          <w:u w:val="none" w:color="auto"/>
        </w:rPr>
        <w:t>。</w:t>
      </w:r>
    </w:p>
    <w:p w14:paraId="50AC10FE">
      <w:pPr>
        <w:topLinePunct w:val="0"/>
        <w:spacing w:line="240" w:lineRule="auto"/>
        <w:ind w:firstLine="422"/>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表2.6-1  项目评价范围内主要环境保护目标</w:t>
      </w:r>
    </w:p>
    <w:tbl>
      <w:tblPr>
        <w:tblStyle w:val="111"/>
        <w:tblW w:w="14233"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03"/>
        <w:gridCol w:w="551"/>
        <w:gridCol w:w="1384"/>
        <w:gridCol w:w="1548"/>
        <w:gridCol w:w="1515"/>
        <w:gridCol w:w="1180"/>
        <w:gridCol w:w="2039"/>
        <w:gridCol w:w="1570"/>
        <w:gridCol w:w="971"/>
        <w:gridCol w:w="1132"/>
        <w:gridCol w:w="1640"/>
      </w:tblGrid>
      <w:tr w14:paraId="3DD2A3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restart"/>
            <w:tcBorders>
              <w:tl2br w:val="nil"/>
              <w:tr2bl w:val="nil"/>
            </w:tcBorders>
            <w:vAlign w:val="center"/>
          </w:tcPr>
          <w:p w14:paraId="55D0CD5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3"/>
              </w:rPr>
              <w:t>环境</w:t>
            </w:r>
          </w:p>
          <w:p w14:paraId="2A68714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3"/>
              </w:rPr>
              <w:t>要素</w:t>
            </w:r>
          </w:p>
        </w:tc>
        <w:tc>
          <w:tcPr>
            <w:tcW w:w="551" w:type="dxa"/>
            <w:vMerge w:val="restart"/>
            <w:tcBorders>
              <w:tl2br w:val="nil"/>
              <w:tr2bl w:val="nil"/>
            </w:tcBorders>
            <w:vAlign w:val="center"/>
          </w:tcPr>
          <w:p w14:paraId="4330FDA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4"/>
              </w:rPr>
              <w:t>序号</w:t>
            </w:r>
          </w:p>
        </w:tc>
        <w:tc>
          <w:tcPr>
            <w:tcW w:w="1384" w:type="dxa"/>
            <w:vMerge w:val="restart"/>
            <w:tcBorders>
              <w:tl2br w:val="nil"/>
              <w:tr2bl w:val="nil"/>
            </w:tcBorders>
            <w:vAlign w:val="center"/>
          </w:tcPr>
          <w:p w14:paraId="151E53B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2"/>
              </w:rPr>
              <w:t>名称</w:t>
            </w:r>
          </w:p>
        </w:tc>
        <w:tc>
          <w:tcPr>
            <w:tcW w:w="3063" w:type="dxa"/>
            <w:gridSpan w:val="2"/>
            <w:tcBorders>
              <w:tl2br w:val="nil"/>
              <w:tr2bl w:val="nil"/>
            </w:tcBorders>
            <w:vAlign w:val="center"/>
          </w:tcPr>
          <w:p w14:paraId="123A3D6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12"/>
              </w:rPr>
              <w:t>坐标</w:t>
            </w:r>
            <w:r>
              <w:rPr>
                <w:rFonts w:hint="eastAsia" w:eastAsia="宋体"/>
                <w:b/>
                <w:bCs/>
                <w:spacing w:val="-12"/>
                <w:lang w:eastAsia="zh-CN"/>
              </w:rPr>
              <w:t>（</w:t>
            </w:r>
            <w:r>
              <w:rPr>
                <w:b/>
                <w:bCs/>
                <w:spacing w:val="-12"/>
              </w:rPr>
              <w:t>°</w:t>
            </w:r>
            <w:r>
              <w:rPr>
                <w:rFonts w:hint="eastAsia" w:eastAsia="宋体"/>
                <w:b/>
                <w:bCs/>
                <w:spacing w:val="-12"/>
                <w:lang w:eastAsia="zh-CN"/>
              </w:rPr>
              <w:t>）</w:t>
            </w:r>
          </w:p>
        </w:tc>
        <w:tc>
          <w:tcPr>
            <w:tcW w:w="1180" w:type="dxa"/>
            <w:vMerge w:val="restart"/>
            <w:tcBorders>
              <w:tl2br w:val="nil"/>
              <w:tr2bl w:val="nil"/>
            </w:tcBorders>
            <w:vAlign w:val="center"/>
          </w:tcPr>
          <w:p w14:paraId="1B0498E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保护对象</w:t>
            </w:r>
          </w:p>
        </w:tc>
        <w:tc>
          <w:tcPr>
            <w:tcW w:w="2039" w:type="dxa"/>
            <w:vMerge w:val="restart"/>
            <w:tcBorders>
              <w:tl2br w:val="nil"/>
              <w:tr2bl w:val="nil"/>
            </w:tcBorders>
            <w:vAlign w:val="center"/>
          </w:tcPr>
          <w:p w14:paraId="221DAD5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保护内容</w:t>
            </w:r>
          </w:p>
        </w:tc>
        <w:tc>
          <w:tcPr>
            <w:tcW w:w="1570" w:type="dxa"/>
            <w:vMerge w:val="restart"/>
            <w:tcBorders>
              <w:tl2br w:val="nil"/>
              <w:tr2bl w:val="nil"/>
            </w:tcBorders>
            <w:vAlign w:val="center"/>
          </w:tcPr>
          <w:p w14:paraId="427FB6E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环境功能区</w:t>
            </w:r>
          </w:p>
        </w:tc>
        <w:tc>
          <w:tcPr>
            <w:tcW w:w="971" w:type="dxa"/>
            <w:vMerge w:val="restart"/>
            <w:tcBorders>
              <w:tl2br w:val="nil"/>
              <w:tr2bl w:val="nil"/>
            </w:tcBorders>
            <w:vAlign w:val="center"/>
          </w:tcPr>
          <w:p w14:paraId="73BAB1A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5"/>
              </w:rPr>
              <w:t>相对</w:t>
            </w:r>
            <w:r>
              <w:rPr>
                <w:rFonts w:hint="eastAsia" w:eastAsia="宋体"/>
                <w:b/>
                <w:bCs/>
                <w:spacing w:val="5"/>
                <w:lang w:val="en-US" w:eastAsia="zh-CN"/>
              </w:rPr>
              <w:t>填埋场</w:t>
            </w:r>
            <w:r>
              <w:rPr>
                <w:b/>
                <w:bCs/>
                <w:spacing w:val="5"/>
              </w:rPr>
              <w:t>方位</w:t>
            </w:r>
          </w:p>
        </w:tc>
        <w:tc>
          <w:tcPr>
            <w:tcW w:w="1132" w:type="dxa"/>
            <w:vMerge w:val="restart"/>
            <w:tcBorders>
              <w:tl2br w:val="nil"/>
              <w:tr2bl w:val="nil"/>
            </w:tcBorders>
            <w:vAlign w:val="center"/>
          </w:tcPr>
          <w:p w14:paraId="74B5ADC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3"/>
              </w:rPr>
              <w:t>阻隔情况</w:t>
            </w:r>
          </w:p>
        </w:tc>
        <w:tc>
          <w:tcPr>
            <w:tcW w:w="1640" w:type="dxa"/>
            <w:vMerge w:val="restart"/>
            <w:tcBorders>
              <w:tl2br w:val="nil"/>
              <w:tr2bl w:val="nil"/>
            </w:tcBorders>
            <w:vAlign w:val="center"/>
          </w:tcPr>
          <w:p w14:paraId="3660EBE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相对</w:t>
            </w:r>
            <w:r>
              <w:rPr>
                <w:rFonts w:hint="eastAsia" w:eastAsia="宋体"/>
                <w:b/>
                <w:bCs/>
                <w:spacing w:val="5"/>
                <w:lang w:val="en-US" w:eastAsia="zh-CN"/>
              </w:rPr>
              <w:t>填埋场</w:t>
            </w:r>
            <w:r>
              <w:rPr>
                <w:b/>
                <w:bCs/>
                <w:spacing w:val="6"/>
              </w:rPr>
              <w:t>距离</w:t>
            </w:r>
          </w:p>
        </w:tc>
      </w:tr>
      <w:tr w14:paraId="65EA8B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20B0FFEC">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551" w:type="dxa"/>
            <w:vMerge w:val="continue"/>
            <w:tcBorders>
              <w:tl2br w:val="nil"/>
              <w:tr2bl w:val="nil"/>
            </w:tcBorders>
            <w:vAlign w:val="center"/>
          </w:tcPr>
          <w:p w14:paraId="704E5F5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384" w:type="dxa"/>
            <w:vMerge w:val="continue"/>
            <w:tcBorders>
              <w:tl2br w:val="nil"/>
              <w:tr2bl w:val="nil"/>
            </w:tcBorders>
            <w:vAlign w:val="center"/>
          </w:tcPr>
          <w:p w14:paraId="4F77C288">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548" w:type="dxa"/>
            <w:tcBorders>
              <w:tl2br w:val="nil"/>
              <w:tr2bl w:val="nil"/>
            </w:tcBorders>
            <w:vAlign w:val="center"/>
          </w:tcPr>
          <w:p w14:paraId="66F5170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3"/>
              </w:rPr>
              <w:t>经度</w:t>
            </w:r>
          </w:p>
        </w:tc>
        <w:tc>
          <w:tcPr>
            <w:tcW w:w="1515" w:type="dxa"/>
            <w:tcBorders>
              <w:tl2br w:val="nil"/>
              <w:tr2bl w:val="nil"/>
            </w:tcBorders>
            <w:vAlign w:val="center"/>
          </w:tcPr>
          <w:p w14:paraId="219A455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3"/>
              </w:rPr>
              <w:t>纬度</w:t>
            </w:r>
          </w:p>
        </w:tc>
        <w:tc>
          <w:tcPr>
            <w:tcW w:w="1180" w:type="dxa"/>
            <w:vMerge w:val="continue"/>
            <w:tcBorders>
              <w:tl2br w:val="nil"/>
              <w:tr2bl w:val="nil"/>
            </w:tcBorders>
            <w:vAlign w:val="center"/>
          </w:tcPr>
          <w:p w14:paraId="0DA0CC13">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2039" w:type="dxa"/>
            <w:vMerge w:val="continue"/>
            <w:tcBorders>
              <w:tl2br w:val="nil"/>
              <w:tr2bl w:val="nil"/>
            </w:tcBorders>
            <w:vAlign w:val="center"/>
          </w:tcPr>
          <w:p w14:paraId="5A7BFD6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570" w:type="dxa"/>
            <w:vMerge w:val="continue"/>
            <w:tcBorders>
              <w:tl2br w:val="nil"/>
              <w:tr2bl w:val="nil"/>
            </w:tcBorders>
            <w:vAlign w:val="center"/>
          </w:tcPr>
          <w:p w14:paraId="2167FF1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971" w:type="dxa"/>
            <w:vMerge w:val="continue"/>
            <w:tcBorders>
              <w:tl2br w:val="nil"/>
              <w:tr2bl w:val="nil"/>
            </w:tcBorders>
            <w:vAlign w:val="center"/>
          </w:tcPr>
          <w:p w14:paraId="02A04BA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32" w:type="dxa"/>
            <w:vMerge w:val="continue"/>
            <w:tcBorders>
              <w:tl2br w:val="nil"/>
              <w:tr2bl w:val="nil"/>
            </w:tcBorders>
            <w:vAlign w:val="center"/>
          </w:tcPr>
          <w:p w14:paraId="14EF4E2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640" w:type="dxa"/>
            <w:vMerge w:val="continue"/>
            <w:tcBorders>
              <w:tl2br w:val="nil"/>
              <w:tr2bl w:val="nil"/>
            </w:tcBorders>
            <w:vAlign w:val="center"/>
          </w:tcPr>
          <w:p w14:paraId="3FB3E0A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r w14:paraId="201F89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restart"/>
            <w:tcBorders>
              <w:tl2br w:val="nil"/>
              <w:tr2bl w:val="nil"/>
            </w:tcBorders>
            <w:vAlign w:val="center"/>
          </w:tcPr>
          <w:p w14:paraId="0452EF5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大气</w:t>
            </w:r>
          </w:p>
          <w:p w14:paraId="6E92FCA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环境</w:t>
            </w:r>
          </w:p>
        </w:tc>
        <w:tc>
          <w:tcPr>
            <w:tcW w:w="551" w:type="dxa"/>
            <w:tcBorders>
              <w:tl2br w:val="nil"/>
              <w:tr2bl w:val="nil"/>
            </w:tcBorders>
            <w:vAlign w:val="center"/>
          </w:tcPr>
          <w:p w14:paraId="74E7A2B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A1</w:t>
            </w:r>
          </w:p>
        </w:tc>
        <w:tc>
          <w:tcPr>
            <w:tcW w:w="1384" w:type="dxa"/>
            <w:tcBorders>
              <w:tl2br w:val="nil"/>
              <w:tr2bl w:val="nil"/>
            </w:tcBorders>
            <w:shd w:val="clear" w:color="auto" w:fill="auto"/>
            <w:vAlign w:val="center"/>
          </w:tcPr>
          <w:p w14:paraId="17D98BB5">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Arial" w:hAnsi="Arial" w:eastAsia="宋体" w:cs="Arial"/>
                <w:spacing w:val="5"/>
                <w:kern w:val="2"/>
                <w:sz w:val="21"/>
                <w:szCs w:val="21"/>
                <w:lang w:val="en-US" w:eastAsia="zh-CN" w:bidi="ar-SA"/>
              </w:rPr>
            </w:pPr>
            <w:r>
              <w:rPr>
                <w:rFonts w:hint="eastAsia" w:eastAsia="宋体"/>
                <w:spacing w:val="5"/>
                <w:lang w:val="en-US" w:eastAsia="zh-CN"/>
              </w:rPr>
              <w:t>桥背屋居民点</w:t>
            </w:r>
          </w:p>
        </w:tc>
        <w:tc>
          <w:tcPr>
            <w:tcW w:w="1548" w:type="dxa"/>
            <w:tcBorders>
              <w:tl2br w:val="nil"/>
              <w:tr2bl w:val="nil"/>
            </w:tcBorders>
            <w:shd w:val="clear" w:color="auto" w:fill="auto"/>
            <w:vAlign w:val="center"/>
          </w:tcPr>
          <w:p w14:paraId="7E3CCA49">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spacing w:val="3"/>
                <w:kern w:val="2"/>
                <w:sz w:val="20"/>
                <w:szCs w:val="20"/>
                <w:lang w:val="en-US" w:eastAsia="zh-CN" w:bidi="ar-SA"/>
              </w:rPr>
            </w:pPr>
            <w:r>
              <w:rPr>
                <w:rFonts w:hint="eastAsia" w:ascii="Times New Roman" w:hAnsi="Times New Roman" w:eastAsia="Times New Roman" w:cs="Times New Roman"/>
                <w:spacing w:val="3"/>
                <w:sz w:val="20"/>
                <w:szCs w:val="20"/>
              </w:rPr>
              <w:t>113.575559582</w:t>
            </w:r>
          </w:p>
        </w:tc>
        <w:tc>
          <w:tcPr>
            <w:tcW w:w="1515" w:type="dxa"/>
            <w:tcBorders>
              <w:tl2br w:val="nil"/>
              <w:tr2bl w:val="nil"/>
            </w:tcBorders>
            <w:shd w:val="clear" w:color="auto" w:fill="auto"/>
            <w:vAlign w:val="center"/>
          </w:tcPr>
          <w:p w14:paraId="645311C6">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spacing w:val="4"/>
                <w:kern w:val="2"/>
                <w:sz w:val="20"/>
                <w:szCs w:val="20"/>
                <w:lang w:val="en-US" w:eastAsia="zh-CN" w:bidi="ar-SA"/>
              </w:rPr>
            </w:pPr>
            <w:r>
              <w:rPr>
                <w:rFonts w:hint="eastAsia" w:ascii="Times New Roman" w:hAnsi="Times New Roman" w:eastAsia="Times New Roman" w:cs="Times New Roman"/>
                <w:spacing w:val="3"/>
                <w:sz w:val="20"/>
                <w:szCs w:val="20"/>
              </w:rPr>
              <w:t>28.628869470</w:t>
            </w:r>
          </w:p>
        </w:tc>
        <w:tc>
          <w:tcPr>
            <w:tcW w:w="1180" w:type="dxa"/>
            <w:tcBorders>
              <w:tl2br w:val="nil"/>
              <w:tr2bl w:val="nil"/>
            </w:tcBorders>
            <w:shd w:val="clear" w:color="auto" w:fill="auto"/>
            <w:vAlign w:val="center"/>
          </w:tcPr>
          <w:p w14:paraId="2EF88D18">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kern w:val="2"/>
                <w:sz w:val="21"/>
                <w:szCs w:val="21"/>
                <w:lang w:val="en-US" w:eastAsia="en-US" w:bidi="ar-SA"/>
              </w:rPr>
            </w:pPr>
            <w:r>
              <w:rPr>
                <w:spacing w:val="6"/>
              </w:rPr>
              <w:t>居民区</w:t>
            </w:r>
          </w:p>
        </w:tc>
        <w:tc>
          <w:tcPr>
            <w:tcW w:w="2039" w:type="dxa"/>
            <w:tcBorders>
              <w:tl2br w:val="nil"/>
              <w:tr2bl w:val="nil"/>
            </w:tcBorders>
            <w:shd w:val="clear" w:color="auto" w:fill="auto"/>
            <w:vAlign w:val="center"/>
          </w:tcPr>
          <w:p w14:paraId="3C077C49">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Arial" w:cs="Times New Roman"/>
                <w:kern w:val="2"/>
                <w:sz w:val="21"/>
                <w:szCs w:val="21"/>
                <w:lang w:val="en-US" w:eastAsia="en-US" w:bidi="ar-SA"/>
              </w:rPr>
            </w:pPr>
            <w:r>
              <w:rPr>
                <w:rFonts w:hint="default" w:ascii="Times New Roman" w:hAnsi="Times New Roman" w:cs="Times New Roman"/>
                <w:spacing w:val="1"/>
              </w:rPr>
              <w:t>约</w:t>
            </w:r>
            <w:r>
              <w:rPr>
                <w:rFonts w:hint="default" w:ascii="Times New Roman" w:hAnsi="Times New Roman" w:eastAsia="宋体" w:cs="Times New Roman"/>
                <w:spacing w:val="1"/>
                <w:lang w:val="en-US" w:eastAsia="zh-CN"/>
              </w:rPr>
              <w:t>32</w:t>
            </w:r>
            <w:r>
              <w:rPr>
                <w:rFonts w:hint="default" w:ascii="Times New Roman" w:hAnsi="Times New Roman" w:cs="Times New Roman"/>
                <w:spacing w:val="1"/>
              </w:rPr>
              <w:t>户，</w:t>
            </w:r>
            <w:r>
              <w:rPr>
                <w:rFonts w:hint="eastAsia" w:ascii="Times New Roman" w:hAnsi="Times New Roman" w:eastAsia="宋体" w:cs="Times New Roman"/>
                <w:spacing w:val="1"/>
                <w:lang w:val="en-US" w:eastAsia="zh-CN"/>
              </w:rPr>
              <w:t>96</w:t>
            </w:r>
            <w:r>
              <w:rPr>
                <w:rFonts w:hint="default" w:ascii="Times New Roman" w:hAnsi="Times New Roman" w:cs="Times New Roman"/>
                <w:spacing w:val="1"/>
              </w:rPr>
              <w:t>人</w:t>
            </w:r>
          </w:p>
        </w:tc>
        <w:tc>
          <w:tcPr>
            <w:tcW w:w="1570" w:type="dxa"/>
            <w:vMerge w:val="restart"/>
            <w:tcBorders>
              <w:tl2br w:val="nil"/>
              <w:tr2bl w:val="nil"/>
            </w:tcBorders>
            <w:vAlign w:val="center"/>
          </w:tcPr>
          <w:p w14:paraId="64A9917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5"/>
              </w:rPr>
            </w:pPr>
            <w:r>
              <w:rPr>
                <w:rFonts w:ascii="Times New Roman" w:hAnsi="Times New Roman" w:eastAsia="Times New Roman" w:cs="Times New Roman"/>
              </w:rPr>
              <w:t>GB</w:t>
            </w:r>
            <w:r>
              <w:rPr>
                <w:rFonts w:ascii="Times New Roman" w:hAnsi="Times New Roman" w:eastAsia="Times New Roman" w:cs="Times New Roman"/>
                <w:spacing w:val="5"/>
              </w:rPr>
              <w:t>3095-2026</w:t>
            </w:r>
          </w:p>
          <w:p w14:paraId="1D1353E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二类区</w:t>
            </w:r>
          </w:p>
        </w:tc>
        <w:tc>
          <w:tcPr>
            <w:tcW w:w="971" w:type="dxa"/>
            <w:tcBorders>
              <w:tl2br w:val="nil"/>
              <w:tr2bl w:val="nil"/>
            </w:tcBorders>
            <w:vAlign w:val="center"/>
          </w:tcPr>
          <w:p w14:paraId="15B9602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SE</w:t>
            </w:r>
          </w:p>
        </w:tc>
        <w:tc>
          <w:tcPr>
            <w:tcW w:w="1132" w:type="dxa"/>
            <w:tcBorders>
              <w:tl2br w:val="nil"/>
              <w:tr2bl w:val="nil"/>
            </w:tcBorders>
            <w:vAlign w:val="center"/>
          </w:tcPr>
          <w:p w14:paraId="01AD28A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有山包阻</w:t>
            </w:r>
            <w:r>
              <w:t>隔</w:t>
            </w:r>
          </w:p>
        </w:tc>
        <w:tc>
          <w:tcPr>
            <w:tcW w:w="1640" w:type="dxa"/>
            <w:tcBorders>
              <w:tl2br w:val="nil"/>
              <w:tr2bl w:val="nil"/>
            </w:tcBorders>
            <w:vAlign w:val="center"/>
          </w:tcPr>
          <w:p w14:paraId="64AF696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435~</w:t>
            </w:r>
            <w:r>
              <w:rPr>
                <w:rFonts w:hint="eastAsia" w:eastAsia="宋体" w:cs="Times New Roman"/>
                <w:spacing w:val="4"/>
                <w:sz w:val="20"/>
                <w:szCs w:val="20"/>
                <w:lang w:val="en-US" w:eastAsia="zh-CN"/>
              </w:rPr>
              <w:t>690</w:t>
            </w:r>
            <w:r>
              <w:rPr>
                <w:rFonts w:ascii="Times New Roman" w:hAnsi="Times New Roman" w:eastAsia="Times New Roman" w:cs="Times New Roman"/>
                <w:spacing w:val="4"/>
                <w:sz w:val="20"/>
                <w:szCs w:val="20"/>
              </w:rPr>
              <w:t>m</w:t>
            </w:r>
          </w:p>
        </w:tc>
      </w:tr>
      <w:tr w14:paraId="45918F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18A2443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spacing w:val="4"/>
              </w:rPr>
            </w:pPr>
          </w:p>
        </w:tc>
        <w:tc>
          <w:tcPr>
            <w:tcW w:w="551" w:type="dxa"/>
            <w:tcBorders>
              <w:tl2br w:val="nil"/>
              <w:tr2bl w:val="nil"/>
            </w:tcBorders>
            <w:shd w:val="clear" w:color="auto" w:fill="auto"/>
            <w:vAlign w:val="center"/>
          </w:tcPr>
          <w:p w14:paraId="1BBB196C">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4"/>
                <w:kern w:val="2"/>
                <w:sz w:val="20"/>
                <w:szCs w:val="20"/>
                <w:lang w:val="en-US" w:eastAsia="zh-CN" w:bidi="ar-SA"/>
              </w:rPr>
            </w:pPr>
            <w:r>
              <w:rPr>
                <w:rFonts w:hint="eastAsia" w:ascii="Times New Roman" w:hAnsi="Times New Roman" w:eastAsia="宋体" w:cs="Times New Roman"/>
                <w:spacing w:val="4"/>
                <w:sz w:val="20"/>
                <w:szCs w:val="20"/>
                <w:lang w:val="en-US" w:eastAsia="zh-CN"/>
              </w:rPr>
              <w:t>A2</w:t>
            </w:r>
          </w:p>
        </w:tc>
        <w:tc>
          <w:tcPr>
            <w:tcW w:w="1384" w:type="dxa"/>
            <w:tcBorders>
              <w:tl2br w:val="nil"/>
              <w:tr2bl w:val="nil"/>
            </w:tcBorders>
            <w:shd w:val="clear" w:color="auto" w:fill="auto"/>
            <w:vAlign w:val="center"/>
          </w:tcPr>
          <w:p w14:paraId="6BC0A62B">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Arial" w:hAnsi="Arial" w:eastAsia="Arial" w:cs="Arial"/>
                <w:kern w:val="2"/>
                <w:sz w:val="21"/>
                <w:szCs w:val="21"/>
                <w:lang w:val="en-US" w:eastAsia="zh-CN" w:bidi="ar-SA"/>
              </w:rPr>
            </w:pPr>
            <w:r>
              <w:rPr>
                <w:rFonts w:hint="eastAsia" w:cs="Arial"/>
                <w:kern w:val="2"/>
                <w:sz w:val="21"/>
                <w:szCs w:val="21"/>
                <w:lang w:val="en-US" w:eastAsia="zh-CN" w:bidi="ar-SA"/>
              </w:rPr>
              <w:t>万古村居民点</w:t>
            </w:r>
          </w:p>
        </w:tc>
        <w:tc>
          <w:tcPr>
            <w:tcW w:w="1548" w:type="dxa"/>
            <w:tcBorders>
              <w:tl2br w:val="nil"/>
              <w:tr2bl w:val="nil"/>
            </w:tcBorders>
            <w:shd w:val="clear" w:color="auto" w:fill="auto"/>
            <w:vAlign w:val="center"/>
          </w:tcPr>
          <w:p w14:paraId="4EBFD874">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kern w:val="2"/>
                <w:sz w:val="20"/>
                <w:szCs w:val="20"/>
                <w:lang w:val="en-US" w:eastAsia="zh-CN" w:bidi="ar-SA"/>
              </w:rPr>
            </w:pPr>
            <w:r>
              <w:rPr>
                <w:rFonts w:hint="eastAsia" w:eastAsia="Times New Roman" w:cs="Times New Roman"/>
                <w:kern w:val="2"/>
                <w:sz w:val="20"/>
                <w:szCs w:val="20"/>
                <w:lang w:val="en-US" w:eastAsia="zh-CN" w:bidi="ar-SA"/>
              </w:rPr>
              <w:t>1</w:t>
            </w:r>
            <w:r>
              <w:rPr>
                <w:rFonts w:hint="eastAsia" w:ascii="Times New Roman" w:hAnsi="Times New Roman" w:eastAsia="Times New Roman" w:cs="Times New Roman"/>
                <w:kern w:val="2"/>
                <w:sz w:val="20"/>
                <w:szCs w:val="20"/>
                <w:lang w:val="en-US" w:eastAsia="zh-CN" w:bidi="ar-SA"/>
              </w:rPr>
              <w:t>13.575515655</w:t>
            </w:r>
          </w:p>
        </w:tc>
        <w:tc>
          <w:tcPr>
            <w:tcW w:w="1515" w:type="dxa"/>
            <w:tcBorders>
              <w:tl2br w:val="nil"/>
              <w:tr2bl w:val="nil"/>
            </w:tcBorders>
            <w:shd w:val="clear" w:color="auto" w:fill="auto"/>
            <w:vAlign w:val="center"/>
          </w:tcPr>
          <w:p w14:paraId="61AD827D">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kern w:val="2"/>
                <w:sz w:val="20"/>
                <w:szCs w:val="20"/>
                <w:lang w:val="en-US" w:eastAsia="zh-CN" w:bidi="ar-SA"/>
              </w:rPr>
            </w:pPr>
            <w:r>
              <w:rPr>
                <w:rFonts w:hint="eastAsia" w:ascii="Times New Roman" w:hAnsi="Times New Roman" w:eastAsia="Times New Roman" w:cs="Times New Roman"/>
                <w:kern w:val="2"/>
                <w:sz w:val="20"/>
                <w:szCs w:val="20"/>
                <w:lang w:val="en-US" w:eastAsia="zh-CN" w:bidi="ar-SA"/>
              </w:rPr>
              <w:t>28.626266079</w:t>
            </w:r>
          </w:p>
        </w:tc>
        <w:tc>
          <w:tcPr>
            <w:tcW w:w="1180" w:type="dxa"/>
            <w:tcBorders>
              <w:tl2br w:val="nil"/>
              <w:tr2bl w:val="nil"/>
            </w:tcBorders>
            <w:shd w:val="clear" w:color="auto" w:fill="auto"/>
            <w:vAlign w:val="center"/>
          </w:tcPr>
          <w:p w14:paraId="6854531E">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kern w:val="2"/>
                <w:sz w:val="21"/>
                <w:szCs w:val="21"/>
                <w:lang w:val="en-US" w:eastAsia="en-US" w:bidi="ar-SA"/>
              </w:rPr>
            </w:pPr>
            <w:r>
              <w:rPr>
                <w:spacing w:val="6"/>
              </w:rPr>
              <w:t>居民区</w:t>
            </w:r>
          </w:p>
        </w:tc>
        <w:tc>
          <w:tcPr>
            <w:tcW w:w="2039" w:type="dxa"/>
            <w:tcBorders>
              <w:tl2br w:val="nil"/>
              <w:tr2bl w:val="nil"/>
            </w:tcBorders>
            <w:shd w:val="clear" w:color="auto" w:fill="auto"/>
            <w:vAlign w:val="center"/>
          </w:tcPr>
          <w:p w14:paraId="3E883065">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Arial" w:cs="Times New Roman"/>
                <w:kern w:val="2"/>
                <w:sz w:val="21"/>
                <w:szCs w:val="21"/>
                <w:lang w:val="en-US" w:eastAsia="en-US" w:bidi="ar-SA"/>
              </w:rPr>
            </w:pPr>
            <w:r>
              <w:rPr>
                <w:rFonts w:hint="default" w:ascii="Times New Roman" w:hAnsi="Times New Roman" w:cs="Times New Roman"/>
                <w:spacing w:val="1"/>
              </w:rPr>
              <w:t>约</w:t>
            </w:r>
            <w:r>
              <w:rPr>
                <w:rFonts w:hint="eastAsia" w:ascii="Times New Roman" w:hAnsi="Times New Roman" w:eastAsia="宋体" w:cs="Times New Roman"/>
                <w:spacing w:val="1"/>
                <w:lang w:val="en-US" w:eastAsia="zh-CN"/>
              </w:rPr>
              <w:t>60</w:t>
            </w:r>
            <w:r>
              <w:rPr>
                <w:rFonts w:hint="default" w:ascii="Times New Roman" w:hAnsi="Times New Roman" w:cs="Times New Roman"/>
                <w:spacing w:val="1"/>
              </w:rPr>
              <w:t>户，</w:t>
            </w:r>
            <w:r>
              <w:rPr>
                <w:rFonts w:hint="eastAsia" w:ascii="Times New Roman" w:hAnsi="Times New Roman" w:eastAsia="宋体" w:cs="Times New Roman"/>
                <w:spacing w:val="1"/>
                <w:lang w:val="en-US" w:eastAsia="zh-CN"/>
              </w:rPr>
              <w:t>180</w:t>
            </w:r>
            <w:r>
              <w:rPr>
                <w:rFonts w:hint="default" w:ascii="Times New Roman" w:hAnsi="Times New Roman" w:cs="Times New Roman"/>
                <w:spacing w:val="1"/>
              </w:rPr>
              <w:t>人</w:t>
            </w:r>
          </w:p>
        </w:tc>
        <w:tc>
          <w:tcPr>
            <w:tcW w:w="1570" w:type="dxa"/>
            <w:vMerge w:val="continue"/>
            <w:tcBorders>
              <w:tl2br w:val="nil"/>
              <w:tr2bl w:val="nil"/>
            </w:tcBorders>
            <w:vAlign w:val="center"/>
          </w:tcPr>
          <w:p w14:paraId="22DE311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rPr>
            </w:pPr>
          </w:p>
        </w:tc>
        <w:tc>
          <w:tcPr>
            <w:tcW w:w="971" w:type="dxa"/>
            <w:tcBorders>
              <w:tl2br w:val="nil"/>
              <w:tr2bl w:val="nil"/>
            </w:tcBorders>
            <w:shd w:val="clear" w:color="auto" w:fill="auto"/>
            <w:vAlign w:val="center"/>
          </w:tcPr>
          <w:p w14:paraId="1427B301">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ascii="Times New Roman" w:hAnsi="Times New Roman" w:eastAsia="宋体" w:cs="Times New Roman"/>
                <w:sz w:val="20"/>
                <w:szCs w:val="20"/>
                <w:lang w:val="en-US" w:eastAsia="zh-CN"/>
              </w:rPr>
              <w:t>SE</w:t>
            </w:r>
          </w:p>
        </w:tc>
        <w:tc>
          <w:tcPr>
            <w:tcW w:w="1132" w:type="dxa"/>
            <w:tcBorders>
              <w:tl2br w:val="nil"/>
              <w:tr2bl w:val="nil"/>
            </w:tcBorders>
            <w:shd w:val="clear" w:color="auto" w:fill="auto"/>
            <w:vAlign w:val="center"/>
          </w:tcPr>
          <w:p w14:paraId="545DE9F8">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kern w:val="2"/>
                <w:sz w:val="21"/>
                <w:szCs w:val="21"/>
                <w:lang w:val="en-US" w:eastAsia="en-US" w:bidi="ar-SA"/>
              </w:rPr>
            </w:pPr>
            <w:r>
              <w:rPr>
                <w:spacing w:val="7"/>
              </w:rPr>
              <w:t>有山包阻</w:t>
            </w:r>
            <w:r>
              <w:t>隔</w:t>
            </w:r>
          </w:p>
        </w:tc>
        <w:tc>
          <w:tcPr>
            <w:tcW w:w="1640" w:type="dxa"/>
            <w:tcBorders>
              <w:tl2br w:val="nil"/>
              <w:tr2bl w:val="nil"/>
            </w:tcBorders>
            <w:shd w:val="clear" w:color="auto" w:fill="auto"/>
            <w:vAlign w:val="center"/>
          </w:tcPr>
          <w:p w14:paraId="67A01554">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pacing w:val="4"/>
                <w:kern w:val="2"/>
                <w:sz w:val="20"/>
                <w:szCs w:val="20"/>
                <w:lang w:val="en-US" w:eastAsia="zh-CN" w:bidi="ar-SA"/>
              </w:rPr>
            </w:pPr>
            <w:r>
              <w:rPr>
                <w:rFonts w:ascii="Times New Roman" w:hAnsi="Times New Roman" w:eastAsia="Times New Roman" w:cs="Times New Roman"/>
                <w:spacing w:val="4"/>
                <w:sz w:val="20"/>
                <w:szCs w:val="20"/>
              </w:rPr>
              <w:t>4</w:t>
            </w:r>
            <w:r>
              <w:rPr>
                <w:rFonts w:hint="eastAsia" w:cs="Times New Roman"/>
                <w:spacing w:val="4"/>
                <w:sz w:val="20"/>
                <w:szCs w:val="20"/>
                <w:lang w:val="en-US" w:eastAsia="zh-CN"/>
              </w:rPr>
              <w:t>90</w:t>
            </w:r>
            <w:r>
              <w:rPr>
                <w:rFonts w:ascii="Times New Roman" w:hAnsi="Times New Roman" w:eastAsia="Times New Roman" w:cs="Times New Roman"/>
                <w:spacing w:val="4"/>
                <w:sz w:val="20"/>
                <w:szCs w:val="20"/>
              </w:rPr>
              <w:t>~</w:t>
            </w:r>
            <w:r>
              <w:rPr>
                <w:rFonts w:hint="eastAsia" w:eastAsia="宋体" w:cs="Times New Roman"/>
                <w:spacing w:val="4"/>
                <w:sz w:val="20"/>
                <w:szCs w:val="20"/>
                <w:lang w:val="en-US" w:eastAsia="zh-CN"/>
              </w:rPr>
              <w:t>900</w:t>
            </w:r>
            <w:r>
              <w:rPr>
                <w:rFonts w:ascii="Times New Roman" w:hAnsi="Times New Roman" w:eastAsia="Times New Roman" w:cs="Times New Roman"/>
                <w:spacing w:val="4"/>
                <w:sz w:val="20"/>
                <w:szCs w:val="20"/>
              </w:rPr>
              <w:t>m</w:t>
            </w:r>
          </w:p>
        </w:tc>
      </w:tr>
      <w:tr w14:paraId="588A78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0218F3A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spacing w:val="4"/>
              </w:rPr>
            </w:pPr>
          </w:p>
        </w:tc>
        <w:tc>
          <w:tcPr>
            <w:tcW w:w="551" w:type="dxa"/>
            <w:tcBorders>
              <w:tl2br w:val="nil"/>
              <w:tr2bl w:val="nil"/>
            </w:tcBorders>
            <w:vAlign w:val="center"/>
          </w:tcPr>
          <w:p w14:paraId="50784FA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cs="Times New Roman"/>
                <w:spacing w:val="4"/>
                <w:sz w:val="20"/>
                <w:szCs w:val="20"/>
                <w:lang w:val="en-US" w:eastAsia="zh-CN"/>
              </w:rPr>
              <w:t>A3</w:t>
            </w:r>
          </w:p>
        </w:tc>
        <w:tc>
          <w:tcPr>
            <w:tcW w:w="1384" w:type="dxa"/>
            <w:tcBorders>
              <w:tl2br w:val="nil"/>
              <w:tr2bl w:val="nil"/>
            </w:tcBorders>
            <w:shd w:val="clear" w:color="auto" w:fill="auto"/>
            <w:vAlign w:val="center"/>
          </w:tcPr>
          <w:p w14:paraId="519A0917">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Arial" w:hAnsi="Arial" w:eastAsia="Arial" w:cs="Arial"/>
                <w:kern w:val="2"/>
                <w:sz w:val="21"/>
                <w:szCs w:val="21"/>
                <w:lang w:val="en-US" w:eastAsia="zh-CN" w:bidi="ar-SA"/>
              </w:rPr>
            </w:pPr>
            <w:r>
              <w:rPr>
                <w:spacing w:val="5"/>
              </w:rPr>
              <w:t>下新屋居</w:t>
            </w:r>
            <w:r>
              <w:rPr>
                <w:spacing w:val="-6"/>
              </w:rPr>
              <w:t>民点</w:t>
            </w:r>
          </w:p>
        </w:tc>
        <w:tc>
          <w:tcPr>
            <w:tcW w:w="1548" w:type="dxa"/>
            <w:tcBorders>
              <w:tl2br w:val="nil"/>
              <w:tr2bl w:val="nil"/>
            </w:tcBorders>
            <w:shd w:val="clear" w:color="auto" w:fill="auto"/>
            <w:vAlign w:val="center"/>
          </w:tcPr>
          <w:p w14:paraId="2B6E161C">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3"/>
                <w:sz w:val="20"/>
                <w:szCs w:val="20"/>
              </w:rPr>
              <w:t>113.572112467</w:t>
            </w:r>
          </w:p>
        </w:tc>
        <w:tc>
          <w:tcPr>
            <w:tcW w:w="1515" w:type="dxa"/>
            <w:tcBorders>
              <w:tl2br w:val="nil"/>
              <w:tr2bl w:val="nil"/>
            </w:tcBorders>
            <w:shd w:val="clear" w:color="auto" w:fill="auto"/>
            <w:vAlign w:val="center"/>
          </w:tcPr>
          <w:p w14:paraId="21DAE28E">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4"/>
                <w:sz w:val="20"/>
                <w:szCs w:val="20"/>
              </w:rPr>
              <w:t>28.626086380</w:t>
            </w:r>
          </w:p>
        </w:tc>
        <w:tc>
          <w:tcPr>
            <w:tcW w:w="1180" w:type="dxa"/>
            <w:tcBorders>
              <w:tl2br w:val="nil"/>
              <w:tr2bl w:val="nil"/>
            </w:tcBorders>
            <w:shd w:val="clear" w:color="auto" w:fill="auto"/>
            <w:vAlign w:val="center"/>
          </w:tcPr>
          <w:p w14:paraId="438F5E81">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kern w:val="2"/>
                <w:sz w:val="21"/>
                <w:szCs w:val="21"/>
                <w:lang w:val="en-US" w:eastAsia="en-US" w:bidi="ar-SA"/>
              </w:rPr>
            </w:pPr>
            <w:r>
              <w:rPr>
                <w:spacing w:val="6"/>
              </w:rPr>
              <w:t>居民区</w:t>
            </w:r>
          </w:p>
        </w:tc>
        <w:tc>
          <w:tcPr>
            <w:tcW w:w="2039" w:type="dxa"/>
            <w:tcBorders>
              <w:tl2br w:val="nil"/>
              <w:tr2bl w:val="nil"/>
            </w:tcBorders>
            <w:shd w:val="clear" w:color="auto" w:fill="auto"/>
            <w:vAlign w:val="center"/>
          </w:tcPr>
          <w:p w14:paraId="63BB0DCA">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Arial" w:cs="Times New Roman"/>
                <w:kern w:val="2"/>
                <w:sz w:val="21"/>
                <w:szCs w:val="21"/>
                <w:lang w:val="en-US" w:eastAsia="en-US" w:bidi="ar-SA"/>
              </w:rPr>
            </w:pPr>
            <w:r>
              <w:rPr>
                <w:rFonts w:hint="default" w:ascii="Times New Roman" w:hAnsi="Times New Roman" w:cs="Times New Roman"/>
                <w:spacing w:val="1"/>
              </w:rPr>
              <w:t>约</w:t>
            </w:r>
            <w:r>
              <w:rPr>
                <w:rFonts w:hint="eastAsia" w:ascii="Times New Roman" w:hAnsi="Times New Roman" w:eastAsia="宋体" w:cs="Times New Roman"/>
                <w:spacing w:val="1"/>
                <w:lang w:val="en-US" w:eastAsia="zh-CN"/>
              </w:rPr>
              <w:t>4</w:t>
            </w:r>
            <w:r>
              <w:rPr>
                <w:rFonts w:hint="default" w:ascii="Times New Roman" w:hAnsi="Times New Roman" w:eastAsia="Times New Roman" w:cs="Times New Roman"/>
                <w:spacing w:val="1"/>
              </w:rPr>
              <w:t>0</w:t>
            </w:r>
            <w:r>
              <w:rPr>
                <w:rFonts w:hint="default" w:ascii="Times New Roman" w:hAnsi="Times New Roman" w:cs="Times New Roman"/>
                <w:spacing w:val="1"/>
              </w:rPr>
              <w:t>户，</w:t>
            </w:r>
            <w:r>
              <w:rPr>
                <w:rFonts w:hint="eastAsia" w:ascii="Times New Roman" w:hAnsi="Times New Roman" w:eastAsia="宋体" w:cs="Times New Roman"/>
                <w:spacing w:val="1"/>
                <w:lang w:val="en-US" w:eastAsia="zh-CN"/>
              </w:rPr>
              <w:t>12</w:t>
            </w:r>
            <w:r>
              <w:rPr>
                <w:rFonts w:hint="default" w:ascii="Times New Roman" w:hAnsi="Times New Roman" w:eastAsia="Times New Roman" w:cs="Times New Roman"/>
                <w:spacing w:val="1"/>
              </w:rPr>
              <w:t>0</w:t>
            </w:r>
            <w:r>
              <w:rPr>
                <w:rFonts w:hint="default" w:ascii="Times New Roman" w:hAnsi="Times New Roman" w:cs="Times New Roman"/>
                <w:spacing w:val="1"/>
              </w:rPr>
              <w:t>人</w:t>
            </w:r>
          </w:p>
        </w:tc>
        <w:tc>
          <w:tcPr>
            <w:tcW w:w="1570" w:type="dxa"/>
            <w:vMerge w:val="continue"/>
            <w:tcBorders>
              <w:tl2br w:val="nil"/>
              <w:tr2bl w:val="nil"/>
            </w:tcBorders>
            <w:vAlign w:val="center"/>
          </w:tcPr>
          <w:p w14:paraId="4F006E0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rPr>
            </w:pPr>
          </w:p>
        </w:tc>
        <w:tc>
          <w:tcPr>
            <w:tcW w:w="971" w:type="dxa"/>
            <w:tcBorders>
              <w:tl2br w:val="nil"/>
              <w:tr2bl w:val="nil"/>
            </w:tcBorders>
            <w:shd w:val="clear" w:color="auto" w:fill="auto"/>
            <w:vAlign w:val="center"/>
          </w:tcPr>
          <w:p w14:paraId="59C4D61B">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S</w:t>
            </w:r>
          </w:p>
        </w:tc>
        <w:tc>
          <w:tcPr>
            <w:tcW w:w="1132" w:type="dxa"/>
            <w:tcBorders>
              <w:tl2br w:val="nil"/>
              <w:tr2bl w:val="nil"/>
            </w:tcBorders>
            <w:shd w:val="clear" w:color="auto" w:fill="auto"/>
            <w:vAlign w:val="center"/>
          </w:tcPr>
          <w:p w14:paraId="2AE267AA">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spacing w:val="7"/>
              </w:rPr>
            </w:pPr>
            <w:r>
              <w:rPr>
                <w:spacing w:val="7"/>
              </w:rPr>
              <w:t>有山包阻</w:t>
            </w:r>
            <w:r>
              <w:t>隔</w:t>
            </w:r>
          </w:p>
        </w:tc>
        <w:tc>
          <w:tcPr>
            <w:tcW w:w="1640" w:type="dxa"/>
            <w:tcBorders>
              <w:tl2br w:val="nil"/>
              <w:tr2bl w:val="nil"/>
            </w:tcBorders>
            <w:vAlign w:val="center"/>
          </w:tcPr>
          <w:p w14:paraId="4600E96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eastAsia="宋体" w:cs="Times New Roman"/>
                <w:spacing w:val="4"/>
                <w:sz w:val="20"/>
                <w:szCs w:val="20"/>
                <w:lang w:val="en-US" w:eastAsia="zh-CN"/>
              </w:rPr>
              <w:t>410~845</w:t>
            </w:r>
            <w:r>
              <w:rPr>
                <w:rFonts w:ascii="Times New Roman" w:hAnsi="Times New Roman" w:eastAsia="Times New Roman" w:cs="Times New Roman"/>
                <w:spacing w:val="4"/>
                <w:sz w:val="20"/>
                <w:szCs w:val="20"/>
              </w:rPr>
              <w:t>m</w:t>
            </w:r>
          </w:p>
        </w:tc>
      </w:tr>
      <w:tr w14:paraId="6841E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64AE660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spacing w:val="4"/>
              </w:rPr>
            </w:pPr>
          </w:p>
        </w:tc>
        <w:tc>
          <w:tcPr>
            <w:tcW w:w="551" w:type="dxa"/>
            <w:tcBorders>
              <w:tl2br w:val="nil"/>
              <w:tr2bl w:val="nil"/>
            </w:tcBorders>
            <w:vAlign w:val="center"/>
          </w:tcPr>
          <w:p w14:paraId="70EB5C5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cs="Times New Roman"/>
                <w:spacing w:val="4"/>
                <w:sz w:val="20"/>
                <w:szCs w:val="20"/>
                <w:lang w:val="en-US" w:eastAsia="zh-CN"/>
              </w:rPr>
              <w:t>A4</w:t>
            </w:r>
          </w:p>
        </w:tc>
        <w:tc>
          <w:tcPr>
            <w:tcW w:w="1384" w:type="dxa"/>
            <w:tcBorders>
              <w:tl2br w:val="nil"/>
              <w:tr2bl w:val="nil"/>
            </w:tcBorders>
            <w:vAlign w:val="center"/>
          </w:tcPr>
          <w:p w14:paraId="0ECB31F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eastAsia="宋体"/>
                <w:spacing w:val="5"/>
                <w:lang w:val="en-US" w:eastAsia="zh-CN"/>
              </w:rPr>
            </w:pPr>
            <w:r>
              <w:rPr>
                <w:rFonts w:hint="eastAsia" w:eastAsia="宋体"/>
                <w:spacing w:val="5"/>
                <w:lang w:val="en-US" w:eastAsia="zh-CN"/>
              </w:rPr>
              <w:t>长子坡居民点</w:t>
            </w:r>
          </w:p>
        </w:tc>
        <w:tc>
          <w:tcPr>
            <w:tcW w:w="1548" w:type="dxa"/>
            <w:tcBorders>
              <w:tl2br w:val="nil"/>
              <w:tr2bl w:val="nil"/>
            </w:tcBorders>
            <w:vAlign w:val="center"/>
          </w:tcPr>
          <w:p w14:paraId="7BECE6C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eastAsia" w:ascii="Times New Roman" w:hAnsi="Times New Roman" w:eastAsia="Times New Roman" w:cs="Times New Roman"/>
                <w:spacing w:val="3"/>
                <w:sz w:val="20"/>
                <w:szCs w:val="20"/>
              </w:rPr>
            </w:pPr>
            <w:r>
              <w:rPr>
                <w:rFonts w:hint="eastAsia" w:ascii="Times New Roman" w:hAnsi="Times New Roman" w:eastAsia="Times New Roman" w:cs="Times New Roman"/>
                <w:spacing w:val="3"/>
                <w:sz w:val="20"/>
                <w:szCs w:val="20"/>
              </w:rPr>
              <w:t>113.565003472</w:t>
            </w:r>
          </w:p>
        </w:tc>
        <w:tc>
          <w:tcPr>
            <w:tcW w:w="1515" w:type="dxa"/>
            <w:tcBorders>
              <w:tl2br w:val="nil"/>
              <w:tr2bl w:val="nil"/>
            </w:tcBorders>
            <w:vAlign w:val="center"/>
          </w:tcPr>
          <w:p w14:paraId="4C11C8D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eastAsia" w:ascii="Times New Roman" w:hAnsi="Times New Roman" w:eastAsia="Times New Roman" w:cs="Times New Roman"/>
                <w:spacing w:val="3"/>
                <w:sz w:val="20"/>
                <w:szCs w:val="20"/>
              </w:rPr>
            </w:pPr>
            <w:r>
              <w:rPr>
                <w:rFonts w:hint="eastAsia" w:ascii="Times New Roman" w:hAnsi="Times New Roman" w:eastAsia="Times New Roman" w:cs="Times New Roman"/>
                <w:spacing w:val="3"/>
                <w:sz w:val="20"/>
                <w:szCs w:val="20"/>
              </w:rPr>
              <w:t>28.63025721</w:t>
            </w:r>
          </w:p>
        </w:tc>
        <w:tc>
          <w:tcPr>
            <w:tcW w:w="1180" w:type="dxa"/>
            <w:tcBorders>
              <w:tl2br w:val="nil"/>
              <w:tr2bl w:val="nil"/>
            </w:tcBorders>
            <w:shd w:val="clear" w:color="auto" w:fill="auto"/>
            <w:vAlign w:val="center"/>
          </w:tcPr>
          <w:p w14:paraId="6668C8BC">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spacing w:val="6"/>
              </w:rPr>
            </w:pPr>
            <w:r>
              <w:rPr>
                <w:spacing w:val="6"/>
              </w:rPr>
              <w:t>居民区</w:t>
            </w:r>
          </w:p>
        </w:tc>
        <w:tc>
          <w:tcPr>
            <w:tcW w:w="2039" w:type="dxa"/>
            <w:tcBorders>
              <w:tl2br w:val="nil"/>
              <w:tr2bl w:val="nil"/>
            </w:tcBorders>
            <w:shd w:val="clear" w:color="auto" w:fill="auto"/>
            <w:vAlign w:val="center"/>
          </w:tcPr>
          <w:p w14:paraId="149FC0E4">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spacing w:val="1"/>
              </w:rPr>
            </w:pPr>
            <w:r>
              <w:rPr>
                <w:rFonts w:hint="default" w:ascii="Times New Roman" w:hAnsi="Times New Roman" w:cs="Times New Roman"/>
                <w:spacing w:val="1"/>
              </w:rPr>
              <w:t>约</w:t>
            </w:r>
            <w:r>
              <w:rPr>
                <w:rFonts w:hint="default" w:ascii="Times New Roman" w:hAnsi="Times New Roman" w:eastAsia="Times New Roman" w:cs="Times New Roman"/>
                <w:spacing w:val="1"/>
              </w:rPr>
              <w:t>10</w:t>
            </w:r>
            <w:r>
              <w:rPr>
                <w:rFonts w:hint="default" w:ascii="Times New Roman" w:hAnsi="Times New Roman" w:cs="Times New Roman"/>
                <w:spacing w:val="1"/>
              </w:rPr>
              <w:t>户，</w:t>
            </w:r>
            <w:r>
              <w:rPr>
                <w:rFonts w:hint="default" w:ascii="Times New Roman" w:hAnsi="Times New Roman" w:eastAsia="Times New Roman" w:cs="Times New Roman"/>
                <w:spacing w:val="1"/>
              </w:rPr>
              <w:t>30</w:t>
            </w:r>
            <w:r>
              <w:rPr>
                <w:rFonts w:hint="default" w:ascii="Times New Roman" w:hAnsi="Times New Roman" w:cs="Times New Roman"/>
                <w:spacing w:val="1"/>
              </w:rPr>
              <w:t>人</w:t>
            </w:r>
          </w:p>
        </w:tc>
        <w:tc>
          <w:tcPr>
            <w:tcW w:w="1570" w:type="dxa"/>
            <w:vMerge w:val="continue"/>
            <w:tcBorders>
              <w:tl2br w:val="nil"/>
              <w:tr2bl w:val="nil"/>
            </w:tcBorders>
            <w:vAlign w:val="center"/>
          </w:tcPr>
          <w:p w14:paraId="15CDE7D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rPr>
            </w:pPr>
          </w:p>
        </w:tc>
        <w:tc>
          <w:tcPr>
            <w:tcW w:w="971" w:type="dxa"/>
            <w:tcBorders>
              <w:tl2br w:val="nil"/>
              <w:tr2bl w:val="nil"/>
            </w:tcBorders>
            <w:shd w:val="clear" w:color="auto" w:fill="auto"/>
            <w:vAlign w:val="center"/>
          </w:tcPr>
          <w:p w14:paraId="7CA3AB8B">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z w:val="20"/>
                <w:szCs w:val="20"/>
                <w:lang w:val="en-US" w:eastAsia="zh-CN"/>
              </w:rPr>
            </w:pPr>
            <w:r>
              <w:rPr>
                <w:rFonts w:hint="eastAsia" w:cs="Times New Roman"/>
                <w:sz w:val="20"/>
                <w:szCs w:val="20"/>
                <w:lang w:val="en-US" w:eastAsia="zh-CN"/>
              </w:rPr>
              <w:t>SW</w:t>
            </w:r>
          </w:p>
        </w:tc>
        <w:tc>
          <w:tcPr>
            <w:tcW w:w="1132" w:type="dxa"/>
            <w:tcBorders>
              <w:tl2br w:val="nil"/>
              <w:tr2bl w:val="nil"/>
            </w:tcBorders>
            <w:shd w:val="clear" w:color="auto" w:fill="auto"/>
            <w:vAlign w:val="center"/>
          </w:tcPr>
          <w:p w14:paraId="1F666682">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spacing w:val="7"/>
              </w:rPr>
            </w:pPr>
            <w:r>
              <w:rPr>
                <w:spacing w:val="7"/>
              </w:rPr>
              <w:t>有山包阻</w:t>
            </w:r>
            <w:r>
              <w:t>隔</w:t>
            </w:r>
          </w:p>
        </w:tc>
        <w:tc>
          <w:tcPr>
            <w:tcW w:w="1640" w:type="dxa"/>
            <w:tcBorders>
              <w:tl2br w:val="nil"/>
              <w:tr2bl w:val="nil"/>
            </w:tcBorders>
            <w:vAlign w:val="center"/>
          </w:tcPr>
          <w:p w14:paraId="598DFEDF">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eastAsia="宋体" w:cs="Times New Roman"/>
                <w:spacing w:val="4"/>
                <w:sz w:val="20"/>
                <w:szCs w:val="20"/>
                <w:lang w:val="en-US" w:eastAsia="zh-CN"/>
              </w:rPr>
              <w:t>430~624</w:t>
            </w:r>
            <w:r>
              <w:rPr>
                <w:rFonts w:ascii="Times New Roman" w:hAnsi="Times New Roman" w:eastAsia="Times New Roman" w:cs="Times New Roman"/>
                <w:spacing w:val="4"/>
                <w:sz w:val="20"/>
                <w:szCs w:val="20"/>
              </w:rPr>
              <w:t>m</w:t>
            </w:r>
          </w:p>
        </w:tc>
      </w:tr>
      <w:tr w14:paraId="309735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4A03120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spacing w:val="4"/>
              </w:rPr>
            </w:pPr>
          </w:p>
        </w:tc>
        <w:tc>
          <w:tcPr>
            <w:tcW w:w="551" w:type="dxa"/>
            <w:tcBorders>
              <w:tl2br w:val="nil"/>
              <w:tr2bl w:val="nil"/>
            </w:tcBorders>
            <w:shd w:val="clear" w:color="auto" w:fill="auto"/>
            <w:vAlign w:val="center"/>
          </w:tcPr>
          <w:p w14:paraId="6DBF039A">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4"/>
                <w:kern w:val="2"/>
                <w:sz w:val="20"/>
                <w:szCs w:val="20"/>
                <w:lang w:val="en-US" w:eastAsia="zh-CN" w:bidi="ar-SA"/>
              </w:rPr>
            </w:pPr>
            <w:r>
              <w:rPr>
                <w:rFonts w:hint="eastAsia" w:cs="Times New Roman"/>
                <w:spacing w:val="4"/>
                <w:sz w:val="20"/>
                <w:szCs w:val="20"/>
                <w:lang w:val="en-US" w:eastAsia="zh-CN"/>
              </w:rPr>
              <w:t>A5</w:t>
            </w:r>
          </w:p>
        </w:tc>
        <w:tc>
          <w:tcPr>
            <w:tcW w:w="1384" w:type="dxa"/>
            <w:tcBorders>
              <w:tl2br w:val="nil"/>
              <w:tr2bl w:val="nil"/>
            </w:tcBorders>
            <w:shd w:val="clear" w:color="auto" w:fill="auto"/>
            <w:vAlign w:val="center"/>
          </w:tcPr>
          <w:p w14:paraId="04F7B57E">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Arial" w:hAnsi="Arial" w:eastAsia="宋体" w:cs="Arial"/>
                <w:spacing w:val="5"/>
                <w:kern w:val="2"/>
                <w:sz w:val="21"/>
                <w:szCs w:val="21"/>
                <w:lang w:val="en-US" w:eastAsia="zh-CN" w:bidi="ar-SA"/>
              </w:rPr>
            </w:pPr>
            <w:r>
              <w:rPr>
                <w:rFonts w:hint="eastAsia" w:eastAsia="宋体"/>
                <w:spacing w:val="5"/>
                <w:lang w:val="en-US" w:eastAsia="zh-CN"/>
              </w:rPr>
              <w:t>黄鹤坡居民点</w:t>
            </w:r>
          </w:p>
        </w:tc>
        <w:tc>
          <w:tcPr>
            <w:tcW w:w="1548" w:type="dxa"/>
            <w:tcBorders>
              <w:tl2br w:val="nil"/>
              <w:tr2bl w:val="nil"/>
            </w:tcBorders>
            <w:shd w:val="clear" w:color="auto" w:fill="auto"/>
            <w:vAlign w:val="center"/>
          </w:tcPr>
          <w:p w14:paraId="6B6E09C3">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Times New Roman" w:cs="Times New Roman"/>
                <w:spacing w:val="3"/>
                <w:kern w:val="2"/>
                <w:sz w:val="20"/>
                <w:szCs w:val="20"/>
                <w:lang w:val="en-US" w:eastAsia="zh-CN" w:bidi="ar-SA"/>
              </w:rPr>
            </w:pPr>
            <w:r>
              <w:rPr>
                <w:rFonts w:hint="eastAsia" w:ascii="Times New Roman" w:hAnsi="Times New Roman" w:eastAsia="Times New Roman" w:cs="Times New Roman"/>
                <w:spacing w:val="3"/>
                <w:kern w:val="2"/>
                <w:sz w:val="20"/>
                <w:szCs w:val="20"/>
                <w:lang w:val="en-US" w:eastAsia="zh-CN" w:bidi="ar-SA"/>
              </w:rPr>
              <w:t>113.563190299</w:t>
            </w:r>
          </w:p>
        </w:tc>
        <w:tc>
          <w:tcPr>
            <w:tcW w:w="1515" w:type="dxa"/>
            <w:tcBorders>
              <w:tl2br w:val="nil"/>
              <w:tr2bl w:val="nil"/>
            </w:tcBorders>
            <w:vAlign w:val="center"/>
          </w:tcPr>
          <w:p w14:paraId="1284DD4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4"/>
                <w:sz w:val="20"/>
                <w:szCs w:val="20"/>
              </w:rPr>
            </w:pPr>
            <w:r>
              <w:rPr>
                <w:rFonts w:hint="eastAsia" w:ascii="Times New Roman" w:hAnsi="Times New Roman" w:eastAsia="Times New Roman" w:cs="Times New Roman"/>
                <w:spacing w:val="3"/>
                <w:kern w:val="2"/>
                <w:sz w:val="20"/>
                <w:szCs w:val="20"/>
                <w:lang w:val="en-US" w:eastAsia="zh-CN" w:bidi="ar-SA"/>
              </w:rPr>
              <w:t>28.627929056</w:t>
            </w:r>
          </w:p>
        </w:tc>
        <w:tc>
          <w:tcPr>
            <w:tcW w:w="1180" w:type="dxa"/>
            <w:tcBorders>
              <w:tl2br w:val="nil"/>
              <w:tr2bl w:val="nil"/>
            </w:tcBorders>
            <w:shd w:val="clear" w:color="auto" w:fill="auto"/>
            <w:vAlign w:val="center"/>
          </w:tcPr>
          <w:p w14:paraId="3C147C51">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kern w:val="2"/>
                <w:sz w:val="21"/>
                <w:szCs w:val="21"/>
                <w:lang w:val="en-US" w:eastAsia="en-US" w:bidi="ar-SA"/>
              </w:rPr>
            </w:pPr>
            <w:r>
              <w:rPr>
                <w:spacing w:val="6"/>
              </w:rPr>
              <w:t>居民区</w:t>
            </w:r>
          </w:p>
        </w:tc>
        <w:tc>
          <w:tcPr>
            <w:tcW w:w="2039" w:type="dxa"/>
            <w:tcBorders>
              <w:tl2br w:val="nil"/>
              <w:tr2bl w:val="nil"/>
            </w:tcBorders>
            <w:shd w:val="clear" w:color="auto" w:fill="auto"/>
            <w:vAlign w:val="center"/>
          </w:tcPr>
          <w:p w14:paraId="76C8C3AA">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Arial" w:cs="Times New Roman"/>
                <w:kern w:val="2"/>
                <w:sz w:val="21"/>
                <w:szCs w:val="21"/>
                <w:lang w:val="en-US" w:eastAsia="en-US" w:bidi="ar-SA"/>
              </w:rPr>
            </w:pPr>
            <w:r>
              <w:rPr>
                <w:rFonts w:hint="default" w:ascii="Times New Roman" w:hAnsi="Times New Roman" w:cs="Times New Roman"/>
                <w:spacing w:val="1"/>
              </w:rPr>
              <w:t>约</w:t>
            </w:r>
            <w:r>
              <w:rPr>
                <w:rFonts w:hint="eastAsia" w:ascii="Times New Roman" w:hAnsi="Times New Roman" w:eastAsia="宋体" w:cs="Times New Roman"/>
                <w:spacing w:val="1"/>
                <w:lang w:val="en-US" w:eastAsia="zh-CN"/>
              </w:rPr>
              <w:t>7</w:t>
            </w:r>
            <w:r>
              <w:rPr>
                <w:rFonts w:hint="default" w:ascii="Times New Roman" w:hAnsi="Times New Roman" w:cs="Times New Roman"/>
                <w:spacing w:val="1"/>
              </w:rPr>
              <w:t>户，</w:t>
            </w:r>
            <w:r>
              <w:rPr>
                <w:rFonts w:hint="eastAsia" w:ascii="Times New Roman" w:hAnsi="Times New Roman" w:eastAsia="宋体" w:cs="Times New Roman"/>
                <w:spacing w:val="1"/>
                <w:lang w:val="en-US" w:eastAsia="zh-CN"/>
              </w:rPr>
              <w:t>21</w:t>
            </w:r>
            <w:r>
              <w:rPr>
                <w:rFonts w:hint="default" w:ascii="Times New Roman" w:hAnsi="Times New Roman" w:cs="Times New Roman"/>
                <w:spacing w:val="1"/>
              </w:rPr>
              <w:t>人</w:t>
            </w:r>
          </w:p>
        </w:tc>
        <w:tc>
          <w:tcPr>
            <w:tcW w:w="1570" w:type="dxa"/>
            <w:vMerge w:val="continue"/>
            <w:tcBorders>
              <w:tl2br w:val="nil"/>
              <w:tr2bl w:val="nil"/>
            </w:tcBorders>
            <w:vAlign w:val="center"/>
          </w:tcPr>
          <w:p w14:paraId="0D216F0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rPr>
            </w:pPr>
          </w:p>
        </w:tc>
        <w:tc>
          <w:tcPr>
            <w:tcW w:w="971" w:type="dxa"/>
            <w:tcBorders>
              <w:tl2br w:val="nil"/>
              <w:tr2bl w:val="nil"/>
            </w:tcBorders>
            <w:shd w:val="clear" w:color="auto" w:fill="auto"/>
            <w:vAlign w:val="center"/>
          </w:tcPr>
          <w:p w14:paraId="49D35E10">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cs="Times New Roman"/>
                <w:sz w:val="20"/>
                <w:szCs w:val="20"/>
                <w:lang w:val="en-US" w:eastAsia="zh-CN"/>
              </w:rPr>
              <w:t>SW</w:t>
            </w:r>
          </w:p>
        </w:tc>
        <w:tc>
          <w:tcPr>
            <w:tcW w:w="1132" w:type="dxa"/>
            <w:tcBorders>
              <w:tl2br w:val="nil"/>
              <w:tr2bl w:val="nil"/>
            </w:tcBorders>
            <w:shd w:val="clear" w:color="auto" w:fill="auto"/>
            <w:vAlign w:val="center"/>
          </w:tcPr>
          <w:p w14:paraId="659A6731">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spacing w:val="7"/>
                <w:kern w:val="2"/>
                <w:sz w:val="21"/>
                <w:szCs w:val="21"/>
                <w:lang w:val="en-US" w:eastAsia="en-US" w:bidi="ar-SA"/>
              </w:rPr>
            </w:pPr>
            <w:r>
              <w:rPr>
                <w:spacing w:val="7"/>
              </w:rPr>
              <w:t>有山包阻</w:t>
            </w:r>
            <w:r>
              <w:t>隔</w:t>
            </w:r>
          </w:p>
        </w:tc>
        <w:tc>
          <w:tcPr>
            <w:tcW w:w="1640" w:type="dxa"/>
            <w:tcBorders>
              <w:tl2br w:val="nil"/>
              <w:tr2bl w:val="nil"/>
            </w:tcBorders>
            <w:vAlign w:val="center"/>
          </w:tcPr>
          <w:p w14:paraId="7683D50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eastAsia="宋体" w:cs="Times New Roman"/>
                <w:spacing w:val="4"/>
                <w:sz w:val="20"/>
                <w:szCs w:val="20"/>
                <w:lang w:val="en-US" w:eastAsia="zh-CN"/>
              </w:rPr>
              <w:t>657~810</w:t>
            </w:r>
            <w:r>
              <w:rPr>
                <w:rFonts w:ascii="Times New Roman" w:hAnsi="Times New Roman" w:eastAsia="Times New Roman" w:cs="Times New Roman"/>
                <w:spacing w:val="4"/>
                <w:sz w:val="20"/>
                <w:szCs w:val="20"/>
              </w:rPr>
              <w:t>m</w:t>
            </w:r>
          </w:p>
        </w:tc>
      </w:tr>
      <w:tr w14:paraId="33BEDB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154634D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spacing w:val="4"/>
              </w:rPr>
            </w:pPr>
          </w:p>
        </w:tc>
        <w:tc>
          <w:tcPr>
            <w:tcW w:w="551" w:type="dxa"/>
            <w:tcBorders>
              <w:tl2br w:val="nil"/>
              <w:tr2bl w:val="nil"/>
            </w:tcBorders>
            <w:vAlign w:val="center"/>
          </w:tcPr>
          <w:p w14:paraId="08B8E1F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cs="Times New Roman"/>
                <w:spacing w:val="4"/>
                <w:sz w:val="20"/>
                <w:szCs w:val="20"/>
                <w:lang w:val="en-US" w:eastAsia="zh-CN"/>
              </w:rPr>
              <w:t>A6</w:t>
            </w:r>
          </w:p>
        </w:tc>
        <w:tc>
          <w:tcPr>
            <w:tcW w:w="1384" w:type="dxa"/>
            <w:tcBorders>
              <w:tl2br w:val="nil"/>
              <w:tr2bl w:val="nil"/>
            </w:tcBorders>
            <w:vAlign w:val="center"/>
          </w:tcPr>
          <w:p w14:paraId="0A27437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eastAsia="宋体"/>
                <w:spacing w:val="5"/>
                <w:lang w:val="en-US" w:eastAsia="zh-CN"/>
              </w:rPr>
            </w:pPr>
            <w:r>
              <w:rPr>
                <w:rFonts w:hint="eastAsia" w:eastAsia="宋体"/>
                <w:spacing w:val="5"/>
                <w:lang w:val="en-US" w:eastAsia="zh-CN"/>
              </w:rPr>
              <w:t>上新屋居民点</w:t>
            </w:r>
          </w:p>
        </w:tc>
        <w:tc>
          <w:tcPr>
            <w:tcW w:w="1548" w:type="dxa"/>
            <w:tcBorders>
              <w:tl2br w:val="nil"/>
              <w:tr2bl w:val="nil"/>
            </w:tcBorders>
            <w:vAlign w:val="center"/>
          </w:tcPr>
          <w:p w14:paraId="700B652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3"/>
                <w:sz w:val="20"/>
                <w:szCs w:val="20"/>
              </w:rPr>
            </w:pPr>
            <w:r>
              <w:rPr>
                <w:rFonts w:hint="eastAsia"/>
              </w:rPr>
              <w:t>113.567428189</w:t>
            </w:r>
          </w:p>
        </w:tc>
        <w:tc>
          <w:tcPr>
            <w:tcW w:w="1515" w:type="dxa"/>
            <w:tcBorders>
              <w:tl2br w:val="nil"/>
              <w:tr2bl w:val="nil"/>
            </w:tcBorders>
            <w:vAlign w:val="center"/>
          </w:tcPr>
          <w:p w14:paraId="1FF3667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4"/>
                <w:sz w:val="20"/>
                <w:szCs w:val="20"/>
              </w:rPr>
            </w:pPr>
            <w:r>
              <w:rPr>
                <w:rFonts w:hint="eastAsia"/>
              </w:rPr>
              <w:t>28.625462496</w:t>
            </w:r>
          </w:p>
        </w:tc>
        <w:tc>
          <w:tcPr>
            <w:tcW w:w="1180" w:type="dxa"/>
            <w:tcBorders>
              <w:tl2br w:val="nil"/>
              <w:tr2bl w:val="nil"/>
            </w:tcBorders>
            <w:shd w:val="clear" w:color="auto" w:fill="auto"/>
            <w:vAlign w:val="center"/>
          </w:tcPr>
          <w:p w14:paraId="3E480291">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kern w:val="2"/>
                <w:sz w:val="21"/>
                <w:szCs w:val="21"/>
                <w:lang w:val="en-US" w:eastAsia="en-US" w:bidi="ar-SA"/>
              </w:rPr>
            </w:pPr>
            <w:r>
              <w:rPr>
                <w:spacing w:val="6"/>
              </w:rPr>
              <w:t>居民区</w:t>
            </w:r>
          </w:p>
        </w:tc>
        <w:tc>
          <w:tcPr>
            <w:tcW w:w="2039" w:type="dxa"/>
            <w:tcBorders>
              <w:tl2br w:val="nil"/>
              <w:tr2bl w:val="nil"/>
            </w:tcBorders>
            <w:shd w:val="clear" w:color="auto" w:fill="auto"/>
            <w:vAlign w:val="center"/>
          </w:tcPr>
          <w:p w14:paraId="5744FAEE">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Arial" w:cs="Times New Roman"/>
                <w:kern w:val="2"/>
                <w:sz w:val="21"/>
                <w:szCs w:val="21"/>
                <w:lang w:val="en-US" w:eastAsia="en-US" w:bidi="ar-SA"/>
              </w:rPr>
            </w:pPr>
            <w:r>
              <w:rPr>
                <w:rFonts w:hint="default" w:ascii="Times New Roman" w:hAnsi="Times New Roman" w:cs="Times New Roman"/>
                <w:spacing w:val="1"/>
              </w:rPr>
              <w:t>约</w:t>
            </w:r>
            <w:r>
              <w:rPr>
                <w:rFonts w:hint="eastAsia" w:ascii="Times New Roman" w:hAnsi="Times New Roman" w:eastAsia="宋体" w:cs="Times New Roman"/>
                <w:spacing w:val="1"/>
                <w:lang w:val="en-US" w:eastAsia="zh-CN"/>
              </w:rPr>
              <w:t>5</w:t>
            </w:r>
            <w:r>
              <w:rPr>
                <w:rFonts w:hint="default" w:ascii="Times New Roman" w:hAnsi="Times New Roman" w:cs="Times New Roman"/>
                <w:spacing w:val="1"/>
              </w:rPr>
              <w:t>户，</w:t>
            </w:r>
            <w:r>
              <w:rPr>
                <w:rFonts w:hint="eastAsia" w:ascii="Times New Roman" w:hAnsi="Times New Roman" w:eastAsia="宋体" w:cs="Times New Roman"/>
                <w:spacing w:val="1"/>
                <w:lang w:val="en-US" w:eastAsia="zh-CN"/>
              </w:rPr>
              <w:t>15</w:t>
            </w:r>
            <w:r>
              <w:rPr>
                <w:rFonts w:hint="default" w:ascii="Times New Roman" w:hAnsi="Times New Roman" w:cs="Times New Roman"/>
                <w:spacing w:val="1"/>
              </w:rPr>
              <w:t>人</w:t>
            </w:r>
          </w:p>
        </w:tc>
        <w:tc>
          <w:tcPr>
            <w:tcW w:w="1570" w:type="dxa"/>
            <w:vMerge w:val="continue"/>
            <w:tcBorders>
              <w:tl2br w:val="nil"/>
              <w:tr2bl w:val="nil"/>
            </w:tcBorders>
            <w:vAlign w:val="center"/>
          </w:tcPr>
          <w:p w14:paraId="1E9323C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rPr>
            </w:pPr>
          </w:p>
        </w:tc>
        <w:tc>
          <w:tcPr>
            <w:tcW w:w="971" w:type="dxa"/>
            <w:tcBorders>
              <w:tl2br w:val="nil"/>
              <w:tr2bl w:val="nil"/>
            </w:tcBorders>
            <w:shd w:val="clear" w:color="auto" w:fill="auto"/>
            <w:vAlign w:val="center"/>
          </w:tcPr>
          <w:p w14:paraId="1C07B6F6">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cs="Times New Roman"/>
                <w:sz w:val="20"/>
                <w:szCs w:val="20"/>
                <w:lang w:val="en-US" w:eastAsia="zh-CN"/>
              </w:rPr>
              <w:t>SW</w:t>
            </w:r>
          </w:p>
        </w:tc>
        <w:tc>
          <w:tcPr>
            <w:tcW w:w="1132" w:type="dxa"/>
            <w:tcBorders>
              <w:tl2br w:val="nil"/>
              <w:tr2bl w:val="nil"/>
            </w:tcBorders>
            <w:shd w:val="clear" w:color="auto" w:fill="auto"/>
            <w:vAlign w:val="center"/>
          </w:tcPr>
          <w:p w14:paraId="2764F3C1">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ascii="Arial" w:hAnsi="Arial" w:eastAsia="Arial" w:cs="Arial"/>
                <w:spacing w:val="7"/>
                <w:kern w:val="2"/>
                <w:sz w:val="21"/>
                <w:szCs w:val="21"/>
                <w:lang w:val="en-US" w:eastAsia="en-US" w:bidi="ar-SA"/>
              </w:rPr>
            </w:pPr>
            <w:r>
              <w:rPr>
                <w:spacing w:val="7"/>
              </w:rPr>
              <w:t>有山包阻</w:t>
            </w:r>
            <w:r>
              <w:t>隔</w:t>
            </w:r>
          </w:p>
        </w:tc>
        <w:tc>
          <w:tcPr>
            <w:tcW w:w="1640" w:type="dxa"/>
            <w:tcBorders>
              <w:tl2br w:val="nil"/>
              <w:tr2bl w:val="nil"/>
            </w:tcBorders>
            <w:vAlign w:val="center"/>
          </w:tcPr>
          <w:p w14:paraId="3AAAF1A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eastAsia="宋体" w:cs="Times New Roman"/>
                <w:spacing w:val="4"/>
                <w:sz w:val="20"/>
                <w:szCs w:val="20"/>
                <w:lang w:val="en-US" w:eastAsia="zh-CN"/>
              </w:rPr>
              <w:t>613~686m</w:t>
            </w:r>
          </w:p>
        </w:tc>
      </w:tr>
      <w:tr w14:paraId="3B916E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restart"/>
            <w:tcBorders>
              <w:tl2br w:val="nil"/>
              <w:tr2bl w:val="nil"/>
            </w:tcBorders>
            <w:vAlign w:val="center"/>
          </w:tcPr>
          <w:p w14:paraId="3D24DD3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地表</w:t>
            </w:r>
          </w:p>
          <w:p w14:paraId="6182DB0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水环</w:t>
            </w:r>
            <w:r>
              <w:t>境</w:t>
            </w:r>
          </w:p>
        </w:tc>
        <w:tc>
          <w:tcPr>
            <w:tcW w:w="1935" w:type="dxa"/>
            <w:gridSpan w:val="2"/>
            <w:tcBorders>
              <w:tl2br w:val="nil"/>
              <w:tr2bl w:val="nil"/>
            </w:tcBorders>
            <w:vAlign w:val="center"/>
          </w:tcPr>
          <w:p w14:paraId="3DD039F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万古（白荆）水库</w:t>
            </w:r>
          </w:p>
        </w:tc>
        <w:tc>
          <w:tcPr>
            <w:tcW w:w="1548" w:type="dxa"/>
            <w:tcBorders>
              <w:tl2br w:val="nil"/>
              <w:tr2bl w:val="nil"/>
            </w:tcBorders>
            <w:vAlign w:val="center"/>
          </w:tcPr>
          <w:p w14:paraId="3ABB0AF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113.566098954</w:t>
            </w:r>
          </w:p>
        </w:tc>
        <w:tc>
          <w:tcPr>
            <w:tcW w:w="1515" w:type="dxa"/>
            <w:tcBorders>
              <w:tl2br w:val="nil"/>
              <w:tr2bl w:val="nil"/>
            </w:tcBorders>
            <w:vAlign w:val="center"/>
          </w:tcPr>
          <w:p w14:paraId="76CD2E5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28.631901409</w:t>
            </w:r>
          </w:p>
        </w:tc>
        <w:tc>
          <w:tcPr>
            <w:tcW w:w="3219" w:type="dxa"/>
            <w:gridSpan w:val="2"/>
            <w:tcBorders>
              <w:tl2br w:val="nil"/>
              <w:tr2bl w:val="nil"/>
            </w:tcBorders>
            <w:vAlign w:val="center"/>
          </w:tcPr>
          <w:p w14:paraId="411AFA0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农业灌溉区</w:t>
            </w:r>
          </w:p>
        </w:tc>
        <w:tc>
          <w:tcPr>
            <w:tcW w:w="1570" w:type="dxa"/>
            <w:vMerge w:val="restart"/>
            <w:tcBorders>
              <w:tl2br w:val="nil"/>
              <w:tr2bl w:val="nil"/>
            </w:tcBorders>
            <w:vAlign w:val="center"/>
          </w:tcPr>
          <w:p w14:paraId="680E825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spacing w:val="3"/>
              </w:rPr>
            </w:pPr>
            <w:r>
              <w:rPr>
                <w:rFonts w:ascii="Times New Roman" w:hAnsi="Times New Roman" w:eastAsia="Times New Roman" w:cs="Times New Roman"/>
              </w:rPr>
              <w:t>GB</w:t>
            </w:r>
            <w:r>
              <w:rPr>
                <w:rFonts w:ascii="Times New Roman" w:hAnsi="Times New Roman" w:eastAsia="Times New Roman" w:cs="Times New Roman"/>
                <w:spacing w:val="3"/>
              </w:rPr>
              <w:t>3838-2002</w:t>
            </w:r>
          </w:p>
          <w:p w14:paraId="3D7F02D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spacing w:val="6"/>
              </w:rPr>
              <w:t>Ⅲ</w:t>
            </w:r>
            <w:r>
              <w:rPr>
                <w:spacing w:val="6"/>
              </w:rPr>
              <w:t>类</w:t>
            </w:r>
          </w:p>
        </w:tc>
        <w:tc>
          <w:tcPr>
            <w:tcW w:w="971" w:type="dxa"/>
            <w:tcBorders>
              <w:tl2br w:val="nil"/>
              <w:tr2bl w:val="nil"/>
            </w:tcBorders>
            <w:vAlign w:val="center"/>
          </w:tcPr>
          <w:p w14:paraId="089BEC8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W</w:t>
            </w:r>
          </w:p>
        </w:tc>
        <w:tc>
          <w:tcPr>
            <w:tcW w:w="1132" w:type="dxa"/>
            <w:tcBorders>
              <w:tl2br w:val="nil"/>
              <w:tr2bl w:val="nil"/>
            </w:tcBorders>
            <w:vAlign w:val="center"/>
          </w:tcPr>
          <w:p w14:paraId="49D8342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40" w:type="dxa"/>
            <w:tcBorders>
              <w:tl2br w:val="nil"/>
              <w:tr2bl w:val="nil"/>
            </w:tcBorders>
            <w:vAlign w:val="center"/>
          </w:tcPr>
          <w:p w14:paraId="7BF627B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400m</w:t>
            </w:r>
          </w:p>
        </w:tc>
      </w:tr>
      <w:tr w14:paraId="1CF9E59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vMerge w:val="continue"/>
            <w:tcBorders>
              <w:tl2br w:val="nil"/>
              <w:tr2bl w:val="nil"/>
            </w:tcBorders>
            <w:vAlign w:val="center"/>
          </w:tcPr>
          <w:p w14:paraId="3384EB72">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935" w:type="dxa"/>
            <w:gridSpan w:val="2"/>
            <w:tcBorders>
              <w:tl2br w:val="nil"/>
              <w:tr2bl w:val="nil"/>
            </w:tcBorders>
            <w:vAlign w:val="center"/>
          </w:tcPr>
          <w:p w14:paraId="1004B11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无名小溪</w:t>
            </w:r>
          </w:p>
        </w:tc>
        <w:tc>
          <w:tcPr>
            <w:tcW w:w="1548" w:type="dxa"/>
            <w:tcBorders>
              <w:tl2br w:val="nil"/>
              <w:tr2bl w:val="nil"/>
            </w:tcBorders>
            <w:vAlign w:val="center"/>
          </w:tcPr>
          <w:p w14:paraId="141B726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113.573727157</w:t>
            </w:r>
          </w:p>
        </w:tc>
        <w:tc>
          <w:tcPr>
            <w:tcW w:w="1515" w:type="dxa"/>
            <w:tcBorders>
              <w:tl2br w:val="nil"/>
              <w:tr2bl w:val="nil"/>
            </w:tcBorders>
            <w:vAlign w:val="center"/>
          </w:tcPr>
          <w:p w14:paraId="1C24C29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28.627888824</w:t>
            </w:r>
          </w:p>
        </w:tc>
        <w:tc>
          <w:tcPr>
            <w:tcW w:w="3219" w:type="dxa"/>
            <w:gridSpan w:val="2"/>
            <w:tcBorders>
              <w:tl2br w:val="nil"/>
              <w:tr2bl w:val="nil"/>
            </w:tcBorders>
            <w:vAlign w:val="center"/>
          </w:tcPr>
          <w:p w14:paraId="2272491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溪流</w:t>
            </w:r>
          </w:p>
        </w:tc>
        <w:tc>
          <w:tcPr>
            <w:tcW w:w="1570" w:type="dxa"/>
            <w:vMerge w:val="continue"/>
            <w:tcBorders>
              <w:tl2br w:val="nil"/>
              <w:tr2bl w:val="nil"/>
            </w:tcBorders>
            <w:vAlign w:val="center"/>
          </w:tcPr>
          <w:p w14:paraId="49CCCEC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971" w:type="dxa"/>
            <w:tcBorders>
              <w:tl2br w:val="nil"/>
              <w:tr2bl w:val="nil"/>
            </w:tcBorders>
            <w:vAlign w:val="center"/>
          </w:tcPr>
          <w:p w14:paraId="1F08E4A6">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S</w:t>
            </w:r>
          </w:p>
        </w:tc>
        <w:tc>
          <w:tcPr>
            <w:tcW w:w="1132" w:type="dxa"/>
            <w:tcBorders>
              <w:tl2br w:val="nil"/>
              <w:tr2bl w:val="nil"/>
            </w:tcBorders>
            <w:vAlign w:val="center"/>
          </w:tcPr>
          <w:p w14:paraId="4CDC979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40" w:type="dxa"/>
            <w:tcBorders>
              <w:tl2br w:val="nil"/>
              <w:tr2bl w:val="nil"/>
            </w:tcBorders>
            <w:vAlign w:val="center"/>
          </w:tcPr>
          <w:p w14:paraId="3205AE8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393m</w:t>
            </w:r>
          </w:p>
        </w:tc>
      </w:tr>
      <w:tr w14:paraId="7CDBF2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tcBorders>
              <w:tl2br w:val="nil"/>
              <w:tr2bl w:val="nil"/>
            </w:tcBorders>
            <w:vAlign w:val="center"/>
          </w:tcPr>
          <w:p w14:paraId="06CDC41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地下</w:t>
            </w:r>
          </w:p>
          <w:p w14:paraId="0B72F2D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水环</w:t>
            </w:r>
            <w:r>
              <w:t>境</w:t>
            </w:r>
          </w:p>
        </w:tc>
        <w:tc>
          <w:tcPr>
            <w:tcW w:w="8217" w:type="dxa"/>
            <w:gridSpan w:val="6"/>
            <w:tcBorders>
              <w:tl2br w:val="nil"/>
              <w:tr2bl w:val="nil"/>
            </w:tcBorders>
            <w:vAlign w:val="center"/>
          </w:tcPr>
          <w:p w14:paraId="3FE8F89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0"/>
              </w:rPr>
              <w:t>项目周边无集中式地下水取水点，周边居民生活饮用水均</w:t>
            </w:r>
            <w:r>
              <w:rPr>
                <w:spacing w:val="9"/>
              </w:rPr>
              <w:t>为自来水，部分分散民井（仅</w:t>
            </w:r>
            <w:r>
              <w:rPr>
                <w:spacing w:val="7"/>
              </w:rPr>
              <w:t>作为拖地、洗涤等生活日常用水，不作为生活饮用水）。本次评价以项目</w:t>
            </w:r>
            <w:r>
              <w:rPr>
                <w:spacing w:val="-39"/>
              </w:rPr>
              <w:t xml:space="preserve"> </w:t>
            </w:r>
            <w:r>
              <w:rPr>
                <w:rFonts w:ascii="Times New Roman" w:hAnsi="Times New Roman" w:eastAsia="Times New Roman" w:cs="Times New Roman"/>
                <w:spacing w:val="7"/>
              </w:rPr>
              <w:t>6</w:t>
            </w:r>
            <w:r>
              <w:rPr>
                <w:rFonts w:ascii="Times New Roman" w:hAnsi="Times New Roman" w:eastAsia="Times New Roman" w:cs="Times New Roman"/>
              </w:rPr>
              <w:t>km</w:t>
            </w:r>
            <w:r>
              <w:rPr>
                <w:rFonts w:hint="eastAsia" w:ascii="Times New Roman" w:hAnsi="Times New Roman" w:eastAsia="宋体" w:cs="Times New Roman"/>
                <w:vertAlign w:val="superscript"/>
                <w:lang w:val="en-US" w:eastAsia="zh-CN"/>
              </w:rPr>
              <w:t>2</w:t>
            </w:r>
            <w:r>
              <w:rPr>
                <w:spacing w:val="7"/>
              </w:rPr>
              <w:t>范围</w:t>
            </w:r>
            <w:r>
              <w:rPr>
                <w:spacing w:val="6"/>
              </w:rPr>
              <w:t>内地</w:t>
            </w:r>
            <w:r>
              <w:rPr>
                <w:spacing w:val="7"/>
              </w:rPr>
              <w:t>下水为环保目标</w:t>
            </w:r>
          </w:p>
        </w:tc>
        <w:tc>
          <w:tcPr>
            <w:tcW w:w="1570" w:type="dxa"/>
            <w:tcBorders>
              <w:tl2br w:val="nil"/>
              <w:tr2bl w:val="nil"/>
            </w:tcBorders>
            <w:vAlign w:val="center"/>
          </w:tcPr>
          <w:p w14:paraId="1A6238B4">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3"/>
              </w:rPr>
            </w:pPr>
            <w:r>
              <w:rPr>
                <w:rFonts w:ascii="Times New Roman" w:hAnsi="Times New Roman" w:eastAsia="Times New Roman" w:cs="Times New Roman"/>
                <w:sz w:val="20"/>
                <w:szCs w:val="20"/>
              </w:rPr>
              <w:t>GB</w:t>
            </w:r>
            <w:r>
              <w:rPr>
                <w:rFonts w:ascii="Times New Roman" w:hAnsi="Times New Roman" w:eastAsia="Times New Roman" w:cs="Times New Roman"/>
                <w:spacing w:val="5"/>
                <w:sz w:val="20"/>
                <w:szCs w:val="20"/>
              </w:rPr>
              <w:t>/T14848-201</w:t>
            </w:r>
            <w:r>
              <w:rPr>
                <w:rFonts w:ascii="Times New Roman" w:hAnsi="Times New Roman" w:eastAsia="Times New Roman" w:cs="Times New Roman"/>
                <w:spacing w:val="3"/>
              </w:rPr>
              <w:t>7</w:t>
            </w:r>
          </w:p>
          <w:p w14:paraId="5916BDE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spacing w:val="3"/>
              </w:rPr>
              <w:t>Ⅲ</w:t>
            </w:r>
            <w:r>
              <w:rPr>
                <w:spacing w:val="3"/>
              </w:rPr>
              <w:t>类</w:t>
            </w:r>
          </w:p>
        </w:tc>
        <w:tc>
          <w:tcPr>
            <w:tcW w:w="971" w:type="dxa"/>
            <w:tcBorders>
              <w:tl2br w:val="nil"/>
              <w:tr2bl w:val="nil"/>
            </w:tcBorders>
            <w:vAlign w:val="center"/>
          </w:tcPr>
          <w:p w14:paraId="1E3F68F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tl2br w:val="nil"/>
              <w:tr2bl w:val="nil"/>
            </w:tcBorders>
            <w:vAlign w:val="center"/>
          </w:tcPr>
          <w:p w14:paraId="3FE1CEA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40" w:type="dxa"/>
            <w:tcBorders>
              <w:tl2br w:val="nil"/>
              <w:tr2bl w:val="nil"/>
            </w:tcBorders>
            <w:vAlign w:val="center"/>
          </w:tcPr>
          <w:p w14:paraId="0F22ED3C">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37FD2A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tcBorders>
              <w:tl2br w:val="nil"/>
              <w:tr2bl w:val="nil"/>
            </w:tcBorders>
            <w:vAlign w:val="center"/>
          </w:tcPr>
          <w:p w14:paraId="2B55CA4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土壤</w:t>
            </w:r>
          </w:p>
          <w:p w14:paraId="279A5E3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环境</w:t>
            </w:r>
          </w:p>
        </w:tc>
        <w:tc>
          <w:tcPr>
            <w:tcW w:w="8217" w:type="dxa"/>
            <w:gridSpan w:val="6"/>
            <w:tcBorders>
              <w:tl2br w:val="nil"/>
              <w:tr2bl w:val="nil"/>
            </w:tcBorders>
            <w:vAlign w:val="center"/>
          </w:tcPr>
          <w:p w14:paraId="5417FBB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项目周边</w:t>
            </w:r>
            <w:r>
              <w:rPr>
                <w:rFonts w:hint="eastAsia" w:ascii="Times New Roman" w:hAnsi="Times New Roman" w:eastAsia="宋体" w:cs="Times New Roman"/>
                <w:spacing w:val="6"/>
                <w:lang w:val="en-US" w:eastAsia="zh-CN"/>
              </w:rPr>
              <w:t>5</w:t>
            </w:r>
            <w:r>
              <w:rPr>
                <w:rFonts w:ascii="Times New Roman" w:hAnsi="Times New Roman" w:eastAsia="Times New Roman" w:cs="Times New Roman"/>
                <w:spacing w:val="6"/>
              </w:rPr>
              <w:t>0m</w:t>
            </w:r>
            <w:r>
              <w:rPr>
                <w:spacing w:val="6"/>
              </w:rPr>
              <w:t>范围内土壤</w:t>
            </w:r>
          </w:p>
        </w:tc>
        <w:tc>
          <w:tcPr>
            <w:tcW w:w="1570" w:type="dxa"/>
            <w:tcBorders>
              <w:tl2br w:val="nil"/>
              <w:tr2bl w:val="nil"/>
            </w:tcBorders>
            <w:vAlign w:val="center"/>
          </w:tcPr>
          <w:p w14:paraId="303F70A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pacing w:val="5"/>
              </w:rPr>
            </w:pPr>
            <w:r>
              <w:rPr>
                <w:rFonts w:ascii="Times New Roman" w:hAnsi="Times New Roman" w:eastAsia="Times New Roman" w:cs="Times New Roman"/>
              </w:rPr>
              <w:t>GB</w:t>
            </w:r>
            <w:r>
              <w:rPr>
                <w:rFonts w:ascii="Times New Roman" w:hAnsi="Times New Roman" w:eastAsia="Times New Roman" w:cs="Times New Roman"/>
                <w:spacing w:val="5"/>
              </w:rPr>
              <w:t>15618-2018</w:t>
            </w:r>
          </w:p>
          <w:p w14:paraId="74A8F8A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风险筛选值</w:t>
            </w:r>
          </w:p>
        </w:tc>
        <w:tc>
          <w:tcPr>
            <w:tcW w:w="971" w:type="dxa"/>
            <w:tcBorders>
              <w:tl2br w:val="nil"/>
              <w:tr2bl w:val="nil"/>
            </w:tcBorders>
            <w:vAlign w:val="center"/>
          </w:tcPr>
          <w:p w14:paraId="17834FBC">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tl2br w:val="nil"/>
              <w:tr2bl w:val="nil"/>
            </w:tcBorders>
            <w:vAlign w:val="center"/>
          </w:tcPr>
          <w:p w14:paraId="426E9F4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40" w:type="dxa"/>
            <w:tcBorders>
              <w:tl2br w:val="nil"/>
              <w:tr2bl w:val="nil"/>
            </w:tcBorders>
            <w:vAlign w:val="center"/>
          </w:tcPr>
          <w:p w14:paraId="3860403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3FF785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03" w:type="dxa"/>
            <w:tcBorders>
              <w:tl2br w:val="nil"/>
              <w:tr2bl w:val="nil"/>
            </w:tcBorders>
            <w:vAlign w:val="center"/>
          </w:tcPr>
          <w:p w14:paraId="550D1FA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生态</w:t>
            </w:r>
          </w:p>
          <w:p w14:paraId="12A39E8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环境</w:t>
            </w:r>
          </w:p>
        </w:tc>
        <w:tc>
          <w:tcPr>
            <w:tcW w:w="8217" w:type="dxa"/>
            <w:gridSpan w:val="6"/>
            <w:tcBorders>
              <w:tl2br w:val="nil"/>
              <w:tr2bl w:val="nil"/>
            </w:tcBorders>
            <w:vAlign w:val="center"/>
          </w:tcPr>
          <w:p w14:paraId="192D245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项目占地内的植被、景观</w:t>
            </w:r>
            <w:r>
              <w:rPr>
                <w:rFonts w:hint="eastAsia" w:eastAsia="宋体"/>
                <w:spacing w:val="8"/>
                <w:lang w:eastAsia="zh-CN"/>
              </w:rPr>
              <w:t>、</w:t>
            </w:r>
            <w:r>
              <w:rPr>
                <w:rFonts w:hint="eastAsia" w:eastAsia="宋体"/>
                <w:spacing w:val="8"/>
                <w:lang w:val="en-US" w:eastAsia="zh-CN"/>
              </w:rPr>
              <w:t>基本农田</w:t>
            </w:r>
            <w:r>
              <w:rPr>
                <w:spacing w:val="8"/>
              </w:rPr>
              <w:t>等</w:t>
            </w:r>
          </w:p>
        </w:tc>
        <w:tc>
          <w:tcPr>
            <w:tcW w:w="1570" w:type="dxa"/>
            <w:tcBorders>
              <w:tl2br w:val="nil"/>
              <w:tr2bl w:val="nil"/>
            </w:tcBorders>
            <w:vAlign w:val="center"/>
          </w:tcPr>
          <w:p w14:paraId="2231619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eastAsia="宋体"/>
                <w:lang w:val="en-US" w:eastAsia="zh-CN"/>
              </w:rPr>
            </w:pPr>
            <w:r>
              <w:rPr>
                <w:spacing w:val="7"/>
              </w:rPr>
              <w:t>植被景观</w:t>
            </w:r>
            <w:r>
              <w:rPr>
                <w:rFonts w:hint="eastAsia" w:eastAsia="宋体"/>
                <w:spacing w:val="7"/>
                <w:lang w:eastAsia="zh-CN"/>
              </w:rPr>
              <w:t>、</w:t>
            </w:r>
            <w:r>
              <w:rPr>
                <w:rFonts w:hint="eastAsia" w:eastAsia="宋体"/>
                <w:spacing w:val="7"/>
                <w:lang w:val="en-US" w:eastAsia="zh-CN"/>
              </w:rPr>
              <w:t>基本农田</w:t>
            </w:r>
          </w:p>
        </w:tc>
        <w:tc>
          <w:tcPr>
            <w:tcW w:w="971" w:type="dxa"/>
            <w:tcBorders>
              <w:tl2br w:val="nil"/>
              <w:tr2bl w:val="nil"/>
            </w:tcBorders>
            <w:vAlign w:val="center"/>
          </w:tcPr>
          <w:p w14:paraId="15C047D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tl2br w:val="nil"/>
              <w:tr2bl w:val="nil"/>
            </w:tcBorders>
            <w:vAlign w:val="center"/>
          </w:tcPr>
          <w:p w14:paraId="10C294A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40" w:type="dxa"/>
            <w:tcBorders>
              <w:tl2br w:val="nil"/>
              <w:tr2bl w:val="nil"/>
            </w:tcBorders>
            <w:vAlign w:val="center"/>
          </w:tcPr>
          <w:p w14:paraId="20ACAF5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bl>
    <w:p w14:paraId="58F46BEB">
      <w:pPr>
        <w:pStyle w:val="3"/>
        <w:pageBreakBefore w:val="0"/>
        <w:widowControl w:val="0"/>
        <w:numPr>
          <w:ilvl w:val="1"/>
          <w:numId w:val="0"/>
        </w:numPr>
        <w:kinsoku/>
        <w:topLinePunct w:val="0"/>
        <w:bidi w:val="0"/>
        <w:snapToGrid w:val="0"/>
        <w:spacing w:before="0" w:beforeLines="0" w:after="0" w:afterLines="0"/>
        <w:rPr>
          <w:rFonts w:hint="default" w:ascii="Times New Roman" w:hAnsi="Times New Roman" w:eastAsia="宋体" w:cs="Times New Roman"/>
          <w:color w:val="auto"/>
          <w:highlight w:val="none"/>
          <w:u w:val="none" w:color="auto"/>
        </w:rPr>
        <w:sectPr>
          <w:footerReference r:id="rId9" w:type="default"/>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33" w:charSpace="0"/>
        </w:sectPr>
      </w:pPr>
    </w:p>
    <w:p w14:paraId="46CE0070">
      <w:pPr>
        <w:pStyle w:val="2"/>
        <w:keepNext w:val="0"/>
        <w:keepLines w:val="0"/>
        <w:pageBreakBefore w:val="0"/>
        <w:widowControl w:val="0"/>
        <w:numPr>
          <w:ilvl w:val="0"/>
          <w:numId w:val="0"/>
        </w:numPr>
        <w:kinsoku/>
        <w:topLinePunct w:val="0"/>
        <w:bidi w:val="0"/>
        <w:snapToGrid w:val="0"/>
        <w:spacing w:before="0" w:after="0"/>
        <w:rPr>
          <w:rFonts w:hint="default" w:ascii="Times New Roman" w:hAnsi="Times New Roman" w:eastAsia="宋体" w:cs="Times New Roman"/>
          <w:color w:val="auto"/>
          <w:sz w:val="36"/>
          <w:szCs w:val="36"/>
          <w:highlight w:val="none"/>
          <w:u w:val="none" w:color="auto"/>
        </w:rPr>
      </w:pPr>
      <w:bookmarkStart w:id="321" w:name="_Toc14280"/>
      <w:bookmarkStart w:id="322" w:name="_Toc8637"/>
      <w:bookmarkStart w:id="323" w:name="_Toc14390"/>
      <w:bookmarkStart w:id="324" w:name="_Toc1580"/>
      <w:bookmarkStart w:id="325" w:name="_Toc6681"/>
      <w:bookmarkStart w:id="326" w:name="_Toc20818"/>
      <w:bookmarkStart w:id="327" w:name="_Toc26267"/>
      <w:bookmarkStart w:id="328" w:name="_Toc16969"/>
      <w:bookmarkStart w:id="329" w:name="_Toc4778"/>
      <w:bookmarkStart w:id="330" w:name="_Toc7326"/>
      <w:bookmarkStart w:id="331" w:name="_Toc3593"/>
      <w:bookmarkStart w:id="332" w:name="_Toc25229"/>
      <w:bookmarkStart w:id="333" w:name="_Toc13486"/>
      <w:bookmarkStart w:id="334" w:name="_Toc2919"/>
      <w:bookmarkStart w:id="335" w:name="_Toc11176"/>
      <w:r>
        <w:rPr>
          <w:rFonts w:hint="eastAsia" w:cs="Times New Roman"/>
          <w:color w:val="auto"/>
          <w:sz w:val="36"/>
          <w:szCs w:val="36"/>
          <w:highlight w:val="none"/>
          <w:u w:val="none" w:color="auto"/>
          <w:lang w:val="en-US" w:eastAsia="zh-CN"/>
        </w:rPr>
        <w:t>3</w:t>
      </w:r>
      <w:r>
        <w:rPr>
          <w:rFonts w:hint="default" w:ascii="Times New Roman" w:hAnsi="Times New Roman" w:eastAsia="宋体" w:cs="Times New Roman"/>
          <w:color w:val="auto"/>
          <w:sz w:val="36"/>
          <w:szCs w:val="36"/>
          <w:highlight w:val="none"/>
          <w:u w:val="none" w:color="auto"/>
        </w:rPr>
        <w:t xml:space="preserve"> </w:t>
      </w:r>
      <w:r>
        <w:rPr>
          <w:rFonts w:hint="default" w:ascii="Times New Roman" w:hAnsi="Times New Roman" w:cs="Times New Roman"/>
          <w:color w:val="auto"/>
          <w:sz w:val="36"/>
          <w:szCs w:val="36"/>
          <w:highlight w:val="none"/>
          <w:u w:val="none" w:color="auto"/>
          <w:lang w:val="en-US" w:eastAsia="zh-CN"/>
        </w:rPr>
        <w:t>项目工程分析</w:t>
      </w:r>
      <w:bookmarkEnd w:id="321"/>
      <w:bookmarkEnd w:id="322"/>
      <w:bookmarkEnd w:id="323"/>
    </w:p>
    <w:p w14:paraId="42AA856B">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336" w:name="_Toc18018"/>
      <w:bookmarkStart w:id="337" w:name="_Toc5235"/>
      <w:bookmarkStart w:id="338" w:name="_Toc2071"/>
      <w:r>
        <w:rPr>
          <w:rFonts w:hint="eastAsia" w:ascii="Times New Roman" w:hAnsi="Times New Roman" w:eastAsia="宋体" w:cs="Times New Roman"/>
          <w:color w:val="auto"/>
          <w:sz w:val="30"/>
          <w:szCs w:val="30"/>
          <w:highlight w:val="none"/>
          <w:u w:val="none" w:color="auto"/>
          <w:lang w:val="en-US" w:eastAsia="zh-CN"/>
        </w:rPr>
        <w:t>3</w:t>
      </w:r>
      <w:r>
        <w:rPr>
          <w:rFonts w:hint="default" w:ascii="Times New Roman" w:hAnsi="Times New Roman" w:eastAsia="宋体" w:cs="Times New Roman"/>
          <w:color w:val="auto"/>
          <w:sz w:val="30"/>
          <w:szCs w:val="30"/>
          <w:highlight w:val="none"/>
          <w:u w:val="none" w:color="auto"/>
          <w:lang w:val="en-US"/>
        </w:rPr>
        <w:t>.1</w:t>
      </w:r>
      <w:bookmarkEnd w:id="336"/>
      <w:bookmarkEnd w:id="337"/>
      <w:r>
        <w:rPr>
          <w:rFonts w:hint="default" w:ascii="Times New Roman" w:hAnsi="Times New Roman" w:eastAsia="宋体" w:cs="Times New Roman"/>
          <w:color w:val="auto"/>
          <w:sz w:val="30"/>
          <w:szCs w:val="30"/>
          <w:highlight w:val="none"/>
          <w:u w:val="none" w:color="auto"/>
          <w:lang w:val="en-US"/>
        </w:rPr>
        <w:t>项目概况</w:t>
      </w:r>
      <w:bookmarkEnd w:id="338"/>
    </w:p>
    <w:bookmarkEnd w:id="324"/>
    <w:bookmarkEnd w:id="325"/>
    <w:bookmarkEnd w:id="326"/>
    <w:bookmarkEnd w:id="327"/>
    <w:bookmarkEnd w:id="328"/>
    <w:bookmarkEnd w:id="329"/>
    <w:bookmarkEnd w:id="330"/>
    <w:bookmarkEnd w:id="331"/>
    <w:bookmarkEnd w:id="332"/>
    <w:bookmarkEnd w:id="333"/>
    <w:bookmarkEnd w:id="334"/>
    <w:bookmarkEnd w:id="335"/>
    <w:p w14:paraId="4BC2F322">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sz w:val="28"/>
          <w:szCs w:val="28"/>
          <w:lang w:val="en-US" w:eastAsia="zh-CN"/>
        </w:rPr>
      </w:pPr>
      <w:r>
        <w:rPr>
          <w:rFonts w:hint="eastAsia"/>
          <w:sz w:val="28"/>
          <w:szCs w:val="28"/>
          <w:lang w:val="en-US" w:eastAsia="zh-CN"/>
        </w:rPr>
        <w:t>3.1.1地块现状概况</w:t>
      </w:r>
    </w:p>
    <w:p w14:paraId="4DBAC0E0">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3.1.1.1地块相关历史使用情况</w:t>
      </w:r>
    </w:p>
    <w:p w14:paraId="0D52B308">
      <w:pPr>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（1）地块历史情况</w:t>
      </w:r>
    </w:p>
    <w:p w14:paraId="4293412E">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平江县地处山区，矿产资源较为丰富，具有矿种多，分布相对集中的特点，矿产资源丰富，属湖南省第二大产金县。项目地块位于平江县三阳乡万古村，在“国有民采，有水快流”的大背景下，万古村全民采矿、私采滥挖的采矿现象严重。</w:t>
      </w:r>
    </w:p>
    <w:p w14:paraId="68E7F783">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据调查，上世纪九十年代该区域金矿无序开采，采矿初期同时进行少量冶炼，万古村当地村民私自肆意开采达到高峰期，大大小小采矿点遍布山头，开采后的尾砂随意堆放，至94年村民停采后，开采过程中遗留尾矿及矿渣一直无序堆积在万古（白荆）水库约一公里范围，未采取任何拦挡和防治措施，裸露矿渣遭雨水冲刷淋溶后的废水，顺势随地形进入周边地表水体，对下游居民的灌溉用水和生活饮用水带来极大的健康安全隐患。</w:t>
      </w:r>
    </w:p>
    <w:p w14:paraId="7AEE50BA">
      <w:pPr>
        <w:rPr>
          <w:rFonts w:hint="default" w:ascii="Times New Roman" w:hAnsi="Times New Roman" w:cs="Times New Roman"/>
          <w:sz w:val="24"/>
          <w:szCs w:val="24"/>
          <w:highlight w:val="none"/>
          <w:vertAlign w:val="baseline"/>
          <w:lang w:val="en-US" w:eastAsia="zh-CN"/>
        </w:rPr>
      </w:pPr>
      <w:r>
        <w:rPr>
          <w:rFonts w:hint="default" w:ascii="Times New Roman" w:hAnsi="Times New Roman" w:cs="Times New Roman"/>
          <w:sz w:val="24"/>
          <w:szCs w:val="24"/>
          <w:highlight w:val="none"/>
          <w:lang w:val="en-US" w:eastAsia="zh-CN"/>
        </w:rPr>
        <w:t>地块历史影像图如下图所示：</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none" w:color="auto" w:sz="0" w:space="0"/>
        </w:tblBorders>
        <w:tblLayout w:type="autofit"/>
        <w:tblCellMar>
          <w:top w:w="0" w:type="dxa"/>
          <w:left w:w="108" w:type="dxa"/>
          <w:bottom w:w="0" w:type="dxa"/>
          <w:right w:w="108" w:type="dxa"/>
        </w:tblCellMar>
      </w:tblPr>
      <w:tblGrid>
        <w:gridCol w:w="9232"/>
      </w:tblGrid>
      <w:tr w14:paraId="5A693441">
        <w:tblPrEx>
          <w:tblBorders>
            <w:top w:val="single" w:color="auto" w:sz="12" w:space="0"/>
            <w:left w:val="single" w:color="auto" w:sz="12" w:space="0"/>
            <w:bottom w:val="single" w:color="auto" w:sz="12" w:space="0"/>
            <w:right w:val="single" w:color="auto" w:sz="12" w:space="0"/>
            <w:insideH w:val="single" w:color="auto" w:sz="12" w:space="0"/>
            <w:insideV w:val="none" w:color="auto" w:sz="0" w:space="0"/>
          </w:tblBorders>
          <w:tblCellMar>
            <w:top w:w="0" w:type="dxa"/>
            <w:left w:w="108" w:type="dxa"/>
            <w:bottom w:w="0" w:type="dxa"/>
            <w:right w:w="108" w:type="dxa"/>
          </w:tblCellMar>
        </w:tblPrEx>
        <w:tc>
          <w:tcPr>
            <w:tcW w:w="9232" w:type="dxa"/>
            <w:tcBorders>
              <w:tl2br w:val="nil"/>
              <w:tr2bl w:val="nil"/>
            </w:tcBorders>
            <w:noWrap w:val="0"/>
            <w:vAlign w:val="top"/>
          </w:tcPr>
          <w:p w14:paraId="3ECA56B8">
            <w:pPr>
              <w:widowControl w:val="0"/>
              <w:spacing w:line="240" w:lineRule="auto"/>
              <w:ind w:left="0" w:leftChars="0" w:firstLine="0" w:firstLineChars="0"/>
              <w:jc w:val="center"/>
            </w:pPr>
            <w:r>
              <w:drawing>
                <wp:inline distT="0" distB="0" distL="114300" distR="114300">
                  <wp:extent cx="5721985" cy="3332480"/>
                  <wp:effectExtent l="0" t="0" r="12065" b="1270"/>
                  <wp:docPr id="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pic:cNvPicPr>
                            <a:picLocks noChangeAspect="1"/>
                          </pic:cNvPicPr>
                        </pic:nvPicPr>
                        <pic:blipFill>
                          <a:blip r:embed="rId33"/>
                          <a:stretch>
                            <a:fillRect/>
                          </a:stretch>
                        </pic:blipFill>
                        <pic:spPr>
                          <a:xfrm>
                            <a:off x="0" y="0"/>
                            <a:ext cx="5721985" cy="3332480"/>
                          </a:xfrm>
                          <a:prstGeom prst="rect">
                            <a:avLst/>
                          </a:prstGeom>
                          <a:noFill/>
                          <a:ln>
                            <a:noFill/>
                          </a:ln>
                        </pic:spPr>
                      </pic:pic>
                    </a:graphicData>
                  </a:graphic>
                </wp:inline>
              </w:drawing>
            </w:r>
            <w:r>
              <w:rPr>
                <w:rFonts w:hint="eastAsia"/>
                <w:b/>
                <w:bCs/>
                <w:sz w:val="21"/>
                <w:szCs w:val="21"/>
                <w:lang w:val="en-US" w:eastAsia="zh-CN"/>
              </w:rPr>
              <w:t>1号废渣点2009年历史图片</w:t>
            </w:r>
            <w:r>
              <w:drawing>
                <wp:inline distT="0" distB="0" distL="114300" distR="114300">
                  <wp:extent cx="5512435" cy="3167380"/>
                  <wp:effectExtent l="0" t="0" r="12065" b="13970"/>
                  <wp:docPr id="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
                          <pic:cNvPicPr>
                            <a:picLocks noChangeAspect="1"/>
                          </pic:cNvPicPr>
                        </pic:nvPicPr>
                        <pic:blipFill>
                          <a:blip r:embed="rId34"/>
                          <a:stretch>
                            <a:fillRect/>
                          </a:stretch>
                        </pic:blipFill>
                        <pic:spPr>
                          <a:xfrm>
                            <a:off x="0" y="0"/>
                            <a:ext cx="5512435" cy="3167380"/>
                          </a:xfrm>
                          <a:prstGeom prst="rect">
                            <a:avLst/>
                          </a:prstGeom>
                          <a:noFill/>
                          <a:ln>
                            <a:noFill/>
                          </a:ln>
                        </pic:spPr>
                      </pic:pic>
                    </a:graphicData>
                  </a:graphic>
                </wp:inline>
              </w:drawing>
            </w:r>
          </w:p>
          <w:p w14:paraId="7688D91A">
            <w:pPr>
              <w:widowControl w:val="0"/>
              <w:spacing w:line="240" w:lineRule="auto"/>
              <w:ind w:left="0" w:leftChars="0" w:firstLine="0" w:firstLineChars="0"/>
              <w:jc w:val="center"/>
              <w:rPr>
                <w:rFonts w:hint="default"/>
                <w:highlight w:val="none"/>
                <w:vertAlign w:val="baseline"/>
                <w:lang w:val="en-US" w:eastAsia="zh-CN"/>
              </w:rPr>
            </w:pPr>
            <w:r>
              <w:rPr>
                <w:rFonts w:hint="eastAsia"/>
                <w:b/>
                <w:bCs/>
                <w:sz w:val="21"/>
                <w:szCs w:val="21"/>
                <w:lang w:val="en-US" w:eastAsia="zh-CN"/>
              </w:rPr>
              <w:t>1号废渣点2013年历史图片</w:t>
            </w:r>
          </w:p>
        </w:tc>
      </w:tr>
      <w:tr w14:paraId="1213E0FF">
        <w:tblPrEx>
          <w:tblBorders>
            <w:top w:val="single" w:color="auto" w:sz="12" w:space="0"/>
            <w:left w:val="single" w:color="auto" w:sz="12" w:space="0"/>
            <w:bottom w:val="single" w:color="auto" w:sz="12" w:space="0"/>
            <w:right w:val="single" w:color="auto" w:sz="12" w:space="0"/>
            <w:insideH w:val="single" w:color="auto" w:sz="12" w:space="0"/>
            <w:insideV w:val="none" w:color="auto" w:sz="0" w:space="0"/>
          </w:tblBorders>
          <w:tblCellMar>
            <w:top w:w="0" w:type="dxa"/>
            <w:left w:w="108" w:type="dxa"/>
            <w:bottom w:w="0" w:type="dxa"/>
            <w:right w:w="108" w:type="dxa"/>
          </w:tblCellMar>
        </w:tblPrEx>
        <w:tc>
          <w:tcPr>
            <w:tcW w:w="9232" w:type="dxa"/>
            <w:tcBorders>
              <w:tl2br w:val="nil"/>
              <w:tr2bl w:val="nil"/>
            </w:tcBorders>
            <w:noWrap w:val="0"/>
            <w:vAlign w:val="top"/>
          </w:tcPr>
          <w:p w14:paraId="1DEE5CAF">
            <w:pPr>
              <w:widowControl w:val="0"/>
              <w:spacing w:line="240" w:lineRule="auto"/>
              <w:ind w:left="0" w:leftChars="0" w:firstLine="0" w:firstLineChars="0"/>
              <w:jc w:val="center"/>
            </w:pPr>
            <w:r>
              <w:drawing>
                <wp:inline distT="0" distB="0" distL="114300" distR="114300">
                  <wp:extent cx="5540375" cy="3686175"/>
                  <wp:effectExtent l="0" t="0" r="3175" b="9525"/>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35"/>
                          <a:stretch>
                            <a:fillRect/>
                          </a:stretch>
                        </pic:blipFill>
                        <pic:spPr>
                          <a:xfrm>
                            <a:off x="0" y="0"/>
                            <a:ext cx="5540375" cy="3686175"/>
                          </a:xfrm>
                          <a:prstGeom prst="rect">
                            <a:avLst/>
                          </a:prstGeom>
                          <a:noFill/>
                          <a:ln>
                            <a:noFill/>
                          </a:ln>
                        </pic:spPr>
                      </pic:pic>
                    </a:graphicData>
                  </a:graphic>
                </wp:inline>
              </w:drawing>
            </w:r>
          </w:p>
          <w:p w14:paraId="71B29C78">
            <w:pPr>
              <w:widowControl w:val="0"/>
              <w:spacing w:line="240" w:lineRule="auto"/>
              <w:ind w:left="0" w:leftChars="0" w:firstLine="0" w:firstLineChars="0"/>
              <w:jc w:val="center"/>
              <w:rPr>
                <w:rFonts w:hint="default"/>
                <w:highlight w:val="none"/>
                <w:vertAlign w:val="baseline"/>
                <w:lang w:val="en-US" w:eastAsia="zh-CN"/>
              </w:rPr>
            </w:pPr>
            <w:r>
              <w:rPr>
                <w:rFonts w:hint="eastAsia"/>
                <w:b/>
                <w:bCs/>
                <w:sz w:val="21"/>
                <w:szCs w:val="21"/>
                <w:lang w:val="en-US" w:eastAsia="zh-CN"/>
              </w:rPr>
              <w:t>1号废渣点2019年历史图片</w:t>
            </w:r>
          </w:p>
        </w:tc>
      </w:tr>
      <w:tr w14:paraId="744F3716">
        <w:tblPrEx>
          <w:tblBorders>
            <w:top w:val="single" w:color="auto" w:sz="12" w:space="0"/>
            <w:left w:val="single" w:color="auto" w:sz="12" w:space="0"/>
            <w:bottom w:val="single" w:color="auto" w:sz="12" w:space="0"/>
            <w:right w:val="single" w:color="auto" w:sz="12" w:space="0"/>
            <w:insideH w:val="single" w:color="auto" w:sz="12" w:space="0"/>
            <w:insideV w:val="none" w:color="auto" w:sz="0" w:space="0"/>
          </w:tblBorders>
          <w:tblCellMar>
            <w:top w:w="0" w:type="dxa"/>
            <w:left w:w="108" w:type="dxa"/>
            <w:bottom w:w="0" w:type="dxa"/>
            <w:right w:w="108" w:type="dxa"/>
          </w:tblCellMar>
        </w:tblPrEx>
        <w:tc>
          <w:tcPr>
            <w:tcW w:w="9232" w:type="dxa"/>
            <w:tcBorders>
              <w:tl2br w:val="nil"/>
              <w:tr2bl w:val="nil"/>
            </w:tcBorders>
            <w:noWrap w:val="0"/>
            <w:vAlign w:val="top"/>
          </w:tcPr>
          <w:p w14:paraId="2F371D38">
            <w:pPr>
              <w:widowControl w:val="0"/>
              <w:spacing w:line="240" w:lineRule="auto"/>
              <w:ind w:left="0" w:leftChars="0" w:firstLine="0" w:firstLineChars="0"/>
              <w:jc w:val="center"/>
              <w:rPr>
                <w:rFonts w:hint="default"/>
                <w:highlight w:val="none"/>
                <w:vertAlign w:val="baseline"/>
                <w:lang w:val="en-US" w:eastAsia="zh-CN"/>
              </w:rPr>
            </w:pPr>
            <w:r>
              <w:drawing>
                <wp:inline distT="0" distB="0" distL="114300" distR="114300">
                  <wp:extent cx="5719445" cy="3910965"/>
                  <wp:effectExtent l="0" t="0" r="14605" b="13335"/>
                  <wp:docPr id="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9"/>
                          <pic:cNvPicPr>
                            <a:picLocks noChangeAspect="1"/>
                          </pic:cNvPicPr>
                        </pic:nvPicPr>
                        <pic:blipFill>
                          <a:blip r:embed="rId36"/>
                          <a:stretch>
                            <a:fillRect/>
                          </a:stretch>
                        </pic:blipFill>
                        <pic:spPr>
                          <a:xfrm>
                            <a:off x="0" y="0"/>
                            <a:ext cx="5719445" cy="3910965"/>
                          </a:xfrm>
                          <a:prstGeom prst="rect">
                            <a:avLst/>
                          </a:prstGeom>
                          <a:noFill/>
                          <a:ln>
                            <a:noFill/>
                          </a:ln>
                        </pic:spPr>
                      </pic:pic>
                    </a:graphicData>
                  </a:graphic>
                </wp:inline>
              </w:drawing>
            </w:r>
            <w:r>
              <w:rPr>
                <w:rFonts w:hint="eastAsia"/>
                <w:b/>
                <w:bCs/>
                <w:sz w:val="21"/>
                <w:szCs w:val="21"/>
                <w:lang w:val="en-US" w:eastAsia="zh-CN"/>
              </w:rPr>
              <w:t>2号废渣点2009年历史图片</w:t>
            </w:r>
          </w:p>
        </w:tc>
      </w:tr>
      <w:tr w14:paraId="0001D530">
        <w:tblPrEx>
          <w:tblBorders>
            <w:top w:val="single" w:color="auto" w:sz="12" w:space="0"/>
            <w:left w:val="single" w:color="auto" w:sz="12" w:space="0"/>
            <w:bottom w:val="single" w:color="auto" w:sz="12" w:space="0"/>
            <w:right w:val="single" w:color="auto" w:sz="12" w:space="0"/>
            <w:insideH w:val="single" w:color="auto" w:sz="12" w:space="0"/>
            <w:insideV w:val="none" w:color="auto" w:sz="0" w:space="0"/>
          </w:tblBorders>
          <w:tblCellMar>
            <w:top w:w="0" w:type="dxa"/>
            <w:left w:w="108" w:type="dxa"/>
            <w:bottom w:w="0" w:type="dxa"/>
            <w:right w:w="108" w:type="dxa"/>
          </w:tblCellMar>
        </w:tblPrEx>
        <w:tc>
          <w:tcPr>
            <w:tcW w:w="9232" w:type="dxa"/>
            <w:tcBorders>
              <w:tl2br w:val="nil"/>
              <w:tr2bl w:val="nil"/>
            </w:tcBorders>
            <w:noWrap w:val="0"/>
            <w:vAlign w:val="top"/>
          </w:tcPr>
          <w:p w14:paraId="681A8A12">
            <w:pPr>
              <w:widowControl w:val="0"/>
              <w:spacing w:line="240" w:lineRule="auto"/>
              <w:ind w:left="0" w:leftChars="0" w:firstLine="0" w:firstLineChars="0"/>
              <w:jc w:val="center"/>
              <w:rPr>
                <w:rFonts w:hint="default"/>
                <w:highlight w:val="none"/>
                <w:vertAlign w:val="baseline"/>
                <w:lang w:val="en-US" w:eastAsia="zh-CN"/>
              </w:rPr>
            </w:pPr>
            <w:r>
              <w:drawing>
                <wp:inline distT="0" distB="0" distL="114300" distR="114300">
                  <wp:extent cx="5719445" cy="3817620"/>
                  <wp:effectExtent l="0" t="0" r="14605" b="11430"/>
                  <wp:docPr id="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0"/>
                          <pic:cNvPicPr>
                            <a:picLocks noChangeAspect="1"/>
                          </pic:cNvPicPr>
                        </pic:nvPicPr>
                        <pic:blipFill>
                          <a:blip r:embed="rId37"/>
                          <a:stretch>
                            <a:fillRect/>
                          </a:stretch>
                        </pic:blipFill>
                        <pic:spPr>
                          <a:xfrm>
                            <a:off x="0" y="0"/>
                            <a:ext cx="5719445" cy="3817620"/>
                          </a:xfrm>
                          <a:prstGeom prst="rect">
                            <a:avLst/>
                          </a:prstGeom>
                          <a:noFill/>
                          <a:ln>
                            <a:noFill/>
                          </a:ln>
                        </pic:spPr>
                      </pic:pic>
                    </a:graphicData>
                  </a:graphic>
                </wp:inline>
              </w:drawing>
            </w:r>
            <w:r>
              <w:rPr>
                <w:rFonts w:hint="eastAsia"/>
                <w:b/>
                <w:bCs/>
                <w:sz w:val="21"/>
                <w:szCs w:val="21"/>
                <w:lang w:val="en-US" w:eastAsia="zh-CN"/>
              </w:rPr>
              <w:t>2号废渣点2014年历史图片</w:t>
            </w:r>
            <w:r>
              <w:drawing>
                <wp:inline distT="0" distB="0" distL="114300" distR="114300">
                  <wp:extent cx="5718810" cy="4382770"/>
                  <wp:effectExtent l="0" t="0" r="15240" b="17780"/>
                  <wp:docPr id="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1"/>
                          <pic:cNvPicPr>
                            <a:picLocks noChangeAspect="1"/>
                          </pic:cNvPicPr>
                        </pic:nvPicPr>
                        <pic:blipFill>
                          <a:blip r:embed="rId38"/>
                          <a:stretch>
                            <a:fillRect/>
                          </a:stretch>
                        </pic:blipFill>
                        <pic:spPr>
                          <a:xfrm>
                            <a:off x="0" y="0"/>
                            <a:ext cx="5718810" cy="4382770"/>
                          </a:xfrm>
                          <a:prstGeom prst="rect">
                            <a:avLst/>
                          </a:prstGeom>
                          <a:noFill/>
                          <a:ln>
                            <a:noFill/>
                          </a:ln>
                        </pic:spPr>
                      </pic:pic>
                    </a:graphicData>
                  </a:graphic>
                </wp:inline>
              </w:drawing>
            </w:r>
            <w:r>
              <w:rPr>
                <w:rFonts w:hint="eastAsia"/>
                <w:b/>
                <w:bCs/>
                <w:sz w:val="21"/>
                <w:szCs w:val="21"/>
                <w:lang w:val="en-US" w:eastAsia="zh-CN"/>
              </w:rPr>
              <w:t>2号废渣点2019年历史图片</w:t>
            </w:r>
          </w:p>
        </w:tc>
      </w:tr>
      <w:tr w14:paraId="0CFBD9CF">
        <w:tblPrEx>
          <w:tblBorders>
            <w:top w:val="single" w:color="auto" w:sz="12" w:space="0"/>
            <w:left w:val="single" w:color="auto" w:sz="12" w:space="0"/>
            <w:bottom w:val="single" w:color="auto" w:sz="12" w:space="0"/>
            <w:right w:val="single" w:color="auto" w:sz="12" w:space="0"/>
            <w:insideH w:val="single" w:color="auto" w:sz="12" w:space="0"/>
            <w:insideV w:val="none" w:color="auto" w:sz="0" w:space="0"/>
          </w:tblBorders>
          <w:tblCellMar>
            <w:top w:w="0" w:type="dxa"/>
            <w:left w:w="108" w:type="dxa"/>
            <w:bottom w:w="0" w:type="dxa"/>
            <w:right w:w="108" w:type="dxa"/>
          </w:tblCellMar>
        </w:tblPrEx>
        <w:trPr>
          <w:trHeight w:val="188" w:hRule="atLeast"/>
        </w:trPr>
        <w:tc>
          <w:tcPr>
            <w:tcW w:w="9232" w:type="dxa"/>
            <w:tcBorders>
              <w:tl2br w:val="nil"/>
              <w:tr2bl w:val="nil"/>
            </w:tcBorders>
            <w:noWrap w:val="0"/>
            <w:vAlign w:val="top"/>
          </w:tcPr>
          <w:p w14:paraId="0249AE91">
            <w:pPr>
              <w:widowControl w:val="0"/>
              <w:spacing w:line="240" w:lineRule="auto"/>
              <w:ind w:left="0" w:leftChars="0" w:firstLine="0" w:firstLineChars="0"/>
              <w:jc w:val="center"/>
            </w:pPr>
            <w:r>
              <w:drawing>
                <wp:inline distT="0" distB="0" distL="114300" distR="114300">
                  <wp:extent cx="5572125" cy="3162300"/>
                  <wp:effectExtent l="0" t="0" r="9525" b="0"/>
                  <wp:docPr id="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2"/>
                          <pic:cNvPicPr>
                            <a:picLocks noChangeAspect="1"/>
                          </pic:cNvPicPr>
                        </pic:nvPicPr>
                        <pic:blipFill>
                          <a:blip r:embed="rId39"/>
                          <a:stretch>
                            <a:fillRect/>
                          </a:stretch>
                        </pic:blipFill>
                        <pic:spPr>
                          <a:xfrm>
                            <a:off x="0" y="0"/>
                            <a:ext cx="5572125" cy="3162300"/>
                          </a:xfrm>
                          <a:prstGeom prst="rect">
                            <a:avLst/>
                          </a:prstGeom>
                          <a:noFill/>
                          <a:ln>
                            <a:noFill/>
                          </a:ln>
                        </pic:spPr>
                      </pic:pic>
                    </a:graphicData>
                  </a:graphic>
                </wp:inline>
              </w:drawing>
            </w:r>
          </w:p>
          <w:p w14:paraId="4B0866AE">
            <w:pPr>
              <w:widowControl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万古水库废渣点2009年历史图片</w:t>
            </w:r>
          </w:p>
          <w:p w14:paraId="135B4816">
            <w:pPr>
              <w:widowControl w:val="0"/>
              <w:spacing w:line="240" w:lineRule="auto"/>
              <w:ind w:left="0" w:leftChars="0" w:firstLine="0" w:firstLineChars="0"/>
              <w:jc w:val="center"/>
            </w:pPr>
            <w:r>
              <w:drawing>
                <wp:inline distT="0" distB="0" distL="114300" distR="114300">
                  <wp:extent cx="5524500" cy="3962400"/>
                  <wp:effectExtent l="0" t="0" r="0" b="0"/>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pic:cNvPicPr>
                        </pic:nvPicPr>
                        <pic:blipFill>
                          <a:blip r:embed="rId40"/>
                          <a:stretch>
                            <a:fillRect/>
                          </a:stretch>
                        </pic:blipFill>
                        <pic:spPr>
                          <a:xfrm>
                            <a:off x="0" y="0"/>
                            <a:ext cx="5524500" cy="3962400"/>
                          </a:xfrm>
                          <a:prstGeom prst="rect">
                            <a:avLst/>
                          </a:prstGeom>
                          <a:noFill/>
                          <a:ln>
                            <a:noFill/>
                          </a:ln>
                        </pic:spPr>
                      </pic:pic>
                    </a:graphicData>
                  </a:graphic>
                </wp:inline>
              </w:drawing>
            </w:r>
          </w:p>
          <w:p w14:paraId="4899685D">
            <w:pPr>
              <w:widowControl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万古水库废渣点2014年历史图片</w:t>
            </w:r>
          </w:p>
          <w:p w14:paraId="74CD4363">
            <w:pPr>
              <w:widowControl w:val="0"/>
              <w:spacing w:line="240" w:lineRule="auto"/>
              <w:ind w:left="0" w:leftChars="0" w:firstLine="0" w:firstLineChars="0"/>
              <w:jc w:val="center"/>
            </w:pPr>
            <w:r>
              <w:drawing>
                <wp:inline distT="0" distB="0" distL="114300" distR="114300">
                  <wp:extent cx="5553075" cy="3952875"/>
                  <wp:effectExtent l="0" t="0" r="9525" b="9525"/>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41"/>
                          <a:stretch>
                            <a:fillRect/>
                          </a:stretch>
                        </pic:blipFill>
                        <pic:spPr>
                          <a:xfrm>
                            <a:off x="0" y="0"/>
                            <a:ext cx="5553075" cy="3952875"/>
                          </a:xfrm>
                          <a:prstGeom prst="rect">
                            <a:avLst/>
                          </a:prstGeom>
                          <a:noFill/>
                          <a:ln>
                            <a:noFill/>
                          </a:ln>
                        </pic:spPr>
                      </pic:pic>
                    </a:graphicData>
                  </a:graphic>
                </wp:inline>
              </w:drawing>
            </w:r>
          </w:p>
          <w:p w14:paraId="6E9750A7">
            <w:pPr>
              <w:widowControl w:val="0"/>
              <w:spacing w:line="240" w:lineRule="auto"/>
              <w:ind w:left="0" w:leftChars="0" w:firstLine="0" w:firstLineChars="0"/>
              <w:jc w:val="center"/>
              <w:rPr>
                <w:rFonts w:hint="default"/>
                <w:lang w:val="en-US" w:eastAsia="zh-CN"/>
              </w:rPr>
            </w:pPr>
            <w:r>
              <w:rPr>
                <w:rFonts w:hint="eastAsia"/>
                <w:b/>
                <w:bCs/>
                <w:sz w:val="21"/>
                <w:szCs w:val="21"/>
                <w:lang w:val="en-US" w:eastAsia="zh-CN"/>
              </w:rPr>
              <w:t>万古水库废渣点2019年历史图片</w:t>
            </w:r>
          </w:p>
        </w:tc>
      </w:tr>
    </w:tbl>
    <w:p w14:paraId="4FEEF20F">
      <w:pPr>
        <w:bidi w:val="0"/>
        <w:rPr>
          <w:rFonts w:hint="default"/>
          <w:b/>
          <w:bCs/>
          <w:sz w:val="24"/>
          <w:szCs w:val="24"/>
          <w:lang w:val="en-US" w:eastAsia="zh-CN"/>
        </w:rPr>
      </w:pPr>
      <w:r>
        <w:rPr>
          <w:rFonts w:hint="eastAsia"/>
          <w:b/>
          <w:bCs/>
          <w:sz w:val="24"/>
          <w:szCs w:val="24"/>
          <w:lang w:val="en-US" w:eastAsia="zh-CN"/>
        </w:rPr>
        <w:t>（2）地块利用现状</w:t>
      </w:r>
    </w:p>
    <w:p w14:paraId="24B33006">
      <w:pPr>
        <w:rPr>
          <w:rFonts w:hint="eastAsia"/>
          <w:sz w:val="24"/>
          <w:szCs w:val="24"/>
          <w:highlight w:val="none"/>
          <w:lang w:val="en-US" w:eastAsia="zh-CN"/>
        </w:rPr>
      </w:pPr>
      <w:r>
        <w:rPr>
          <w:rFonts w:hint="eastAsia"/>
          <w:sz w:val="24"/>
          <w:szCs w:val="24"/>
        </w:rPr>
        <w:t>根据岳阳百利勘察科技有限公司地勘报告和现场踏勘，平江县三阳乡万古村万古水库周边共有</w:t>
      </w:r>
      <w:r>
        <w:rPr>
          <w:rFonts w:hint="eastAsia"/>
          <w:sz w:val="24"/>
          <w:szCs w:val="24"/>
          <w:lang w:val="en-US" w:eastAsia="zh-CN"/>
        </w:rPr>
        <w:t>4</w:t>
      </w:r>
      <w:r>
        <w:rPr>
          <w:rFonts w:hint="eastAsia"/>
          <w:sz w:val="24"/>
          <w:szCs w:val="24"/>
        </w:rPr>
        <w:t>个历史遗留重金属</w:t>
      </w:r>
      <w:bookmarkStart w:id="339" w:name="OLE_LINK1"/>
      <w:r>
        <w:rPr>
          <w:rFonts w:hint="eastAsia"/>
          <w:sz w:val="24"/>
          <w:szCs w:val="24"/>
        </w:rPr>
        <w:t>废渣堆</w:t>
      </w:r>
      <w:bookmarkEnd w:id="339"/>
      <w:r>
        <w:rPr>
          <w:rFonts w:hint="eastAsia"/>
          <w:sz w:val="24"/>
          <w:szCs w:val="24"/>
        </w:rPr>
        <w:t>（</w:t>
      </w:r>
      <w:bookmarkStart w:id="340" w:name="OLE_LINK3"/>
      <w:r>
        <w:rPr>
          <w:rFonts w:hint="eastAsia"/>
          <w:sz w:val="24"/>
          <w:szCs w:val="24"/>
        </w:rPr>
        <w:t>万古村1</w:t>
      </w:r>
      <w:r>
        <w:rPr>
          <w:rFonts w:hint="eastAsia"/>
          <w:sz w:val="24"/>
          <w:szCs w:val="24"/>
          <w:lang w:val="en-US" w:eastAsia="zh-CN"/>
        </w:rPr>
        <w:t>#</w:t>
      </w:r>
      <w:r>
        <w:rPr>
          <w:rFonts w:hint="eastAsia"/>
          <w:sz w:val="24"/>
          <w:szCs w:val="24"/>
        </w:rPr>
        <w:t>废渣堆</w:t>
      </w:r>
      <w:r>
        <w:rPr>
          <w:rFonts w:hint="eastAsia"/>
          <w:sz w:val="24"/>
          <w:szCs w:val="24"/>
          <w:lang w:eastAsia="zh-CN"/>
        </w:rPr>
        <w:t>、万古村</w:t>
      </w:r>
      <w:r>
        <w:rPr>
          <w:rFonts w:hint="eastAsia"/>
          <w:sz w:val="24"/>
          <w:szCs w:val="24"/>
          <w:lang w:val="en-US" w:eastAsia="zh-CN"/>
        </w:rPr>
        <w:t>2#</w:t>
      </w:r>
      <w:r>
        <w:rPr>
          <w:rFonts w:hint="eastAsia"/>
          <w:sz w:val="24"/>
          <w:szCs w:val="24"/>
          <w:lang w:eastAsia="zh-CN"/>
        </w:rPr>
        <w:t>废渣堆、万古水库废渣堆3A号点</w:t>
      </w:r>
      <w:r>
        <w:rPr>
          <w:rFonts w:hint="eastAsia"/>
          <w:sz w:val="24"/>
          <w:szCs w:val="24"/>
        </w:rPr>
        <w:t>和</w:t>
      </w:r>
      <w:bookmarkEnd w:id="340"/>
      <w:r>
        <w:rPr>
          <w:sz w:val="24"/>
          <w:szCs w:val="24"/>
        </w:rPr>
        <w:t>万古水库废渣堆3</w:t>
      </w:r>
      <w:r>
        <w:rPr>
          <w:rFonts w:hint="eastAsia"/>
          <w:sz w:val="24"/>
          <w:szCs w:val="24"/>
          <w:lang w:val="en-US" w:eastAsia="zh-CN"/>
        </w:rPr>
        <w:t>B</w:t>
      </w:r>
      <w:r>
        <w:rPr>
          <w:rFonts w:hint="eastAsia"/>
          <w:sz w:val="24"/>
          <w:szCs w:val="24"/>
          <w:lang w:eastAsia="zh-CN"/>
        </w:rPr>
        <w:t>号点</w:t>
      </w:r>
      <w:r>
        <w:rPr>
          <w:rFonts w:hint="eastAsia"/>
          <w:sz w:val="24"/>
          <w:szCs w:val="24"/>
        </w:rPr>
        <w:t>）。废渣堆堆存的矿渣为矿渣黄褐色、灰褐色，主要由金矿冶炼后残存矿渣组成，松散，稍湿，不均匀，具孔隙，未完成自重固结，系早期矿渣堆填。</w:t>
      </w:r>
      <w:r>
        <w:rPr>
          <w:rFonts w:hint="eastAsia"/>
          <w:sz w:val="24"/>
          <w:szCs w:val="24"/>
          <w:lang w:val="en-US" w:eastAsia="zh-CN"/>
        </w:rPr>
        <w:t>以上4个</w:t>
      </w:r>
      <w:r>
        <w:rPr>
          <w:rFonts w:hint="eastAsia"/>
          <w:sz w:val="24"/>
          <w:szCs w:val="24"/>
        </w:rPr>
        <w:t>废渣</w:t>
      </w:r>
      <w:r>
        <w:rPr>
          <w:rFonts w:hint="eastAsia"/>
          <w:sz w:val="24"/>
          <w:szCs w:val="24"/>
          <w:lang w:val="en-US" w:eastAsia="zh-CN"/>
        </w:rPr>
        <w:t>堆</w:t>
      </w:r>
      <w:r>
        <w:rPr>
          <w:rFonts w:hint="eastAsia"/>
          <w:sz w:val="24"/>
          <w:szCs w:val="24"/>
        </w:rPr>
        <w:t>占地面积总计为13047m</w:t>
      </w:r>
      <w:r>
        <w:rPr>
          <w:rFonts w:hint="eastAsia"/>
          <w:sz w:val="24"/>
          <w:szCs w:val="24"/>
          <w:vertAlign w:val="superscript"/>
        </w:rPr>
        <w:t>2</w:t>
      </w:r>
      <w:r>
        <w:rPr>
          <w:rFonts w:hint="eastAsia"/>
          <w:sz w:val="24"/>
          <w:szCs w:val="24"/>
        </w:rPr>
        <w:t xml:space="preserve"> ，矿渣堆存总量约为55999.73m</w:t>
      </w:r>
      <w:r>
        <w:rPr>
          <w:rFonts w:hint="eastAsia"/>
          <w:sz w:val="24"/>
          <w:szCs w:val="24"/>
          <w:vertAlign w:val="superscript"/>
        </w:rPr>
        <w:t>3</w:t>
      </w:r>
      <w:r>
        <w:rPr>
          <w:rFonts w:hint="eastAsia"/>
          <w:sz w:val="24"/>
          <w:szCs w:val="24"/>
        </w:rPr>
        <w:t>。废渣堆的基本情况见表3.1-1。废渣堆放的现状图见图3.1-1。</w:t>
      </w:r>
    </w:p>
    <w:p w14:paraId="6F92AF23">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表3.1-1  废渣堆的基本情况统计表</w:t>
      </w:r>
    </w:p>
    <w:tbl>
      <w:tblPr>
        <w:tblStyle w:val="4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494"/>
        <w:gridCol w:w="1927"/>
        <w:gridCol w:w="1722"/>
        <w:gridCol w:w="3082"/>
      </w:tblGrid>
      <w:tr w14:paraId="1D4690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70" w:type="pct"/>
            <w:noWrap w:val="0"/>
            <w:vAlign w:val="center"/>
          </w:tcPr>
          <w:p w14:paraId="425DF6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地块分区</w:t>
            </w:r>
          </w:p>
        </w:tc>
        <w:tc>
          <w:tcPr>
            <w:tcW w:w="1162" w:type="pct"/>
            <w:noWrap w:val="0"/>
            <w:vAlign w:val="center"/>
          </w:tcPr>
          <w:p w14:paraId="71EDE0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矿渣面积（m</w:t>
            </w:r>
            <w:r>
              <w:rPr>
                <w:rFonts w:hint="eastAsia"/>
                <w:b/>
                <w:bCs/>
                <w:sz w:val="21"/>
                <w:szCs w:val="21"/>
                <w:highlight w:val="none"/>
                <w:vertAlign w:val="superscript"/>
                <w:lang w:val="en-US" w:eastAsia="zh-CN"/>
              </w:rPr>
              <w:t>2</w:t>
            </w:r>
            <w:r>
              <w:rPr>
                <w:rFonts w:hint="eastAsia"/>
                <w:b/>
                <w:bCs/>
                <w:sz w:val="21"/>
                <w:szCs w:val="21"/>
                <w:highlight w:val="none"/>
                <w:vertAlign w:val="baseline"/>
                <w:lang w:val="en-US" w:eastAsia="zh-CN"/>
              </w:rPr>
              <w:t>）</w:t>
            </w:r>
          </w:p>
        </w:tc>
        <w:tc>
          <w:tcPr>
            <w:tcW w:w="1051" w:type="pct"/>
            <w:noWrap w:val="0"/>
            <w:vAlign w:val="center"/>
          </w:tcPr>
          <w:p w14:paraId="758771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矿渣方量（m</w:t>
            </w:r>
            <w:r>
              <w:rPr>
                <w:rFonts w:hint="eastAsia"/>
                <w:b/>
                <w:bCs/>
                <w:sz w:val="21"/>
                <w:szCs w:val="21"/>
                <w:highlight w:val="none"/>
                <w:vertAlign w:val="superscript"/>
                <w:lang w:val="en-US" w:eastAsia="zh-CN"/>
              </w:rPr>
              <w:t>3</w:t>
            </w:r>
            <w:r>
              <w:rPr>
                <w:rFonts w:hint="eastAsia"/>
                <w:b/>
                <w:bCs/>
                <w:sz w:val="21"/>
                <w:szCs w:val="21"/>
                <w:highlight w:val="none"/>
                <w:vertAlign w:val="baseline"/>
                <w:lang w:val="en-US" w:eastAsia="zh-CN"/>
              </w:rPr>
              <w:t>）</w:t>
            </w:r>
          </w:p>
        </w:tc>
        <w:tc>
          <w:tcPr>
            <w:tcW w:w="1315" w:type="pct"/>
            <w:noWrap w:val="0"/>
            <w:vAlign w:val="center"/>
          </w:tcPr>
          <w:p w14:paraId="132F25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中心经纬度</w:t>
            </w:r>
          </w:p>
        </w:tc>
      </w:tr>
      <w:tr w14:paraId="7EA53D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70" w:type="pct"/>
            <w:noWrap w:val="0"/>
            <w:vAlign w:val="center"/>
          </w:tcPr>
          <w:p w14:paraId="2D3F66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r>
              <w:rPr>
                <w:rFonts w:hint="eastAsia"/>
                <w:sz w:val="21"/>
                <w:szCs w:val="21"/>
                <w:highlight w:val="none"/>
                <w:vertAlign w:val="baseline"/>
                <w:lang w:val="en-US" w:eastAsia="zh-CN"/>
              </w:rPr>
              <w:t>万古村1#废渣堆</w:t>
            </w:r>
          </w:p>
        </w:tc>
        <w:tc>
          <w:tcPr>
            <w:tcW w:w="1162" w:type="pct"/>
            <w:noWrap w:val="0"/>
            <w:vAlign w:val="center"/>
          </w:tcPr>
          <w:p w14:paraId="66EFAF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748</w:t>
            </w:r>
          </w:p>
        </w:tc>
        <w:tc>
          <w:tcPr>
            <w:tcW w:w="1051" w:type="pct"/>
            <w:noWrap w:val="0"/>
            <w:vAlign w:val="center"/>
          </w:tcPr>
          <w:p w14:paraId="22CA46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3935.6</w:t>
            </w:r>
          </w:p>
        </w:tc>
        <w:tc>
          <w:tcPr>
            <w:tcW w:w="1315" w:type="pct"/>
            <w:noWrap w:val="0"/>
            <w:vAlign w:val="center"/>
          </w:tcPr>
          <w:p w14:paraId="526A26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113°34′24.259″E</w:t>
            </w:r>
            <w:r>
              <w:rPr>
                <w:rFonts w:hint="eastAsia" w:ascii="Times New Roman" w:hAnsi="Times New Roman" w:cs="Times New Roman"/>
                <w:sz w:val="21"/>
                <w:szCs w:val="21"/>
                <w:highlight w:val="none"/>
                <w:vertAlign w:val="baseline"/>
                <w:lang w:val="en-US" w:eastAsia="zh-CN"/>
              </w:rPr>
              <w:t>;</w:t>
            </w:r>
            <w:r>
              <w:rPr>
                <w:rFonts w:hint="default"/>
                <w:sz w:val="21"/>
                <w:szCs w:val="21"/>
                <w:highlight w:val="none"/>
                <w:vertAlign w:val="baseline"/>
                <w:lang w:val="en-US" w:eastAsia="zh-CN"/>
              </w:rPr>
              <w:t>28°37′46.170″</w:t>
            </w:r>
            <w:r>
              <w:rPr>
                <w:rFonts w:hint="default" w:ascii="Times New Roman" w:hAnsi="Times New Roman" w:cs="Times New Roman"/>
                <w:sz w:val="21"/>
                <w:szCs w:val="21"/>
                <w:highlight w:val="none"/>
                <w:vertAlign w:val="baseline"/>
                <w:lang w:val="en-US" w:eastAsia="zh-CN"/>
              </w:rPr>
              <w:t>N</w:t>
            </w:r>
          </w:p>
        </w:tc>
      </w:tr>
      <w:tr w14:paraId="62667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70" w:type="pct"/>
            <w:noWrap w:val="0"/>
            <w:vAlign w:val="center"/>
          </w:tcPr>
          <w:p w14:paraId="498D2F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r>
              <w:rPr>
                <w:rFonts w:hint="eastAsia"/>
                <w:sz w:val="21"/>
                <w:szCs w:val="21"/>
                <w:highlight w:val="none"/>
                <w:vertAlign w:val="baseline"/>
                <w:lang w:val="en-US" w:eastAsia="zh-CN"/>
              </w:rPr>
              <w:t>万古村2#废渣堆</w:t>
            </w:r>
          </w:p>
        </w:tc>
        <w:tc>
          <w:tcPr>
            <w:tcW w:w="1162" w:type="pct"/>
            <w:noWrap w:val="0"/>
            <w:vAlign w:val="center"/>
          </w:tcPr>
          <w:p w14:paraId="4C8F8F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5123</w:t>
            </w:r>
          </w:p>
        </w:tc>
        <w:tc>
          <w:tcPr>
            <w:tcW w:w="1051" w:type="pct"/>
            <w:noWrap w:val="0"/>
            <w:vAlign w:val="center"/>
          </w:tcPr>
          <w:p w14:paraId="159EA3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25991.4</w:t>
            </w:r>
          </w:p>
        </w:tc>
        <w:tc>
          <w:tcPr>
            <w:tcW w:w="1315" w:type="pct"/>
            <w:noWrap w:val="0"/>
            <w:vAlign w:val="center"/>
          </w:tcPr>
          <w:p w14:paraId="2C6248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113°34′18.659″E</w:t>
            </w:r>
            <w:r>
              <w:rPr>
                <w:rFonts w:hint="eastAsia" w:ascii="Times New Roman" w:hAnsi="Times New Roman" w:cs="Times New Roman"/>
                <w:sz w:val="21"/>
                <w:szCs w:val="21"/>
                <w:highlight w:val="none"/>
                <w:vertAlign w:val="baseline"/>
                <w:lang w:val="en-US" w:eastAsia="zh-CN"/>
              </w:rPr>
              <w:t>;</w:t>
            </w:r>
            <w:r>
              <w:rPr>
                <w:rFonts w:hint="default" w:ascii="Times New Roman" w:hAnsi="Times New Roman" w:cs="Times New Roman"/>
                <w:sz w:val="21"/>
                <w:szCs w:val="21"/>
                <w:highlight w:val="none"/>
                <w:vertAlign w:val="baseline"/>
                <w:lang w:val="en-US" w:eastAsia="zh-CN"/>
              </w:rPr>
              <w:t>28°37′42.597″N</w:t>
            </w:r>
          </w:p>
        </w:tc>
      </w:tr>
      <w:tr w14:paraId="472078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70" w:type="pct"/>
            <w:noWrap w:val="0"/>
            <w:vAlign w:val="center"/>
          </w:tcPr>
          <w:p w14:paraId="6903D7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万古水库废渣堆3A号点</w:t>
            </w:r>
          </w:p>
        </w:tc>
        <w:tc>
          <w:tcPr>
            <w:tcW w:w="1162" w:type="pct"/>
            <w:noWrap w:val="0"/>
            <w:vAlign w:val="center"/>
          </w:tcPr>
          <w:p w14:paraId="5ED352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4705</w:t>
            </w:r>
          </w:p>
        </w:tc>
        <w:tc>
          <w:tcPr>
            <w:tcW w:w="1051" w:type="pct"/>
            <w:noWrap w:val="0"/>
            <w:vAlign w:val="center"/>
          </w:tcPr>
          <w:p w14:paraId="441CB4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16052.3</w:t>
            </w:r>
          </w:p>
        </w:tc>
        <w:tc>
          <w:tcPr>
            <w:tcW w:w="1315" w:type="pct"/>
            <w:noWrap w:val="0"/>
            <w:vAlign w:val="center"/>
          </w:tcPr>
          <w:p w14:paraId="078FC4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113°34′5.894″E</w:t>
            </w:r>
            <w:r>
              <w:rPr>
                <w:rFonts w:hint="eastAsia" w:ascii="Times New Roman" w:hAnsi="Times New Roman" w:cs="Times New Roman"/>
                <w:sz w:val="21"/>
                <w:szCs w:val="21"/>
                <w:highlight w:val="none"/>
                <w:vertAlign w:val="baseline"/>
                <w:lang w:val="en-US" w:eastAsia="zh-CN"/>
              </w:rPr>
              <w:t>;</w:t>
            </w:r>
            <w:r>
              <w:rPr>
                <w:rFonts w:hint="default" w:ascii="Times New Roman" w:hAnsi="Times New Roman" w:cs="Times New Roman"/>
                <w:sz w:val="21"/>
                <w:szCs w:val="21"/>
                <w:highlight w:val="none"/>
                <w:vertAlign w:val="baseline"/>
                <w:lang w:val="en-US" w:eastAsia="zh-CN"/>
              </w:rPr>
              <w:t>28°37′58.250″N</w:t>
            </w:r>
          </w:p>
        </w:tc>
      </w:tr>
      <w:tr w14:paraId="4299B6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70" w:type="pct"/>
            <w:noWrap w:val="0"/>
            <w:vAlign w:val="center"/>
          </w:tcPr>
          <w:p w14:paraId="37B6EB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万古水库废渣堆3B号点</w:t>
            </w:r>
          </w:p>
        </w:tc>
        <w:tc>
          <w:tcPr>
            <w:tcW w:w="1162" w:type="pct"/>
            <w:noWrap w:val="0"/>
            <w:vAlign w:val="center"/>
          </w:tcPr>
          <w:p w14:paraId="323196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2471</w:t>
            </w:r>
          </w:p>
        </w:tc>
        <w:tc>
          <w:tcPr>
            <w:tcW w:w="1051" w:type="pct"/>
            <w:noWrap w:val="0"/>
            <w:vAlign w:val="center"/>
          </w:tcPr>
          <w:p w14:paraId="6E6019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10020.43</w:t>
            </w:r>
          </w:p>
        </w:tc>
        <w:tc>
          <w:tcPr>
            <w:tcW w:w="1315" w:type="pct"/>
            <w:noWrap w:val="0"/>
            <w:vAlign w:val="center"/>
          </w:tcPr>
          <w:p w14:paraId="30F4CE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113°34′2.225″E</w:t>
            </w:r>
            <w:r>
              <w:rPr>
                <w:rFonts w:hint="eastAsia" w:ascii="Times New Roman" w:hAnsi="Times New Roman" w:cs="Times New Roman"/>
                <w:sz w:val="21"/>
                <w:szCs w:val="21"/>
                <w:highlight w:val="none"/>
                <w:vertAlign w:val="baseline"/>
                <w:lang w:val="en-US" w:eastAsia="zh-CN"/>
              </w:rPr>
              <w:t>;</w:t>
            </w:r>
            <w:r>
              <w:rPr>
                <w:rFonts w:hint="default" w:ascii="Times New Roman" w:hAnsi="Times New Roman" w:cs="Times New Roman"/>
                <w:sz w:val="21"/>
                <w:szCs w:val="21"/>
                <w:highlight w:val="none"/>
                <w:vertAlign w:val="baseline"/>
                <w:lang w:val="en-US" w:eastAsia="zh-CN"/>
              </w:rPr>
              <w:t>28°37′59.621″N</w:t>
            </w:r>
          </w:p>
        </w:tc>
      </w:tr>
      <w:tr w14:paraId="7B8FE2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70" w:type="pct"/>
            <w:noWrap w:val="0"/>
            <w:vAlign w:val="center"/>
          </w:tcPr>
          <w:p w14:paraId="5B4C8C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合计</w:t>
            </w:r>
          </w:p>
        </w:tc>
        <w:tc>
          <w:tcPr>
            <w:tcW w:w="1162" w:type="pct"/>
            <w:noWrap w:val="0"/>
            <w:vAlign w:val="center"/>
          </w:tcPr>
          <w:p w14:paraId="74B45E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default"/>
                <w:b/>
                <w:bCs/>
                <w:sz w:val="21"/>
                <w:szCs w:val="21"/>
                <w:highlight w:val="none"/>
                <w:vertAlign w:val="baseline"/>
                <w:lang w:val="en-US" w:eastAsia="zh-CN"/>
              </w:rPr>
              <w:t>13047</w:t>
            </w:r>
          </w:p>
        </w:tc>
        <w:tc>
          <w:tcPr>
            <w:tcW w:w="1051" w:type="pct"/>
            <w:noWrap w:val="0"/>
            <w:vAlign w:val="center"/>
          </w:tcPr>
          <w:p w14:paraId="61895E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default"/>
                <w:b/>
                <w:bCs/>
                <w:sz w:val="21"/>
                <w:szCs w:val="21"/>
                <w:highlight w:val="none"/>
                <w:vertAlign w:val="baseline"/>
                <w:lang w:val="en-US" w:eastAsia="zh-CN"/>
              </w:rPr>
              <w:t>55999.73</w:t>
            </w:r>
          </w:p>
        </w:tc>
        <w:tc>
          <w:tcPr>
            <w:tcW w:w="1315" w:type="pct"/>
            <w:noWrap w:val="0"/>
            <w:vAlign w:val="center"/>
          </w:tcPr>
          <w:p w14:paraId="59FE77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w:t>
            </w:r>
          </w:p>
        </w:tc>
      </w:tr>
    </w:tbl>
    <w:p w14:paraId="5BB549F8">
      <w:pPr>
        <w:spacing w:line="240" w:lineRule="auto"/>
        <w:ind w:left="0" w:leftChars="0" w:firstLine="0" w:firstLineChars="0"/>
        <w:rPr>
          <w:rFonts w:hint="eastAsia"/>
          <w:sz w:val="2"/>
          <w:szCs w:val="2"/>
          <w:highlight w:val="yellow"/>
          <w:lang w:val="en-US" w:eastAsia="zh-CN"/>
        </w:rPr>
      </w:pP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16"/>
        <w:gridCol w:w="4616"/>
      </w:tblGrid>
      <w:tr w14:paraId="0DC3FF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616" w:type="dxa"/>
            <w:tcBorders>
              <w:tl2br w:val="nil"/>
              <w:tr2bl w:val="nil"/>
            </w:tcBorders>
            <w:noWrap w:val="0"/>
            <w:vAlign w:val="center"/>
          </w:tcPr>
          <w:p w14:paraId="2716E6D4">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425065" cy="2288540"/>
                  <wp:effectExtent l="0" t="0" r="13335" b="16510"/>
                  <wp:docPr id="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pic:cNvPicPr>
                            <a:picLocks noChangeAspect="1"/>
                          </pic:cNvPicPr>
                        </pic:nvPicPr>
                        <pic:blipFill>
                          <a:blip r:embed="rId42"/>
                          <a:stretch>
                            <a:fillRect/>
                          </a:stretch>
                        </pic:blipFill>
                        <pic:spPr>
                          <a:xfrm>
                            <a:off x="0" y="0"/>
                            <a:ext cx="2425065" cy="2288540"/>
                          </a:xfrm>
                          <a:prstGeom prst="rect">
                            <a:avLst/>
                          </a:prstGeom>
                          <a:noFill/>
                          <a:ln>
                            <a:noFill/>
                          </a:ln>
                        </pic:spPr>
                      </pic:pic>
                    </a:graphicData>
                  </a:graphic>
                </wp:inline>
              </w:drawing>
            </w:r>
          </w:p>
        </w:tc>
        <w:tc>
          <w:tcPr>
            <w:tcW w:w="4616" w:type="dxa"/>
            <w:tcBorders>
              <w:tl2br w:val="nil"/>
              <w:tr2bl w:val="nil"/>
            </w:tcBorders>
            <w:noWrap w:val="0"/>
            <w:vAlign w:val="center"/>
          </w:tcPr>
          <w:p w14:paraId="085D97F3">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441575" cy="2327275"/>
                  <wp:effectExtent l="0" t="0" r="15875" b="15875"/>
                  <wp:docPr id="7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
                          <pic:cNvPicPr>
                            <a:picLocks noChangeAspect="1"/>
                          </pic:cNvPicPr>
                        </pic:nvPicPr>
                        <pic:blipFill>
                          <a:blip r:embed="rId43"/>
                          <a:stretch>
                            <a:fillRect/>
                          </a:stretch>
                        </pic:blipFill>
                        <pic:spPr>
                          <a:xfrm>
                            <a:off x="0" y="0"/>
                            <a:ext cx="2441575" cy="2327275"/>
                          </a:xfrm>
                          <a:prstGeom prst="rect">
                            <a:avLst/>
                          </a:prstGeom>
                          <a:noFill/>
                          <a:ln>
                            <a:noFill/>
                          </a:ln>
                        </pic:spPr>
                      </pic:pic>
                    </a:graphicData>
                  </a:graphic>
                </wp:inline>
              </w:drawing>
            </w:r>
          </w:p>
        </w:tc>
      </w:tr>
      <w:tr w14:paraId="3ABE1A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9232" w:type="dxa"/>
            <w:gridSpan w:val="2"/>
            <w:tcBorders>
              <w:tl2br w:val="nil"/>
              <w:tr2bl w:val="nil"/>
            </w:tcBorders>
            <w:noWrap w:val="0"/>
            <w:vAlign w:val="center"/>
          </w:tcPr>
          <w:p w14:paraId="178AB8A8">
            <w:pPr>
              <w:widowControl w:val="0"/>
              <w:spacing w:line="240" w:lineRule="auto"/>
              <w:ind w:left="0" w:leftChars="0" w:firstLine="0" w:firstLineChars="0"/>
              <w:jc w:val="center"/>
              <w:rPr>
                <w:rFonts w:hint="default"/>
                <w:b/>
                <w:bCs/>
                <w:sz w:val="21"/>
                <w:szCs w:val="21"/>
                <w:highlight w:val="none"/>
                <w:lang w:val="en-US" w:eastAsia="zh-CN"/>
              </w:rPr>
            </w:pPr>
            <w:r>
              <w:rPr>
                <w:rFonts w:hint="default"/>
                <w:b/>
                <w:bCs/>
                <w:sz w:val="21"/>
                <w:szCs w:val="21"/>
                <w:highlight w:val="none"/>
                <w:lang w:val="en-US" w:eastAsia="zh-CN"/>
              </w:rPr>
              <w:t>万古村1#废渣堆</w:t>
            </w:r>
            <w:r>
              <w:rPr>
                <w:rFonts w:hint="eastAsia"/>
                <w:b/>
                <w:bCs/>
                <w:sz w:val="21"/>
                <w:szCs w:val="21"/>
                <w:highlight w:val="none"/>
                <w:lang w:val="en-US" w:eastAsia="zh-CN"/>
              </w:rPr>
              <w:t>现状图</w:t>
            </w:r>
          </w:p>
        </w:tc>
      </w:tr>
      <w:tr w14:paraId="0ABE1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616" w:type="dxa"/>
            <w:tcBorders>
              <w:tl2br w:val="nil"/>
              <w:tr2bl w:val="nil"/>
            </w:tcBorders>
            <w:noWrap w:val="0"/>
            <w:vAlign w:val="center"/>
          </w:tcPr>
          <w:p w14:paraId="1BB1EB46">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680335" cy="2616835"/>
                  <wp:effectExtent l="0" t="0" r="5715" b="12065"/>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44"/>
                          <a:stretch>
                            <a:fillRect/>
                          </a:stretch>
                        </pic:blipFill>
                        <pic:spPr>
                          <a:xfrm>
                            <a:off x="0" y="0"/>
                            <a:ext cx="2680335" cy="2616835"/>
                          </a:xfrm>
                          <a:prstGeom prst="rect">
                            <a:avLst/>
                          </a:prstGeom>
                          <a:noFill/>
                          <a:ln>
                            <a:noFill/>
                          </a:ln>
                        </pic:spPr>
                      </pic:pic>
                    </a:graphicData>
                  </a:graphic>
                </wp:inline>
              </w:drawing>
            </w:r>
          </w:p>
        </w:tc>
        <w:tc>
          <w:tcPr>
            <w:tcW w:w="4616" w:type="dxa"/>
            <w:tcBorders>
              <w:tl2br w:val="nil"/>
              <w:tr2bl w:val="nil"/>
            </w:tcBorders>
            <w:noWrap w:val="0"/>
            <w:vAlign w:val="center"/>
          </w:tcPr>
          <w:p w14:paraId="20CB03E0">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707640" cy="2626360"/>
                  <wp:effectExtent l="0" t="0" r="16510" b="2540"/>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pic:cNvPicPr>
                        </pic:nvPicPr>
                        <pic:blipFill>
                          <a:blip r:embed="rId45"/>
                          <a:stretch>
                            <a:fillRect/>
                          </a:stretch>
                        </pic:blipFill>
                        <pic:spPr>
                          <a:xfrm>
                            <a:off x="0" y="0"/>
                            <a:ext cx="2707640" cy="2626360"/>
                          </a:xfrm>
                          <a:prstGeom prst="rect">
                            <a:avLst/>
                          </a:prstGeom>
                          <a:noFill/>
                          <a:ln>
                            <a:noFill/>
                          </a:ln>
                        </pic:spPr>
                      </pic:pic>
                    </a:graphicData>
                  </a:graphic>
                </wp:inline>
              </w:drawing>
            </w:r>
          </w:p>
        </w:tc>
      </w:tr>
      <w:tr w14:paraId="17BD3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4616" w:type="dxa"/>
            <w:tcBorders>
              <w:tl2br w:val="nil"/>
              <w:tr2bl w:val="nil"/>
            </w:tcBorders>
            <w:noWrap w:val="0"/>
            <w:vAlign w:val="center"/>
          </w:tcPr>
          <w:p w14:paraId="6A842F90">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707640" cy="2101850"/>
                  <wp:effectExtent l="0" t="0" r="16510" b="12700"/>
                  <wp:docPr id="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9"/>
                          <pic:cNvPicPr>
                            <a:picLocks noChangeAspect="1"/>
                          </pic:cNvPicPr>
                        </pic:nvPicPr>
                        <pic:blipFill>
                          <a:blip r:embed="rId46"/>
                          <a:stretch>
                            <a:fillRect/>
                          </a:stretch>
                        </pic:blipFill>
                        <pic:spPr>
                          <a:xfrm>
                            <a:off x="0" y="0"/>
                            <a:ext cx="2707640" cy="2101850"/>
                          </a:xfrm>
                          <a:prstGeom prst="rect">
                            <a:avLst/>
                          </a:prstGeom>
                          <a:noFill/>
                          <a:ln>
                            <a:noFill/>
                          </a:ln>
                        </pic:spPr>
                      </pic:pic>
                    </a:graphicData>
                  </a:graphic>
                </wp:inline>
              </w:drawing>
            </w:r>
          </w:p>
        </w:tc>
        <w:tc>
          <w:tcPr>
            <w:tcW w:w="4616" w:type="dxa"/>
            <w:tcBorders>
              <w:tl2br w:val="nil"/>
              <w:tr2bl w:val="nil"/>
            </w:tcBorders>
            <w:noWrap w:val="0"/>
            <w:vAlign w:val="center"/>
          </w:tcPr>
          <w:p w14:paraId="27192B1E">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743835" cy="2078355"/>
                  <wp:effectExtent l="0" t="0" r="18415" b="17145"/>
                  <wp:docPr id="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pic:cNvPicPr>
                            <a:picLocks noChangeAspect="1"/>
                          </pic:cNvPicPr>
                        </pic:nvPicPr>
                        <pic:blipFill>
                          <a:blip r:embed="rId47"/>
                          <a:stretch>
                            <a:fillRect/>
                          </a:stretch>
                        </pic:blipFill>
                        <pic:spPr>
                          <a:xfrm>
                            <a:off x="0" y="0"/>
                            <a:ext cx="2743835" cy="2078355"/>
                          </a:xfrm>
                          <a:prstGeom prst="rect">
                            <a:avLst/>
                          </a:prstGeom>
                          <a:noFill/>
                          <a:ln>
                            <a:noFill/>
                          </a:ln>
                        </pic:spPr>
                      </pic:pic>
                    </a:graphicData>
                  </a:graphic>
                </wp:inline>
              </w:drawing>
            </w:r>
          </w:p>
        </w:tc>
      </w:tr>
      <w:tr w14:paraId="0E01B6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9232" w:type="dxa"/>
            <w:gridSpan w:val="2"/>
            <w:tcBorders>
              <w:tl2br w:val="nil"/>
              <w:tr2bl w:val="nil"/>
            </w:tcBorders>
            <w:noWrap w:val="0"/>
            <w:vAlign w:val="center"/>
          </w:tcPr>
          <w:p w14:paraId="198B3A8A">
            <w:pPr>
              <w:widowControl w:val="0"/>
              <w:spacing w:line="240" w:lineRule="auto"/>
              <w:ind w:left="0" w:leftChars="0" w:firstLine="0" w:firstLineChars="0"/>
              <w:jc w:val="center"/>
              <w:rPr>
                <w:rFonts w:hint="eastAsia"/>
                <w:b/>
                <w:bCs/>
                <w:sz w:val="21"/>
                <w:szCs w:val="21"/>
                <w:highlight w:val="none"/>
                <w:lang w:val="en-US" w:eastAsia="zh-CN"/>
              </w:rPr>
            </w:pPr>
            <w:r>
              <w:rPr>
                <w:rFonts w:hint="default"/>
                <w:b/>
                <w:bCs/>
                <w:sz w:val="21"/>
                <w:szCs w:val="21"/>
                <w:highlight w:val="none"/>
                <w:lang w:val="en-US" w:eastAsia="zh-CN"/>
              </w:rPr>
              <w:t>万古村</w:t>
            </w:r>
            <w:r>
              <w:rPr>
                <w:rFonts w:hint="eastAsia"/>
                <w:b/>
                <w:bCs/>
                <w:sz w:val="21"/>
                <w:szCs w:val="21"/>
                <w:highlight w:val="none"/>
                <w:lang w:val="en-US" w:eastAsia="zh-CN"/>
              </w:rPr>
              <w:t>2</w:t>
            </w:r>
            <w:r>
              <w:rPr>
                <w:rFonts w:hint="default"/>
                <w:b/>
                <w:bCs/>
                <w:sz w:val="21"/>
                <w:szCs w:val="21"/>
                <w:highlight w:val="none"/>
                <w:lang w:val="en-US" w:eastAsia="zh-CN"/>
              </w:rPr>
              <w:t>#废渣堆</w:t>
            </w:r>
            <w:r>
              <w:rPr>
                <w:rFonts w:hint="eastAsia"/>
                <w:b/>
                <w:bCs/>
                <w:sz w:val="21"/>
                <w:szCs w:val="21"/>
                <w:highlight w:val="none"/>
                <w:lang w:val="en-US" w:eastAsia="zh-CN"/>
              </w:rPr>
              <w:t>现状图</w:t>
            </w:r>
          </w:p>
        </w:tc>
      </w:tr>
      <w:tr w14:paraId="31BA14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7" w:hRule="atLeast"/>
        </w:trPr>
        <w:tc>
          <w:tcPr>
            <w:tcW w:w="4616" w:type="dxa"/>
            <w:tcBorders>
              <w:tl2br w:val="nil"/>
              <w:tr2bl w:val="nil"/>
            </w:tcBorders>
            <w:noWrap w:val="0"/>
            <w:vAlign w:val="center"/>
          </w:tcPr>
          <w:p w14:paraId="1C17F538">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740025" cy="1989455"/>
                  <wp:effectExtent l="0" t="0" r="3175" b="10795"/>
                  <wp:docPr id="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
                          <pic:cNvPicPr>
                            <a:picLocks noChangeAspect="1"/>
                          </pic:cNvPicPr>
                        </pic:nvPicPr>
                        <pic:blipFill>
                          <a:blip r:embed="rId48"/>
                          <a:stretch>
                            <a:fillRect/>
                          </a:stretch>
                        </pic:blipFill>
                        <pic:spPr>
                          <a:xfrm>
                            <a:off x="0" y="0"/>
                            <a:ext cx="2740025" cy="1989455"/>
                          </a:xfrm>
                          <a:prstGeom prst="rect">
                            <a:avLst/>
                          </a:prstGeom>
                          <a:noFill/>
                          <a:ln>
                            <a:noFill/>
                          </a:ln>
                        </pic:spPr>
                      </pic:pic>
                    </a:graphicData>
                  </a:graphic>
                </wp:inline>
              </w:drawing>
            </w:r>
          </w:p>
        </w:tc>
        <w:tc>
          <w:tcPr>
            <w:tcW w:w="4616" w:type="dxa"/>
            <w:tcBorders>
              <w:tl2br w:val="nil"/>
              <w:tr2bl w:val="nil"/>
            </w:tcBorders>
            <w:noWrap w:val="0"/>
            <w:vAlign w:val="center"/>
          </w:tcPr>
          <w:p w14:paraId="7766F5F0">
            <w:pPr>
              <w:widowControl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2706370" cy="2005965"/>
                  <wp:effectExtent l="0" t="0" r="17780" b="13335"/>
                  <wp:docPr id="1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2"/>
                          <pic:cNvPicPr>
                            <a:picLocks noChangeAspect="1"/>
                          </pic:cNvPicPr>
                        </pic:nvPicPr>
                        <pic:blipFill>
                          <a:blip r:embed="rId49"/>
                          <a:stretch>
                            <a:fillRect/>
                          </a:stretch>
                        </pic:blipFill>
                        <pic:spPr>
                          <a:xfrm>
                            <a:off x="0" y="0"/>
                            <a:ext cx="2706370" cy="2005965"/>
                          </a:xfrm>
                          <a:prstGeom prst="rect">
                            <a:avLst/>
                          </a:prstGeom>
                          <a:noFill/>
                          <a:ln>
                            <a:noFill/>
                          </a:ln>
                        </pic:spPr>
                      </pic:pic>
                    </a:graphicData>
                  </a:graphic>
                </wp:inline>
              </w:drawing>
            </w:r>
          </w:p>
        </w:tc>
      </w:tr>
      <w:tr w14:paraId="0AE986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9232" w:type="dxa"/>
            <w:gridSpan w:val="2"/>
            <w:tcBorders>
              <w:tl2br w:val="nil"/>
              <w:tr2bl w:val="nil"/>
            </w:tcBorders>
            <w:noWrap w:val="0"/>
            <w:vAlign w:val="center"/>
          </w:tcPr>
          <w:p w14:paraId="20A37968">
            <w:pPr>
              <w:widowControl w:val="0"/>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万古水库</w:t>
            </w:r>
            <w:r>
              <w:rPr>
                <w:rFonts w:hint="default"/>
                <w:b/>
                <w:bCs/>
                <w:sz w:val="21"/>
                <w:szCs w:val="21"/>
                <w:highlight w:val="none"/>
                <w:lang w:val="en-US" w:eastAsia="zh-CN"/>
              </w:rPr>
              <w:t>废渣堆</w:t>
            </w:r>
            <w:r>
              <w:rPr>
                <w:rFonts w:hint="eastAsia"/>
                <w:b/>
                <w:bCs/>
                <w:sz w:val="21"/>
                <w:szCs w:val="21"/>
                <w:highlight w:val="none"/>
                <w:lang w:val="en-US" w:eastAsia="zh-CN"/>
              </w:rPr>
              <w:t>现状图</w:t>
            </w:r>
          </w:p>
        </w:tc>
      </w:tr>
      <w:tr w14:paraId="46F55E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9232" w:type="dxa"/>
            <w:gridSpan w:val="2"/>
            <w:tcBorders>
              <w:tl2br w:val="nil"/>
              <w:tr2bl w:val="nil"/>
            </w:tcBorders>
            <w:noWrap w:val="0"/>
            <w:vAlign w:val="center"/>
          </w:tcPr>
          <w:p w14:paraId="288FA8A5">
            <w:pPr>
              <w:widowControl w:val="0"/>
              <w:spacing w:line="240" w:lineRule="auto"/>
              <w:ind w:left="0" w:leftChars="0" w:firstLine="0" w:firstLineChars="0"/>
              <w:jc w:val="center"/>
              <w:rPr>
                <w:rFonts w:hint="eastAsia"/>
                <w:vertAlign w:val="baseline"/>
                <w:lang w:val="en-US" w:eastAsia="zh-CN"/>
              </w:rPr>
            </w:pPr>
            <w:r>
              <w:rPr>
                <w:rFonts w:hint="eastAsia"/>
                <w:b/>
                <w:bCs/>
                <w:sz w:val="21"/>
                <w:szCs w:val="21"/>
                <w:highlight w:val="none"/>
                <w:lang w:val="en-US" w:eastAsia="zh-CN"/>
              </w:rPr>
              <w:t>图3.1-1  各废渣堆放现状图</w:t>
            </w:r>
          </w:p>
        </w:tc>
      </w:tr>
    </w:tbl>
    <w:p w14:paraId="0C9737CC">
      <w:pPr>
        <w:keepNext w:val="0"/>
        <w:keepLines w:val="0"/>
        <w:pageBreakBefore w:val="0"/>
        <w:widowControl w:val="0"/>
        <w:kinsoku/>
        <w:wordWrap/>
        <w:overflowPunct/>
        <w:topLinePunct w:val="0"/>
        <w:autoSpaceDE/>
        <w:autoSpaceDN/>
        <w:bidi w:val="0"/>
        <w:adjustRightInd/>
        <w:snapToGrid/>
        <w:ind w:left="0" w:leftChars="0" w:firstLine="482" w:firstLineChars="200"/>
        <w:jc w:val="left"/>
        <w:textAlignment w:val="auto"/>
        <w:rPr>
          <w:rFonts w:hint="eastAsia"/>
          <w:b/>
          <w:bCs/>
          <w:sz w:val="24"/>
          <w:szCs w:val="24"/>
          <w:highlight w:val="none"/>
          <w:lang w:val="en-US" w:eastAsia="zh-CN"/>
        </w:rPr>
      </w:pPr>
      <w:r>
        <w:rPr>
          <w:rFonts w:hint="eastAsia"/>
          <w:b/>
          <w:bCs/>
          <w:sz w:val="24"/>
          <w:szCs w:val="24"/>
          <w:highlight w:val="none"/>
          <w:lang w:val="en-US" w:eastAsia="zh-CN"/>
        </w:rPr>
        <w:t>（3）原采矿生产工艺及污染源</w:t>
      </w:r>
    </w:p>
    <w:p w14:paraId="19943C65">
      <w:pPr>
        <w:rPr>
          <w:rFonts w:hint="eastAsia"/>
          <w:sz w:val="24"/>
          <w:szCs w:val="24"/>
          <w:highlight w:val="none"/>
          <w:lang w:val="en-US" w:eastAsia="zh-CN"/>
        </w:rPr>
      </w:pPr>
      <w:r>
        <w:rPr>
          <w:rFonts w:hint="eastAsia"/>
          <w:sz w:val="24"/>
          <w:szCs w:val="24"/>
          <w:highlight w:val="none"/>
          <w:lang w:val="en-US" w:eastAsia="zh-CN"/>
        </w:rPr>
        <w:t>①原采矿生产工艺</w:t>
      </w:r>
    </w:p>
    <w:p w14:paraId="39D0B6EE">
      <w:pPr>
        <w:rPr>
          <w:rFonts w:hint="eastAsia"/>
          <w:sz w:val="24"/>
          <w:szCs w:val="24"/>
          <w:highlight w:val="none"/>
          <w:lang w:val="en-US" w:eastAsia="zh-CN"/>
        </w:rPr>
      </w:pPr>
      <w:r>
        <w:rPr>
          <w:rFonts w:hint="eastAsia"/>
          <w:sz w:val="24"/>
          <w:szCs w:val="24"/>
          <w:highlight w:val="none"/>
          <w:lang w:val="en-US" w:eastAsia="zh-CN"/>
        </w:rPr>
        <w:t>该片区以开采金矿为主，根据矿床分布，采用平硐开拓结合开挖和爆破方式开采，然后装载后外运，搬运以手推车为主。</w:t>
      </w:r>
    </w:p>
    <w:p w14:paraId="0B4A3A44">
      <w:pPr>
        <w:ind w:left="0" w:leftChars="0" w:firstLine="0" w:firstLineChars="0"/>
        <w:rPr>
          <w:rFonts w:hint="eastAsia"/>
          <w:highlight w:val="none"/>
          <w:lang w:val="en-US" w:eastAsia="zh-CN"/>
        </w:rPr>
      </w:pPr>
      <w:r>
        <w:rPr>
          <w:rFonts w:hint="eastAsia"/>
          <w:highlight w:val="none"/>
          <w:lang w:val="en-US" w:eastAsia="zh-CN"/>
        </w:rPr>
        <w:object>
          <v:shape id="_x0000_i1026" o:spt="75" type="#_x0000_t75" style="height:131.25pt;width:443.25pt;" o:ole="t" filled="f" o:preferrelative="t" stroked="f" coordsize="21600,21600">
            <v:path/>
            <v:fill on="f" focussize="0,0"/>
            <v:stroke on="f"/>
            <v:imagedata r:id="rId51" o:title=""/>
            <o:lock v:ext="edit" aspectratio="f"/>
            <w10:wrap type="none"/>
            <w10:anchorlock/>
          </v:shape>
          <o:OLEObject Type="Embed" ProgID="Visio.Drawing.11" ShapeID="_x0000_i1026" DrawAspect="Content" ObjectID="_1468075726" r:id="rId50">
            <o:LockedField>false</o:LockedField>
          </o:OLEObject>
        </w:object>
      </w:r>
    </w:p>
    <w:p w14:paraId="049890CF">
      <w:pPr>
        <w:keepNext w:val="0"/>
        <w:keepLines w:val="0"/>
        <w:pageBreakBefore w:val="0"/>
        <w:widowControl/>
        <w:kinsoku/>
        <w:wordWrap/>
        <w:overflowPunct/>
        <w:topLinePunct/>
        <w:autoSpaceDE/>
        <w:autoSpaceDN/>
        <w:bidi w:val="0"/>
        <w:adjustRightInd/>
        <w:snapToGrid/>
        <w:spacing w:line="360" w:lineRule="auto"/>
        <w:ind w:left="0" w:leftChars="0"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图3.1-2  原采矿生产工艺及污染源</w:t>
      </w:r>
    </w:p>
    <w:p w14:paraId="38500A03">
      <w:pPr>
        <w:keepNext w:val="0"/>
        <w:keepLines w:val="0"/>
        <w:pageBreakBefore w:val="0"/>
        <w:widowControl/>
        <w:kinsoku/>
        <w:wordWrap/>
        <w:overflowPunct/>
        <w:topLinePunct/>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②原采矿工艺污染源</w:t>
      </w:r>
    </w:p>
    <w:p w14:paraId="240134A7">
      <w:pPr>
        <w:keepNext w:val="0"/>
        <w:keepLines w:val="0"/>
        <w:pageBreakBefore w:val="0"/>
        <w:widowControl/>
        <w:kinsoku/>
        <w:wordWrap/>
        <w:overflowPunct/>
        <w:topLinePunct/>
        <w:autoSpaceDE/>
        <w:autoSpaceDN/>
        <w:bidi w:val="0"/>
        <w:adjustRightInd/>
        <w:snapToGrid/>
        <w:spacing w:line="360" w:lineRule="auto"/>
        <w:textAlignment w:val="auto"/>
        <w:rPr>
          <w:rFonts w:hint="eastAsia"/>
          <w:sz w:val="24"/>
          <w:szCs w:val="24"/>
          <w:highlight w:val="none"/>
          <w:lang w:val="en-US" w:eastAsia="zh-CN"/>
        </w:rPr>
      </w:pPr>
      <w:r>
        <w:rPr>
          <w:rFonts w:hint="eastAsia"/>
          <w:sz w:val="24"/>
          <w:szCs w:val="24"/>
          <w:highlight w:val="none"/>
          <w:lang w:val="en-US" w:eastAsia="zh-CN"/>
        </w:rPr>
        <w:t>原采矿工艺污染源见表3.1-2。</w:t>
      </w:r>
    </w:p>
    <w:p w14:paraId="5E0182B3">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表3.1-2  原采矿工艺污染源</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1446"/>
        <w:gridCol w:w="2385"/>
        <w:gridCol w:w="2385"/>
        <w:gridCol w:w="2318"/>
      </w:tblGrid>
      <w:tr w14:paraId="7B4DE7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78" w:type="pct"/>
            <w:noWrap w:val="0"/>
            <w:vAlign w:val="center"/>
          </w:tcPr>
          <w:p w14:paraId="548E4A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类别</w:t>
            </w:r>
          </w:p>
        </w:tc>
        <w:tc>
          <w:tcPr>
            <w:tcW w:w="783" w:type="pct"/>
            <w:noWrap w:val="0"/>
            <w:vAlign w:val="center"/>
          </w:tcPr>
          <w:p w14:paraId="580F4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名称</w:t>
            </w:r>
          </w:p>
        </w:tc>
        <w:tc>
          <w:tcPr>
            <w:tcW w:w="1291" w:type="pct"/>
            <w:noWrap w:val="0"/>
            <w:vAlign w:val="center"/>
          </w:tcPr>
          <w:p w14:paraId="135B4F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产污环节</w:t>
            </w:r>
          </w:p>
        </w:tc>
        <w:tc>
          <w:tcPr>
            <w:tcW w:w="1291" w:type="pct"/>
            <w:noWrap w:val="0"/>
            <w:vAlign w:val="center"/>
          </w:tcPr>
          <w:p w14:paraId="3CCF8E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主要污染因子</w:t>
            </w:r>
          </w:p>
        </w:tc>
        <w:tc>
          <w:tcPr>
            <w:tcW w:w="1255" w:type="pct"/>
            <w:noWrap w:val="0"/>
            <w:vAlign w:val="center"/>
          </w:tcPr>
          <w:p w14:paraId="2506F8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排放去向</w:t>
            </w:r>
          </w:p>
        </w:tc>
      </w:tr>
      <w:tr w14:paraId="1831B8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8" w:type="pct"/>
            <w:noWrap w:val="0"/>
            <w:vAlign w:val="center"/>
          </w:tcPr>
          <w:p w14:paraId="79463B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废水</w:t>
            </w:r>
          </w:p>
        </w:tc>
        <w:tc>
          <w:tcPr>
            <w:tcW w:w="783" w:type="pct"/>
            <w:noWrap w:val="0"/>
            <w:vAlign w:val="center"/>
          </w:tcPr>
          <w:p w14:paraId="4BD70B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淋溶废水</w:t>
            </w:r>
          </w:p>
        </w:tc>
        <w:tc>
          <w:tcPr>
            <w:tcW w:w="1291" w:type="pct"/>
            <w:noWrap w:val="0"/>
            <w:vAlign w:val="center"/>
          </w:tcPr>
          <w:p w14:paraId="2BA7F4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爆破、挖掘等采矿工程</w:t>
            </w:r>
          </w:p>
        </w:tc>
        <w:tc>
          <w:tcPr>
            <w:tcW w:w="1291" w:type="pct"/>
            <w:noWrap w:val="0"/>
            <w:vAlign w:val="center"/>
          </w:tcPr>
          <w:p w14:paraId="1B881E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pH、砷、铅、锌、镉、汞、铬、镍等</w:t>
            </w:r>
          </w:p>
        </w:tc>
        <w:tc>
          <w:tcPr>
            <w:tcW w:w="1255" w:type="pct"/>
            <w:noWrap w:val="0"/>
            <w:vAlign w:val="center"/>
          </w:tcPr>
          <w:p w14:paraId="7EBB26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下渗至土壤及地下水、地表径流进入地表水</w:t>
            </w:r>
          </w:p>
        </w:tc>
      </w:tr>
      <w:tr w14:paraId="7661E7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8" w:type="pct"/>
            <w:noWrap w:val="0"/>
            <w:vAlign w:val="center"/>
          </w:tcPr>
          <w:p w14:paraId="357D5A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废气</w:t>
            </w:r>
          </w:p>
        </w:tc>
        <w:tc>
          <w:tcPr>
            <w:tcW w:w="783" w:type="pct"/>
            <w:noWrap w:val="0"/>
            <w:vAlign w:val="center"/>
          </w:tcPr>
          <w:p w14:paraId="3BF698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粉尘</w:t>
            </w:r>
          </w:p>
        </w:tc>
        <w:tc>
          <w:tcPr>
            <w:tcW w:w="1291" w:type="pct"/>
            <w:noWrap w:val="0"/>
            <w:vAlign w:val="center"/>
          </w:tcPr>
          <w:p w14:paraId="602701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爆破、挖掘等采矿工程</w:t>
            </w:r>
          </w:p>
        </w:tc>
        <w:tc>
          <w:tcPr>
            <w:tcW w:w="1291" w:type="pct"/>
            <w:noWrap w:val="0"/>
            <w:vAlign w:val="center"/>
          </w:tcPr>
          <w:p w14:paraId="3FEA56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粉尘</w:t>
            </w:r>
          </w:p>
        </w:tc>
        <w:tc>
          <w:tcPr>
            <w:tcW w:w="1255" w:type="pct"/>
            <w:noWrap w:val="0"/>
            <w:vAlign w:val="center"/>
          </w:tcPr>
          <w:p w14:paraId="19CE80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无组织排放</w:t>
            </w:r>
          </w:p>
        </w:tc>
      </w:tr>
      <w:tr w14:paraId="055D1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8" w:type="pct"/>
            <w:noWrap w:val="0"/>
            <w:vAlign w:val="center"/>
          </w:tcPr>
          <w:p w14:paraId="5186AD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噪声</w:t>
            </w:r>
          </w:p>
        </w:tc>
        <w:tc>
          <w:tcPr>
            <w:tcW w:w="783" w:type="pct"/>
            <w:noWrap w:val="0"/>
            <w:vAlign w:val="center"/>
          </w:tcPr>
          <w:p w14:paraId="10878A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噪声</w:t>
            </w:r>
          </w:p>
        </w:tc>
        <w:tc>
          <w:tcPr>
            <w:tcW w:w="1291" w:type="pct"/>
            <w:noWrap w:val="0"/>
            <w:vAlign w:val="center"/>
          </w:tcPr>
          <w:p w14:paraId="7281AD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r>
              <w:rPr>
                <w:rFonts w:hint="eastAsia"/>
                <w:sz w:val="21"/>
                <w:szCs w:val="21"/>
                <w:highlight w:val="none"/>
                <w:vertAlign w:val="baseline"/>
                <w:lang w:val="en-US" w:eastAsia="zh-CN"/>
              </w:rPr>
              <w:t>爆破、挖掘等采矿工程</w:t>
            </w:r>
          </w:p>
        </w:tc>
        <w:tc>
          <w:tcPr>
            <w:tcW w:w="1291" w:type="pct"/>
            <w:noWrap w:val="0"/>
            <w:vAlign w:val="center"/>
          </w:tcPr>
          <w:p w14:paraId="74BBDD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噪声</w:t>
            </w:r>
          </w:p>
        </w:tc>
        <w:tc>
          <w:tcPr>
            <w:tcW w:w="1255" w:type="pct"/>
            <w:noWrap w:val="0"/>
            <w:vAlign w:val="center"/>
          </w:tcPr>
          <w:p w14:paraId="1FDFD1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w:t>
            </w:r>
          </w:p>
        </w:tc>
      </w:tr>
      <w:tr w14:paraId="2B7FB1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8" w:type="pct"/>
            <w:vMerge w:val="restart"/>
            <w:noWrap w:val="0"/>
            <w:vAlign w:val="center"/>
          </w:tcPr>
          <w:p w14:paraId="0FC03F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固废</w:t>
            </w:r>
          </w:p>
        </w:tc>
        <w:tc>
          <w:tcPr>
            <w:tcW w:w="783" w:type="pct"/>
            <w:noWrap w:val="0"/>
            <w:vAlign w:val="center"/>
          </w:tcPr>
          <w:p w14:paraId="4FE200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尾矿</w:t>
            </w:r>
          </w:p>
        </w:tc>
        <w:tc>
          <w:tcPr>
            <w:tcW w:w="1291" w:type="pct"/>
            <w:noWrap w:val="0"/>
            <w:vAlign w:val="center"/>
          </w:tcPr>
          <w:p w14:paraId="1611EE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r>
              <w:rPr>
                <w:rFonts w:hint="eastAsia"/>
                <w:sz w:val="21"/>
                <w:szCs w:val="21"/>
                <w:highlight w:val="none"/>
                <w:vertAlign w:val="baseline"/>
                <w:lang w:val="en-US" w:eastAsia="zh-CN"/>
              </w:rPr>
              <w:t>爆破、挖掘等采矿工程</w:t>
            </w:r>
          </w:p>
        </w:tc>
        <w:tc>
          <w:tcPr>
            <w:tcW w:w="1291" w:type="pct"/>
            <w:noWrap w:val="0"/>
            <w:vAlign w:val="center"/>
          </w:tcPr>
          <w:p w14:paraId="47A821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w:t>
            </w:r>
          </w:p>
        </w:tc>
        <w:tc>
          <w:tcPr>
            <w:tcW w:w="1255" w:type="pct"/>
            <w:vMerge w:val="restart"/>
            <w:noWrap w:val="0"/>
            <w:vAlign w:val="center"/>
          </w:tcPr>
          <w:p w14:paraId="2C50D7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就地无序露天堆放</w:t>
            </w:r>
          </w:p>
        </w:tc>
      </w:tr>
      <w:tr w14:paraId="25B288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8" w:type="pct"/>
            <w:vMerge w:val="continue"/>
            <w:noWrap w:val="0"/>
            <w:vAlign w:val="center"/>
          </w:tcPr>
          <w:p w14:paraId="2F6BB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p>
        </w:tc>
        <w:tc>
          <w:tcPr>
            <w:tcW w:w="783" w:type="pct"/>
            <w:noWrap w:val="0"/>
            <w:vAlign w:val="center"/>
          </w:tcPr>
          <w:p w14:paraId="21BA58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废石、废土</w:t>
            </w:r>
          </w:p>
        </w:tc>
        <w:tc>
          <w:tcPr>
            <w:tcW w:w="1291" w:type="pct"/>
            <w:noWrap w:val="0"/>
            <w:vAlign w:val="center"/>
          </w:tcPr>
          <w:p w14:paraId="0CA62F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r>
              <w:rPr>
                <w:rFonts w:hint="eastAsia"/>
                <w:sz w:val="21"/>
                <w:szCs w:val="21"/>
                <w:highlight w:val="none"/>
                <w:vertAlign w:val="baseline"/>
                <w:lang w:val="en-US" w:eastAsia="zh-CN"/>
              </w:rPr>
              <w:t>爆破、挖掘等采矿工程</w:t>
            </w:r>
          </w:p>
        </w:tc>
        <w:tc>
          <w:tcPr>
            <w:tcW w:w="1291" w:type="pct"/>
            <w:noWrap w:val="0"/>
            <w:vAlign w:val="center"/>
          </w:tcPr>
          <w:p w14:paraId="081BDB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w:t>
            </w:r>
          </w:p>
        </w:tc>
        <w:tc>
          <w:tcPr>
            <w:tcW w:w="1255" w:type="pct"/>
            <w:vMerge w:val="continue"/>
            <w:noWrap w:val="0"/>
            <w:vAlign w:val="center"/>
          </w:tcPr>
          <w:p w14:paraId="13A4E8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p>
        </w:tc>
      </w:tr>
    </w:tbl>
    <w:p w14:paraId="5648D454">
      <w:pPr>
        <w:bidi w:val="0"/>
        <w:rPr>
          <w:rFonts w:hint="eastAsia"/>
          <w:b/>
          <w:bCs/>
          <w:sz w:val="24"/>
          <w:szCs w:val="24"/>
          <w:lang w:val="en-US" w:eastAsia="zh-CN"/>
        </w:rPr>
      </w:pPr>
      <w:r>
        <w:rPr>
          <w:rFonts w:hint="eastAsia"/>
          <w:b/>
          <w:bCs/>
          <w:sz w:val="24"/>
          <w:szCs w:val="24"/>
          <w:lang w:val="en-US" w:eastAsia="zh-CN"/>
        </w:rPr>
        <w:t>（4）原选矿生产工艺及污染源</w:t>
      </w:r>
    </w:p>
    <w:p w14:paraId="6346C02E">
      <w:pPr>
        <w:bidi w:val="0"/>
        <w:rPr>
          <w:rFonts w:hint="eastAsia"/>
          <w:sz w:val="24"/>
          <w:szCs w:val="24"/>
          <w:lang w:val="en-US" w:eastAsia="zh-CN"/>
        </w:rPr>
      </w:pPr>
      <w:r>
        <w:rPr>
          <w:rFonts w:hint="eastAsia"/>
          <w:sz w:val="24"/>
          <w:szCs w:val="24"/>
          <w:lang w:val="en-US" w:eastAsia="zh-CN"/>
        </w:rPr>
        <w:t>①原选矿生产工艺</w:t>
      </w:r>
    </w:p>
    <w:p w14:paraId="4D1C4084">
      <w:pPr>
        <w:bidi w:val="0"/>
        <w:rPr>
          <w:rFonts w:hint="eastAsia"/>
          <w:sz w:val="24"/>
          <w:szCs w:val="24"/>
          <w:lang w:val="en-US" w:eastAsia="zh-CN"/>
        </w:rPr>
      </w:pPr>
      <w:r>
        <w:rPr>
          <w:rFonts w:hint="eastAsia"/>
          <w:sz w:val="24"/>
          <w:szCs w:val="24"/>
          <w:lang w:val="en-US" w:eastAsia="zh-CN"/>
        </w:rPr>
        <w:t>由于当时选冶技术水平落后，村民私自选矿更多的是采用氰化淘金和土法焙烧工艺。</w:t>
      </w:r>
    </w:p>
    <w:p w14:paraId="307AA944">
      <w:pPr>
        <w:bidi w:val="0"/>
        <w:ind w:left="0" w:leftChars="0" w:firstLine="0" w:firstLineChars="0"/>
        <w:jc w:val="center"/>
        <w:rPr>
          <w:rFonts w:hint="eastAsia"/>
          <w:sz w:val="21"/>
          <w:szCs w:val="21"/>
          <w:lang w:val="en-US" w:eastAsia="zh-CN"/>
        </w:rPr>
      </w:pPr>
      <w:r>
        <w:rPr>
          <w:rFonts w:hint="eastAsia"/>
          <w:sz w:val="21"/>
          <w:szCs w:val="21"/>
          <w:lang w:val="en-US" w:eastAsia="zh-CN"/>
        </w:rPr>
        <w:object>
          <v:shape id="_x0000_i1027" o:spt="75" type="#_x0000_t75" style="height:143.9pt;width:450.7pt;" o:ole="t" filled="f" o:preferrelative="t" stroked="f" coordsize="21600,21600">
            <v:path/>
            <v:fill on="f" focussize="0,0"/>
            <v:stroke on="f"/>
            <v:imagedata r:id="rId53" o:title=""/>
            <o:lock v:ext="edit" aspectratio="f"/>
            <w10:wrap type="none"/>
            <w10:anchorlock/>
          </v:shape>
          <o:OLEObject Type="Embed" ProgID="Visio.Drawing.11" ShapeID="_x0000_i1027" DrawAspect="Content" ObjectID="_1468075727" r:id="rId52">
            <o:LockedField>false</o:LockedField>
          </o:OLEObject>
        </w:object>
      </w:r>
    </w:p>
    <w:p w14:paraId="572CA67C">
      <w:pPr>
        <w:bidi w:val="0"/>
        <w:ind w:left="0" w:leftChars="0" w:firstLine="0" w:firstLineChars="0"/>
        <w:jc w:val="center"/>
        <w:rPr>
          <w:rFonts w:hint="default"/>
          <w:b/>
          <w:bCs/>
          <w:sz w:val="21"/>
          <w:szCs w:val="21"/>
          <w:lang w:val="en-US" w:eastAsia="zh-CN"/>
        </w:rPr>
      </w:pPr>
      <w:r>
        <w:rPr>
          <w:rFonts w:hint="eastAsia"/>
          <w:b/>
          <w:bCs/>
          <w:sz w:val="21"/>
          <w:szCs w:val="21"/>
          <w:lang w:val="en-US" w:eastAsia="zh-CN"/>
        </w:rPr>
        <w:t>图3.1-3  原选矿生产工艺及污染源</w:t>
      </w:r>
    </w:p>
    <w:p w14:paraId="29AB65AB">
      <w:pPr>
        <w:bidi w:val="0"/>
        <w:rPr>
          <w:rFonts w:hint="eastAsia"/>
          <w:sz w:val="24"/>
          <w:szCs w:val="24"/>
          <w:lang w:val="en-US" w:eastAsia="zh-CN"/>
        </w:rPr>
      </w:pPr>
      <w:r>
        <w:rPr>
          <w:rFonts w:hint="eastAsia"/>
          <w:sz w:val="24"/>
          <w:szCs w:val="24"/>
          <w:lang w:val="en-US" w:eastAsia="zh-CN"/>
        </w:rPr>
        <w:t>②原选矿生产工艺污染源</w:t>
      </w:r>
    </w:p>
    <w:p w14:paraId="6C695064">
      <w:pPr>
        <w:bidi w:val="0"/>
        <w:rPr>
          <w:rFonts w:hint="eastAsia"/>
          <w:sz w:val="24"/>
          <w:szCs w:val="24"/>
          <w:lang w:val="en-US" w:eastAsia="zh-CN"/>
        </w:rPr>
      </w:pPr>
      <w:r>
        <w:rPr>
          <w:rFonts w:hint="eastAsia"/>
          <w:sz w:val="24"/>
          <w:szCs w:val="24"/>
          <w:lang w:val="en-US" w:eastAsia="zh-CN"/>
        </w:rPr>
        <w:t>早期选矿生产工艺产污节点分析见表3.1-3。</w:t>
      </w:r>
    </w:p>
    <w:p w14:paraId="33F10379">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表3.1-3  原选矿生产工艺污染源、污染物及排放情况</w:t>
      </w:r>
    </w:p>
    <w:tbl>
      <w:tblPr>
        <w:tblStyle w:val="4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697"/>
        <w:gridCol w:w="1599"/>
        <w:gridCol w:w="3724"/>
        <w:gridCol w:w="1545"/>
      </w:tblGrid>
      <w:tr w14:paraId="1985EF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8" w:type="pct"/>
            <w:noWrap w:val="0"/>
            <w:vAlign w:val="center"/>
          </w:tcPr>
          <w:p w14:paraId="25FB01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类别</w:t>
            </w:r>
          </w:p>
        </w:tc>
        <w:tc>
          <w:tcPr>
            <w:tcW w:w="919" w:type="pct"/>
            <w:noWrap w:val="0"/>
            <w:vAlign w:val="center"/>
          </w:tcPr>
          <w:p w14:paraId="227719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名称</w:t>
            </w:r>
          </w:p>
        </w:tc>
        <w:tc>
          <w:tcPr>
            <w:tcW w:w="866" w:type="pct"/>
            <w:noWrap w:val="0"/>
            <w:vAlign w:val="center"/>
          </w:tcPr>
          <w:p w14:paraId="15B7ED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vertAlign w:val="baseline"/>
                <w:lang w:val="en-US" w:eastAsia="zh-CN" w:bidi="ar-SA"/>
              </w:rPr>
            </w:pPr>
            <w:r>
              <w:rPr>
                <w:rFonts w:hint="eastAsia"/>
                <w:b/>
                <w:bCs/>
                <w:sz w:val="21"/>
                <w:szCs w:val="21"/>
                <w:highlight w:val="none"/>
                <w:vertAlign w:val="baseline"/>
                <w:lang w:val="en-US" w:eastAsia="zh-CN"/>
              </w:rPr>
              <w:t>产污环节</w:t>
            </w:r>
          </w:p>
        </w:tc>
        <w:tc>
          <w:tcPr>
            <w:tcW w:w="2017" w:type="pct"/>
            <w:noWrap w:val="0"/>
            <w:vAlign w:val="center"/>
          </w:tcPr>
          <w:p w14:paraId="20D9E2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主要污染因子</w:t>
            </w:r>
          </w:p>
        </w:tc>
        <w:tc>
          <w:tcPr>
            <w:tcW w:w="837" w:type="pct"/>
            <w:noWrap w:val="0"/>
            <w:vAlign w:val="center"/>
          </w:tcPr>
          <w:p w14:paraId="170034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排放去向</w:t>
            </w:r>
          </w:p>
        </w:tc>
      </w:tr>
      <w:tr w14:paraId="2E0C95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8" w:type="pct"/>
            <w:noWrap w:val="0"/>
            <w:vAlign w:val="center"/>
          </w:tcPr>
          <w:p w14:paraId="4A36A9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废气</w:t>
            </w:r>
          </w:p>
        </w:tc>
        <w:tc>
          <w:tcPr>
            <w:tcW w:w="919" w:type="pct"/>
            <w:noWrap w:val="0"/>
            <w:vAlign w:val="center"/>
          </w:tcPr>
          <w:p w14:paraId="46933B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堆浸、焙烧废气</w:t>
            </w:r>
          </w:p>
        </w:tc>
        <w:tc>
          <w:tcPr>
            <w:tcW w:w="866" w:type="pct"/>
            <w:noWrap w:val="0"/>
            <w:vAlign w:val="center"/>
          </w:tcPr>
          <w:p w14:paraId="0EDB6D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堆浸、焙烧工序</w:t>
            </w:r>
          </w:p>
        </w:tc>
        <w:tc>
          <w:tcPr>
            <w:tcW w:w="2017" w:type="pct"/>
            <w:noWrap w:val="0"/>
            <w:vAlign w:val="center"/>
          </w:tcPr>
          <w:p w14:paraId="227E55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pH、砷、铅、汞、镉、氰化物等</w:t>
            </w:r>
          </w:p>
        </w:tc>
        <w:tc>
          <w:tcPr>
            <w:tcW w:w="837" w:type="pct"/>
            <w:noWrap w:val="0"/>
            <w:vAlign w:val="center"/>
          </w:tcPr>
          <w:p w14:paraId="1EFA87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周边地表水系</w:t>
            </w:r>
          </w:p>
        </w:tc>
      </w:tr>
      <w:tr w14:paraId="5EC05A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8" w:type="pct"/>
            <w:noWrap w:val="0"/>
            <w:vAlign w:val="center"/>
          </w:tcPr>
          <w:p w14:paraId="255977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废水</w:t>
            </w:r>
          </w:p>
        </w:tc>
        <w:tc>
          <w:tcPr>
            <w:tcW w:w="919" w:type="pct"/>
            <w:noWrap w:val="0"/>
            <w:vAlign w:val="center"/>
          </w:tcPr>
          <w:p w14:paraId="1656C2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氰化钠废液</w:t>
            </w:r>
          </w:p>
        </w:tc>
        <w:tc>
          <w:tcPr>
            <w:tcW w:w="866" w:type="pct"/>
            <w:noWrap w:val="0"/>
            <w:vAlign w:val="center"/>
          </w:tcPr>
          <w:p w14:paraId="5C1553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堆浸工序</w:t>
            </w:r>
          </w:p>
        </w:tc>
        <w:tc>
          <w:tcPr>
            <w:tcW w:w="2017" w:type="pct"/>
            <w:noWrap w:val="0"/>
            <w:vAlign w:val="center"/>
          </w:tcPr>
          <w:p w14:paraId="1C51BC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颗粒物、二氧化硫、氮氧化物、砷、铬、铅、汞、镉、氰化物</w:t>
            </w:r>
          </w:p>
        </w:tc>
        <w:tc>
          <w:tcPr>
            <w:tcW w:w="837" w:type="pct"/>
            <w:noWrap w:val="0"/>
            <w:vAlign w:val="center"/>
          </w:tcPr>
          <w:p w14:paraId="10C26F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大气</w:t>
            </w:r>
          </w:p>
        </w:tc>
      </w:tr>
      <w:tr w14:paraId="025016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58" w:type="pct"/>
            <w:noWrap w:val="0"/>
            <w:vAlign w:val="center"/>
          </w:tcPr>
          <w:p w14:paraId="2398E6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废渣</w:t>
            </w:r>
          </w:p>
        </w:tc>
        <w:tc>
          <w:tcPr>
            <w:tcW w:w="919" w:type="pct"/>
            <w:noWrap w:val="0"/>
            <w:vAlign w:val="center"/>
          </w:tcPr>
          <w:p w14:paraId="7BFF01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尾矿</w:t>
            </w:r>
          </w:p>
        </w:tc>
        <w:tc>
          <w:tcPr>
            <w:tcW w:w="866" w:type="pct"/>
            <w:noWrap w:val="0"/>
            <w:vAlign w:val="center"/>
          </w:tcPr>
          <w:p w14:paraId="08C122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堆浸、焙烧工序</w:t>
            </w:r>
          </w:p>
        </w:tc>
        <w:tc>
          <w:tcPr>
            <w:tcW w:w="2017" w:type="pct"/>
            <w:noWrap w:val="0"/>
            <w:vAlign w:val="center"/>
          </w:tcPr>
          <w:p w14:paraId="77C84B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砷、铬、铅、汞、镉、氰化物等</w:t>
            </w:r>
          </w:p>
        </w:tc>
        <w:tc>
          <w:tcPr>
            <w:tcW w:w="837" w:type="pct"/>
            <w:noWrap w:val="0"/>
            <w:vAlign w:val="center"/>
          </w:tcPr>
          <w:p w14:paraId="26B212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就地无序堆存</w:t>
            </w:r>
          </w:p>
        </w:tc>
      </w:tr>
    </w:tbl>
    <w:p w14:paraId="4B30B859">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3.1.1.2遗留废渣属性判定和区域污染现状调查</w:t>
      </w:r>
    </w:p>
    <w:p w14:paraId="652AF482">
      <w:pPr>
        <w:rPr>
          <w:rFonts w:hint="default"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（1）</w:t>
      </w:r>
      <w:r>
        <w:rPr>
          <w:rFonts w:hint="default" w:ascii="Times New Roman" w:hAnsi="Times New Roman" w:cs="Times New Roman"/>
          <w:b/>
          <w:bCs/>
          <w:sz w:val="24"/>
          <w:szCs w:val="24"/>
          <w:highlight w:val="none"/>
          <w:lang w:val="en-US" w:eastAsia="zh-CN"/>
        </w:rPr>
        <w:t>遗留废渣属性判定</w:t>
      </w:r>
    </w:p>
    <w:p w14:paraId="5D0DDE80">
      <w:pPr>
        <w:ind w:firstLine="480"/>
        <w:rPr>
          <w:rFonts w:hint="default" w:ascii="Times New Roman" w:hAnsi="Times New Roman" w:cs="Times New Roman"/>
          <w:sz w:val="24"/>
          <w:szCs w:val="24"/>
        </w:rPr>
      </w:pPr>
      <w:r>
        <w:rPr>
          <w:rFonts w:hint="default" w:ascii="Times New Roman" w:hAnsi="Times New Roman" w:cs="Times New Roman"/>
          <w:sz w:val="24"/>
          <w:szCs w:val="24"/>
        </w:rPr>
        <w:t>平江县三阳乡人民政府于2022年</w:t>
      </w:r>
      <w:r>
        <w:rPr>
          <w:rFonts w:hint="default" w:ascii="Times New Roman" w:hAnsi="Times New Roman" w:cs="Times New Roman"/>
          <w:sz w:val="24"/>
          <w:szCs w:val="24"/>
          <w:lang w:val="en-US" w:eastAsia="zh-CN"/>
        </w:rPr>
        <w:t>8</w:t>
      </w:r>
      <w:r>
        <w:rPr>
          <w:rFonts w:hint="default" w:ascii="Times New Roman" w:hAnsi="Times New Roman" w:cs="Times New Roman"/>
          <w:sz w:val="24"/>
          <w:szCs w:val="24"/>
        </w:rPr>
        <w:t>月委托湖南安博检测有限公司编制了《平江县三阳乡万古村万古水库周边历史遗留重金属废渣污染状况调查报告》（以下简称</w:t>
      </w:r>
      <w:r>
        <w:rPr>
          <w:rFonts w:hint="default" w:ascii="Times New Roman" w:hAnsi="Times New Roman" w:cs="Times New Roman"/>
          <w:sz w:val="24"/>
          <w:szCs w:val="24"/>
          <w:lang w:eastAsia="zh-CN"/>
        </w:rPr>
        <w:t>“</w:t>
      </w:r>
      <w:r>
        <w:rPr>
          <w:rFonts w:hint="default" w:ascii="Times New Roman" w:hAnsi="Times New Roman" w:cs="Times New Roman"/>
          <w:sz w:val="24"/>
          <w:szCs w:val="24"/>
        </w:rPr>
        <w:t>污染状况调查报告</w:t>
      </w:r>
      <w:r>
        <w:rPr>
          <w:rFonts w:hint="default" w:ascii="Times New Roman" w:hAnsi="Times New Roman" w:cs="Times New Roman"/>
          <w:sz w:val="24"/>
          <w:szCs w:val="24"/>
          <w:lang w:eastAsia="zh-CN"/>
        </w:rPr>
        <w:t>”</w:t>
      </w:r>
      <w:r>
        <w:rPr>
          <w:rFonts w:hint="default" w:ascii="Times New Roman" w:hAnsi="Times New Roman" w:cs="Times New Roman"/>
          <w:sz w:val="24"/>
          <w:szCs w:val="24"/>
        </w:rPr>
        <w:t>）并通过专家评审会。</w:t>
      </w:r>
    </w:p>
    <w:p w14:paraId="5C7AB015">
      <w:pPr>
        <w:ind w:firstLine="480"/>
        <w:rPr>
          <w:rFonts w:hint="default" w:ascii="Times New Roman" w:hAnsi="Times New Roman" w:cs="Times New Roman"/>
          <w:sz w:val="24"/>
          <w:szCs w:val="24"/>
        </w:rPr>
      </w:pPr>
      <w:r>
        <w:rPr>
          <w:rFonts w:hint="default" w:ascii="Times New Roman" w:hAnsi="Times New Roman" w:cs="Times New Roman"/>
          <w:sz w:val="24"/>
          <w:szCs w:val="24"/>
        </w:rPr>
        <w:t>根据污染状况调查报告，为判定遗留废渣的固废属性，污染状况调查报告将</w:t>
      </w:r>
      <w:r>
        <w:rPr>
          <w:rFonts w:hint="default" w:ascii="Times New Roman" w:hAnsi="Times New Roman" w:cs="Times New Roman"/>
          <w:sz w:val="24"/>
          <w:szCs w:val="24"/>
          <w:lang w:eastAsia="zh-CN"/>
        </w:rPr>
        <w:t>万古村1#废渣堆</w:t>
      </w:r>
      <w:r>
        <w:rPr>
          <w:rFonts w:hint="default" w:ascii="Times New Roman" w:hAnsi="Times New Roman" w:cs="Times New Roman"/>
          <w:sz w:val="24"/>
          <w:szCs w:val="24"/>
        </w:rPr>
        <w:t>划分为</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个分区，将</w:t>
      </w:r>
      <w:r>
        <w:rPr>
          <w:rFonts w:hint="default" w:ascii="Times New Roman" w:hAnsi="Times New Roman" w:cs="Times New Roman"/>
          <w:sz w:val="24"/>
          <w:szCs w:val="24"/>
          <w:lang w:eastAsia="zh-CN"/>
        </w:rPr>
        <w:t>万古村2#废渣堆</w:t>
      </w:r>
      <w:r>
        <w:rPr>
          <w:rFonts w:hint="default" w:ascii="Times New Roman" w:hAnsi="Times New Roman" w:cs="Times New Roman"/>
          <w:sz w:val="24"/>
          <w:szCs w:val="24"/>
        </w:rPr>
        <w:t>划分为</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rPr>
        <w:t>个分区（具体分区情况见表3.1-4）</w:t>
      </w:r>
      <w:r>
        <w:rPr>
          <w:rFonts w:hint="default" w:ascii="Times New Roman" w:hAnsi="Times New Roman" w:cs="Times New Roman"/>
          <w:sz w:val="24"/>
          <w:szCs w:val="24"/>
          <w:lang w:eastAsia="zh-CN"/>
        </w:rPr>
        <w:t>，</w:t>
      </w:r>
      <w:r>
        <w:rPr>
          <w:rFonts w:hint="default" w:ascii="Times New Roman" w:hAnsi="Times New Roman" w:cs="Times New Roman"/>
          <w:sz w:val="24"/>
          <w:szCs w:val="24"/>
        </w:rPr>
        <w:t>将</w:t>
      </w:r>
      <w:r>
        <w:rPr>
          <w:rFonts w:hint="default" w:ascii="Times New Roman" w:hAnsi="Times New Roman" w:cs="Times New Roman"/>
          <w:sz w:val="24"/>
          <w:szCs w:val="24"/>
          <w:lang w:eastAsia="zh-CN"/>
        </w:rPr>
        <w:t>万古</w:t>
      </w:r>
      <w:r>
        <w:rPr>
          <w:rFonts w:hint="default" w:ascii="Times New Roman" w:hAnsi="Times New Roman" w:cs="Times New Roman"/>
          <w:sz w:val="24"/>
          <w:szCs w:val="24"/>
          <w:lang w:val="en-US" w:eastAsia="zh-CN"/>
        </w:rPr>
        <w:t>水库3A号点</w:t>
      </w:r>
      <w:r>
        <w:rPr>
          <w:rFonts w:hint="default" w:ascii="Times New Roman" w:hAnsi="Times New Roman" w:cs="Times New Roman"/>
          <w:sz w:val="24"/>
          <w:szCs w:val="24"/>
          <w:lang w:eastAsia="zh-CN"/>
        </w:rPr>
        <w:t>废渣堆</w:t>
      </w:r>
      <w:r>
        <w:rPr>
          <w:rFonts w:hint="default" w:ascii="Times New Roman" w:hAnsi="Times New Roman" w:cs="Times New Roman"/>
          <w:sz w:val="24"/>
          <w:szCs w:val="24"/>
        </w:rPr>
        <w:t>划分为</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rPr>
        <w:t>个分区（具体分区情况见表3.1-4）</w:t>
      </w:r>
      <w:r>
        <w:rPr>
          <w:rFonts w:hint="default" w:ascii="Times New Roman" w:hAnsi="Times New Roman" w:cs="Times New Roman"/>
          <w:sz w:val="24"/>
          <w:szCs w:val="24"/>
          <w:lang w:eastAsia="zh-CN"/>
        </w:rPr>
        <w:t>，</w:t>
      </w:r>
      <w:r>
        <w:rPr>
          <w:rFonts w:hint="default" w:ascii="Times New Roman" w:hAnsi="Times New Roman" w:cs="Times New Roman"/>
          <w:sz w:val="24"/>
          <w:szCs w:val="24"/>
        </w:rPr>
        <w:t>将</w:t>
      </w:r>
      <w:r>
        <w:rPr>
          <w:rFonts w:hint="default" w:ascii="Times New Roman" w:hAnsi="Times New Roman" w:cs="Times New Roman"/>
          <w:sz w:val="24"/>
          <w:szCs w:val="24"/>
          <w:lang w:eastAsia="zh-CN"/>
        </w:rPr>
        <w:t>万古</w:t>
      </w:r>
      <w:r>
        <w:rPr>
          <w:rFonts w:hint="default" w:ascii="Times New Roman" w:hAnsi="Times New Roman" w:cs="Times New Roman"/>
          <w:sz w:val="24"/>
          <w:szCs w:val="24"/>
          <w:lang w:val="en-US" w:eastAsia="zh-CN"/>
        </w:rPr>
        <w:t>水库3B号点</w:t>
      </w:r>
      <w:r>
        <w:rPr>
          <w:rFonts w:hint="default" w:ascii="Times New Roman" w:hAnsi="Times New Roman" w:cs="Times New Roman"/>
          <w:sz w:val="24"/>
          <w:szCs w:val="24"/>
          <w:lang w:eastAsia="zh-CN"/>
        </w:rPr>
        <w:t>废渣堆</w:t>
      </w:r>
      <w:r>
        <w:rPr>
          <w:rFonts w:hint="default" w:ascii="Times New Roman" w:hAnsi="Times New Roman" w:cs="Times New Roman"/>
          <w:sz w:val="24"/>
          <w:szCs w:val="24"/>
        </w:rPr>
        <w:t>划分为</w:t>
      </w:r>
      <w:r>
        <w:rPr>
          <w:rFonts w:hint="default" w:ascii="Times New Roman" w:hAnsi="Times New Roman" w:cs="Times New Roman"/>
          <w:sz w:val="24"/>
          <w:szCs w:val="24"/>
          <w:lang w:val="en-US" w:eastAsia="zh-CN"/>
        </w:rPr>
        <w:t>3</w:t>
      </w:r>
      <w:r>
        <w:rPr>
          <w:rFonts w:hint="default" w:ascii="Times New Roman" w:hAnsi="Times New Roman" w:cs="Times New Roman"/>
          <w:sz w:val="24"/>
          <w:szCs w:val="24"/>
        </w:rPr>
        <w:t>个分区（具体分区情况见表3.1-4），并在各渣堆分区内设置了17个固体废物采样点位，开展遗留废渣的腐蚀性鉴别和进出毒性鉴别。</w:t>
      </w:r>
    </w:p>
    <w:p w14:paraId="6FA314E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rPr>
        <w:t>2022年6月2</w:t>
      </w:r>
      <w:r>
        <w:rPr>
          <w:rFonts w:hint="default" w:ascii="Times New Roman" w:hAnsi="Times New Roman" w:cs="Times New Roman"/>
          <w:sz w:val="24"/>
          <w:szCs w:val="24"/>
          <w:lang w:val="en-US" w:eastAsia="zh-CN"/>
        </w:rPr>
        <w:t>8</w:t>
      </w:r>
      <w:r>
        <w:rPr>
          <w:rFonts w:hint="default" w:ascii="Times New Roman" w:hAnsi="Times New Roman" w:cs="Times New Roman"/>
          <w:sz w:val="24"/>
          <w:szCs w:val="24"/>
        </w:rPr>
        <w:t>日</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rPr>
        <w:t>日，湖南安博检测有限公司对遗留废渣进行了采样检测，根据遗留废渣的污染物特征，按照《危险废物鉴别标准  浸出毒性鉴别》（GB5085.3-2007）的要求，开展危险废物鉴别，按照《一般工业固体废物贮存、处置场污染控制标准》（GB18599-2020）中的要求开展一般固废属性判定</w:t>
      </w:r>
      <w:r>
        <w:rPr>
          <w:rFonts w:hint="default" w:ascii="Times New Roman" w:hAnsi="Times New Roman" w:cs="Times New Roman"/>
          <w:sz w:val="24"/>
          <w:szCs w:val="24"/>
          <w:highlight w:val="none"/>
          <w:lang w:val="en-US" w:eastAsia="zh-CN"/>
        </w:rPr>
        <w:t>。</w:t>
      </w:r>
    </w:p>
    <w:p w14:paraId="6FF585FE">
      <w:pPr>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表3.1-4  废渣堆分区设置和各分区矿渣方量统计表</w:t>
      </w:r>
    </w:p>
    <w:tbl>
      <w:tblPr>
        <w:tblStyle w:val="111"/>
        <w:tblW w:w="509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49"/>
        <w:gridCol w:w="727"/>
        <w:gridCol w:w="1088"/>
        <w:gridCol w:w="1544"/>
        <w:gridCol w:w="1560"/>
        <w:gridCol w:w="1784"/>
        <w:gridCol w:w="1564"/>
      </w:tblGrid>
      <w:tr w14:paraId="39097F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909" w:type="pct"/>
            <w:gridSpan w:val="2"/>
            <w:tcBorders>
              <w:tl2br w:val="nil"/>
              <w:tr2bl w:val="nil"/>
            </w:tcBorders>
            <w:noWrap w:val="0"/>
            <w:vAlign w:val="center"/>
          </w:tcPr>
          <w:p w14:paraId="52D8FA4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废渣堆</w:t>
            </w:r>
          </w:p>
        </w:tc>
        <w:tc>
          <w:tcPr>
            <w:tcW w:w="590" w:type="pct"/>
            <w:tcBorders>
              <w:tl2br w:val="nil"/>
              <w:tr2bl w:val="nil"/>
            </w:tcBorders>
            <w:noWrap w:val="0"/>
            <w:vAlign w:val="center"/>
          </w:tcPr>
          <w:p w14:paraId="0F20C5F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渣堆分区</w:t>
            </w:r>
          </w:p>
        </w:tc>
        <w:tc>
          <w:tcPr>
            <w:tcW w:w="837" w:type="pct"/>
            <w:tcBorders>
              <w:tl2br w:val="nil"/>
              <w:tr2bl w:val="nil"/>
            </w:tcBorders>
            <w:noWrap w:val="0"/>
            <w:vAlign w:val="center"/>
          </w:tcPr>
          <w:p w14:paraId="3AB72E8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b/>
                <w:bCs/>
                <w:snapToGrid w:val="0"/>
                <w:color w:val="auto"/>
                <w:spacing w:val="0"/>
                <w:kern w:val="0"/>
                <w:sz w:val="21"/>
                <w:szCs w:val="21"/>
                <w:lang w:val="en-US" w:eastAsia="en-US" w:bidi="ar-SA"/>
              </w:rPr>
              <w:t>矿渣面积</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vertAlign w:val="superscript"/>
                <w:lang w:val="en-US" w:eastAsia="zh-CN" w:bidi="ar-SA"/>
              </w:rPr>
              <w:t>2</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846" w:type="pct"/>
            <w:tcBorders>
              <w:tl2br w:val="nil"/>
              <w:tr2bl w:val="nil"/>
            </w:tcBorders>
            <w:noWrap w:val="0"/>
            <w:vAlign w:val="center"/>
          </w:tcPr>
          <w:p w14:paraId="448AA9C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b/>
                <w:bCs/>
                <w:snapToGrid w:val="0"/>
                <w:color w:val="auto"/>
                <w:spacing w:val="0"/>
                <w:kern w:val="0"/>
                <w:sz w:val="21"/>
                <w:szCs w:val="21"/>
                <w:lang w:val="en-US" w:eastAsia="en-US" w:bidi="ar-SA"/>
              </w:rPr>
              <w:t>矿渣厚度</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967" w:type="pct"/>
            <w:tcBorders>
              <w:tl2br w:val="nil"/>
              <w:tr2bl w:val="nil"/>
            </w:tcBorders>
            <w:noWrap w:val="0"/>
            <w:vAlign w:val="center"/>
          </w:tcPr>
          <w:p w14:paraId="320CAFE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矿渣方量</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vertAlign w:val="superscript"/>
                <w:lang w:val="en-US" w:eastAsia="zh-CN" w:bidi="ar-SA"/>
              </w:rPr>
              <w:t>3</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848" w:type="pct"/>
            <w:tcBorders>
              <w:tl2br w:val="nil"/>
              <w:tr2bl w:val="nil"/>
            </w:tcBorders>
            <w:noWrap w:val="0"/>
            <w:vAlign w:val="center"/>
          </w:tcPr>
          <w:p w14:paraId="7116B37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废渣性质</w:t>
            </w:r>
          </w:p>
        </w:tc>
      </w:tr>
      <w:tr w14:paraId="546120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restart"/>
            <w:tcBorders>
              <w:tl2br w:val="nil"/>
              <w:tr2bl w:val="nil"/>
            </w:tcBorders>
            <w:noWrap w:val="0"/>
            <w:vAlign w:val="center"/>
          </w:tcPr>
          <w:p w14:paraId="6F2FF1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r>
              <w:rPr>
                <w:rFonts w:hint="default" w:ascii="Times New Roman" w:hAnsi="Times New Roman" w:cs="Times New Roman"/>
                <w:snapToGrid w:val="0"/>
                <w:color w:val="auto"/>
                <w:spacing w:val="0"/>
                <w:kern w:val="0"/>
                <w:sz w:val="21"/>
                <w:szCs w:val="21"/>
                <w:lang w:val="en-US" w:eastAsia="zh-CN" w:bidi="ar-SA"/>
              </w:rPr>
              <w:t>万古村1</w:t>
            </w:r>
            <w:r>
              <w:rPr>
                <w:rFonts w:hint="default" w:ascii="Times New Roman" w:hAnsi="Times New Roman" w:eastAsia="宋体" w:cs="Times New Roman"/>
                <w:snapToGrid w:val="0"/>
                <w:color w:val="auto"/>
                <w:spacing w:val="0"/>
                <w:kern w:val="0"/>
                <w:sz w:val="21"/>
                <w:szCs w:val="21"/>
                <w:lang w:val="en-US" w:eastAsia="en-US" w:bidi="ar-SA"/>
              </w:rPr>
              <w:t>号废渣点</w:t>
            </w:r>
          </w:p>
        </w:tc>
        <w:tc>
          <w:tcPr>
            <w:tcW w:w="590" w:type="pct"/>
            <w:tcBorders>
              <w:tl2br w:val="nil"/>
              <w:tr2bl w:val="nil"/>
            </w:tcBorders>
            <w:noWrap w:val="0"/>
            <w:vAlign w:val="center"/>
          </w:tcPr>
          <w:p w14:paraId="3C92DD88">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I区</w:t>
            </w:r>
          </w:p>
        </w:tc>
        <w:tc>
          <w:tcPr>
            <w:tcW w:w="837" w:type="pct"/>
            <w:tcBorders>
              <w:tl2br w:val="nil"/>
              <w:tr2bl w:val="nil"/>
            </w:tcBorders>
            <w:noWrap w:val="0"/>
            <w:vAlign w:val="center"/>
          </w:tcPr>
          <w:p w14:paraId="7D4D4FFF">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144.0</w:t>
            </w:r>
          </w:p>
        </w:tc>
        <w:tc>
          <w:tcPr>
            <w:tcW w:w="846" w:type="pct"/>
            <w:tcBorders>
              <w:tl2br w:val="nil"/>
              <w:tr2bl w:val="nil"/>
            </w:tcBorders>
            <w:noWrap w:val="0"/>
            <w:vAlign w:val="center"/>
          </w:tcPr>
          <w:p w14:paraId="09488B79">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5.10</w:t>
            </w:r>
          </w:p>
        </w:tc>
        <w:tc>
          <w:tcPr>
            <w:tcW w:w="967" w:type="pct"/>
            <w:tcBorders>
              <w:tl2br w:val="nil"/>
              <w:tr2bl w:val="nil"/>
            </w:tcBorders>
            <w:noWrap w:val="0"/>
            <w:vAlign w:val="center"/>
          </w:tcPr>
          <w:p w14:paraId="3AE7CB53">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734.4</w:t>
            </w:r>
          </w:p>
        </w:tc>
        <w:tc>
          <w:tcPr>
            <w:tcW w:w="848" w:type="pct"/>
            <w:tcBorders>
              <w:tl2br w:val="nil"/>
              <w:tr2bl w:val="nil"/>
            </w:tcBorders>
            <w:noWrap w:val="0"/>
            <w:vAlign w:val="center"/>
          </w:tcPr>
          <w:p w14:paraId="2F68DB10">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74F605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continue"/>
            <w:tcBorders>
              <w:tl2br w:val="nil"/>
              <w:tr2bl w:val="nil"/>
            </w:tcBorders>
            <w:noWrap w:val="0"/>
            <w:vAlign w:val="center"/>
          </w:tcPr>
          <w:p w14:paraId="61C149D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32A61CF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Ⅱ区</w:t>
            </w:r>
          </w:p>
        </w:tc>
        <w:tc>
          <w:tcPr>
            <w:tcW w:w="837" w:type="pct"/>
            <w:tcBorders>
              <w:tl2br w:val="nil"/>
              <w:tr2bl w:val="nil"/>
            </w:tcBorders>
            <w:noWrap w:val="0"/>
            <w:vAlign w:val="center"/>
          </w:tcPr>
          <w:p w14:paraId="4C9EFEB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604.0</w:t>
            </w:r>
          </w:p>
        </w:tc>
        <w:tc>
          <w:tcPr>
            <w:tcW w:w="846" w:type="pct"/>
            <w:tcBorders>
              <w:tl2br w:val="nil"/>
              <w:tr2bl w:val="nil"/>
            </w:tcBorders>
            <w:noWrap w:val="0"/>
            <w:vAlign w:val="center"/>
          </w:tcPr>
          <w:p w14:paraId="6FC1F06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5.30</w:t>
            </w:r>
          </w:p>
        </w:tc>
        <w:tc>
          <w:tcPr>
            <w:tcW w:w="967" w:type="pct"/>
            <w:tcBorders>
              <w:tl2br w:val="nil"/>
              <w:tr2bl w:val="nil"/>
            </w:tcBorders>
            <w:noWrap w:val="0"/>
            <w:vAlign w:val="center"/>
          </w:tcPr>
          <w:p w14:paraId="4E4654A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3201.2</w:t>
            </w:r>
          </w:p>
        </w:tc>
        <w:tc>
          <w:tcPr>
            <w:tcW w:w="848" w:type="pct"/>
            <w:tcBorders>
              <w:tl2br w:val="nil"/>
              <w:tr2bl w:val="nil"/>
            </w:tcBorders>
            <w:noWrap w:val="0"/>
            <w:vAlign w:val="center"/>
          </w:tcPr>
          <w:p w14:paraId="6701D43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3859F9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909" w:type="pct"/>
            <w:gridSpan w:val="2"/>
            <w:vMerge w:val="restart"/>
            <w:tcBorders>
              <w:tl2br w:val="nil"/>
              <w:tr2bl w:val="nil"/>
            </w:tcBorders>
            <w:noWrap w:val="0"/>
            <w:vAlign w:val="center"/>
          </w:tcPr>
          <w:p w14:paraId="5EE14DE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万古村2号废渣点</w:t>
            </w:r>
          </w:p>
        </w:tc>
        <w:tc>
          <w:tcPr>
            <w:tcW w:w="590" w:type="pct"/>
            <w:tcBorders>
              <w:tl2br w:val="nil"/>
              <w:tr2bl w:val="nil"/>
            </w:tcBorders>
            <w:noWrap w:val="0"/>
            <w:vAlign w:val="center"/>
          </w:tcPr>
          <w:p w14:paraId="7DB0A1B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Ⅰ区</w:t>
            </w:r>
          </w:p>
        </w:tc>
        <w:tc>
          <w:tcPr>
            <w:tcW w:w="837" w:type="pct"/>
            <w:tcBorders>
              <w:tl2br w:val="nil"/>
              <w:tr2bl w:val="nil"/>
            </w:tcBorders>
            <w:noWrap w:val="0"/>
            <w:vAlign w:val="center"/>
          </w:tcPr>
          <w:p w14:paraId="222B4F1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371.0</w:t>
            </w:r>
          </w:p>
        </w:tc>
        <w:tc>
          <w:tcPr>
            <w:tcW w:w="846" w:type="pct"/>
            <w:tcBorders>
              <w:tl2br w:val="nil"/>
              <w:tr2bl w:val="nil"/>
            </w:tcBorders>
            <w:noWrap w:val="0"/>
            <w:vAlign w:val="center"/>
          </w:tcPr>
          <w:p w14:paraId="44D5B07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3.5</w:t>
            </w:r>
          </w:p>
        </w:tc>
        <w:tc>
          <w:tcPr>
            <w:tcW w:w="967" w:type="pct"/>
            <w:tcBorders>
              <w:tl2br w:val="nil"/>
              <w:tr2bl w:val="nil"/>
            </w:tcBorders>
            <w:noWrap w:val="0"/>
            <w:vAlign w:val="center"/>
          </w:tcPr>
          <w:p w14:paraId="2F75471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1298.5</w:t>
            </w:r>
          </w:p>
        </w:tc>
        <w:tc>
          <w:tcPr>
            <w:tcW w:w="848" w:type="pct"/>
            <w:tcBorders>
              <w:tl2br w:val="nil"/>
              <w:tr2bl w:val="nil"/>
            </w:tcBorders>
            <w:noWrap w:val="0"/>
            <w:vAlign w:val="center"/>
          </w:tcPr>
          <w:p w14:paraId="7FB4550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5F759E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continue"/>
            <w:tcBorders>
              <w:tl2br w:val="nil"/>
              <w:tr2bl w:val="nil"/>
            </w:tcBorders>
            <w:noWrap w:val="0"/>
            <w:vAlign w:val="center"/>
          </w:tcPr>
          <w:p w14:paraId="493B48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3126715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Ⅱ区</w:t>
            </w:r>
          </w:p>
        </w:tc>
        <w:tc>
          <w:tcPr>
            <w:tcW w:w="837" w:type="pct"/>
            <w:tcBorders>
              <w:tl2br w:val="nil"/>
              <w:tr2bl w:val="nil"/>
            </w:tcBorders>
            <w:noWrap w:val="0"/>
            <w:vAlign w:val="center"/>
          </w:tcPr>
          <w:p w14:paraId="26A6349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253.0</w:t>
            </w:r>
          </w:p>
        </w:tc>
        <w:tc>
          <w:tcPr>
            <w:tcW w:w="846" w:type="pct"/>
            <w:tcBorders>
              <w:tl2br w:val="nil"/>
              <w:tr2bl w:val="nil"/>
            </w:tcBorders>
            <w:noWrap w:val="0"/>
            <w:vAlign w:val="center"/>
          </w:tcPr>
          <w:p w14:paraId="449A9CA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1.2</w:t>
            </w:r>
          </w:p>
        </w:tc>
        <w:tc>
          <w:tcPr>
            <w:tcW w:w="967" w:type="pct"/>
            <w:tcBorders>
              <w:tl2br w:val="nil"/>
              <w:tr2bl w:val="nil"/>
            </w:tcBorders>
            <w:noWrap w:val="0"/>
            <w:vAlign w:val="center"/>
          </w:tcPr>
          <w:p w14:paraId="0625FD0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303.6</w:t>
            </w:r>
          </w:p>
        </w:tc>
        <w:tc>
          <w:tcPr>
            <w:tcW w:w="848" w:type="pct"/>
            <w:tcBorders>
              <w:tl2br w:val="nil"/>
              <w:tr2bl w:val="nil"/>
            </w:tcBorders>
            <w:noWrap w:val="0"/>
            <w:vAlign w:val="center"/>
          </w:tcPr>
          <w:p w14:paraId="02F6415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0C9500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909" w:type="pct"/>
            <w:gridSpan w:val="2"/>
            <w:vMerge w:val="continue"/>
            <w:tcBorders>
              <w:tl2br w:val="nil"/>
              <w:tr2bl w:val="nil"/>
            </w:tcBorders>
            <w:noWrap w:val="0"/>
            <w:vAlign w:val="center"/>
          </w:tcPr>
          <w:p w14:paraId="6CD8F6C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46AA59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Ⅲ区</w:t>
            </w:r>
          </w:p>
        </w:tc>
        <w:tc>
          <w:tcPr>
            <w:tcW w:w="837" w:type="pct"/>
            <w:tcBorders>
              <w:tl2br w:val="nil"/>
              <w:tr2bl w:val="nil"/>
            </w:tcBorders>
            <w:noWrap w:val="0"/>
            <w:vAlign w:val="center"/>
          </w:tcPr>
          <w:p w14:paraId="5066ED7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3529.0</w:t>
            </w:r>
          </w:p>
        </w:tc>
        <w:tc>
          <w:tcPr>
            <w:tcW w:w="846" w:type="pct"/>
            <w:tcBorders>
              <w:tl2br w:val="nil"/>
              <w:tr2bl w:val="nil"/>
            </w:tcBorders>
            <w:noWrap w:val="0"/>
            <w:vAlign w:val="center"/>
          </w:tcPr>
          <w:p w14:paraId="744064A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6.0</w:t>
            </w:r>
          </w:p>
        </w:tc>
        <w:tc>
          <w:tcPr>
            <w:tcW w:w="967" w:type="pct"/>
            <w:tcBorders>
              <w:tl2br w:val="nil"/>
              <w:tr2bl w:val="nil"/>
            </w:tcBorders>
            <w:noWrap w:val="0"/>
            <w:vAlign w:val="center"/>
          </w:tcPr>
          <w:p w14:paraId="5DA5575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21174</w:t>
            </w:r>
          </w:p>
        </w:tc>
        <w:tc>
          <w:tcPr>
            <w:tcW w:w="848" w:type="pct"/>
            <w:tcBorders>
              <w:tl2br w:val="nil"/>
              <w:tr2bl w:val="nil"/>
            </w:tcBorders>
            <w:noWrap w:val="0"/>
            <w:vAlign w:val="center"/>
          </w:tcPr>
          <w:p w14:paraId="34FA88B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3519B3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909" w:type="pct"/>
            <w:gridSpan w:val="2"/>
            <w:vMerge w:val="continue"/>
            <w:tcBorders>
              <w:tl2br w:val="nil"/>
              <w:tr2bl w:val="nil"/>
            </w:tcBorders>
            <w:noWrap w:val="0"/>
            <w:vAlign w:val="center"/>
          </w:tcPr>
          <w:p w14:paraId="2031189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2E70F4F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zh-CN" w:bidi="ar-SA"/>
              </w:rPr>
              <w:t>Ⅳ</w:t>
            </w:r>
            <w:r>
              <w:rPr>
                <w:rFonts w:hint="default" w:ascii="Times New Roman" w:hAnsi="Times New Roman" w:eastAsia="宋体" w:cs="Times New Roman"/>
                <w:snapToGrid w:val="0"/>
                <w:color w:val="auto"/>
                <w:spacing w:val="0"/>
                <w:kern w:val="0"/>
                <w:sz w:val="21"/>
                <w:szCs w:val="21"/>
                <w:lang w:val="en-US" w:eastAsia="en-US" w:bidi="ar-SA"/>
              </w:rPr>
              <w:t>区</w:t>
            </w:r>
          </w:p>
        </w:tc>
        <w:tc>
          <w:tcPr>
            <w:tcW w:w="837" w:type="pct"/>
            <w:tcBorders>
              <w:tl2br w:val="nil"/>
              <w:tr2bl w:val="nil"/>
            </w:tcBorders>
            <w:noWrap w:val="0"/>
            <w:vAlign w:val="center"/>
          </w:tcPr>
          <w:p w14:paraId="236FEB6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599.0</w:t>
            </w:r>
          </w:p>
        </w:tc>
        <w:tc>
          <w:tcPr>
            <w:tcW w:w="846" w:type="pct"/>
            <w:tcBorders>
              <w:tl2br w:val="nil"/>
              <w:tr2bl w:val="nil"/>
            </w:tcBorders>
            <w:noWrap w:val="0"/>
            <w:vAlign w:val="center"/>
          </w:tcPr>
          <w:p w14:paraId="1E97D0F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3.2</w:t>
            </w:r>
          </w:p>
        </w:tc>
        <w:tc>
          <w:tcPr>
            <w:tcW w:w="967" w:type="pct"/>
            <w:tcBorders>
              <w:tl2br w:val="nil"/>
              <w:tr2bl w:val="nil"/>
            </w:tcBorders>
            <w:noWrap w:val="0"/>
            <w:vAlign w:val="center"/>
          </w:tcPr>
          <w:p w14:paraId="435C5D3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1916.8</w:t>
            </w:r>
          </w:p>
        </w:tc>
        <w:tc>
          <w:tcPr>
            <w:tcW w:w="848" w:type="pct"/>
            <w:tcBorders>
              <w:tl2br w:val="nil"/>
              <w:tr2bl w:val="nil"/>
            </w:tcBorders>
            <w:noWrap w:val="0"/>
            <w:vAlign w:val="center"/>
          </w:tcPr>
          <w:p w14:paraId="50AEDC5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26398B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continue"/>
            <w:tcBorders>
              <w:tl2br w:val="nil"/>
              <w:tr2bl w:val="nil"/>
            </w:tcBorders>
            <w:noWrap w:val="0"/>
            <w:vAlign w:val="center"/>
          </w:tcPr>
          <w:p w14:paraId="4BFB55B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511B222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V区</w:t>
            </w:r>
          </w:p>
        </w:tc>
        <w:tc>
          <w:tcPr>
            <w:tcW w:w="837" w:type="pct"/>
            <w:tcBorders>
              <w:tl2br w:val="nil"/>
              <w:tr2bl w:val="nil"/>
            </w:tcBorders>
            <w:noWrap w:val="0"/>
            <w:vAlign w:val="center"/>
          </w:tcPr>
          <w:p w14:paraId="5A56BF2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371.0</w:t>
            </w:r>
          </w:p>
        </w:tc>
        <w:tc>
          <w:tcPr>
            <w:tcW w:w="846" w:type="pct"/>
            <w:tcBorders>
              <w:tl2br w:val="nil"/>
              <w:tr2bl w:val="nil"/>
            </w:tcBorders>
            <w:noWrap w:val="0"/>
            <w:vAlign w:val="center"/>
          </w:tcPr>
          <w:p w14:paraId="27EA055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3.5</w:t>
            </w:r>
          </w:p>
        </w:tc>
        <w:tc>
          <w:tcPr>
            <w:tcW w:w="967" w:type="pct"/>
            <w:tcBorders>
              <w:tl2br w:val="nil"/>
              <w:tr2bl w:val="nil"/>
            </w:tcBorders>
            <w:noWrap w:val="0"/>
            <w:vAlign w:val="center"/>
          </w:tcPr>
          <w:p w14:paraId="322B7A8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1298.5</w:t>
            </w:r>
          </w:p>
        </w:tc>
        <w:tc>
          <w:tcPr>
            <w:tcW w:w="848" w:type="pct"/>
            <w:tcBorders>
              <w:tl2br w:val="nil"/>
              <w:tr2bl w:val="nil"/>
            </w:tcBorders>
            <w:noWrap w:val="0"/>
            <w:vAlign w:val="center"/>
          </w:tcPr>
          <w:p w14:paraId="6497DC0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74DE31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515" w:type="pct"/>
            <w:vMerge w:val="restart"/>
            <w:tcBorders>
              <w:tl2br w:val="nil"/>
              <w:tr2bl w:val="nil"/>
            </w:tcBorders>
            <w:noWrap w:val="0"/>
            <w:vAlign w:val="center"/>
          </w:tcPr>
          <w:p w14:paraId="666BB7A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万古水库废渣点</w:t>
            </w:r>
          </w:p>
        </w:tc>
        <w:tc>
          <w:tcPr>
            <w:tcW w:w="394" w:type="pct"/>
            <w:vMerge w:val="restart"/>
            <w:tcBorders>
              <w:tl2br w:val="nil"/>
              <w:tr2bl w:val="nil"/>
            </w:tcBorders>
            <w:noWrap w:val="0"/>
            <w:vAlign w:val="center"/>
          </w:tcPr>
          <w:p w14:paraId="24EB60D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3A号点</w:t>
            </w:r>
          </w:p>
        </w:tc>
        <w:tc>
          <w:tcPr>
            <w:tcW w:w="590" w:type="pct"/>
            <w:tcBorders>
              <w:tl2br w:val="nil"/>
              <w:tr2bl w:val="nil"/>
            </w:tcBorders>
            <w:noWrap w:val="0"/>
            <w:vAlign w:val="center"/>
          </w:tcPr>
          <w:p w14:paraId="5637B4D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3A-1区</w:t>
            </w:r>
          </w:p>
        </w:tc>
        <w:tc>
          <w:tcPr>
            <w:tcW w:w="837" w:type="pct"/>
            <w:tcBorders>
              <w:tl2br w:val="nil"/>
              <w:tr2bl w:val="nil"/>
            </w:tcBorders>
            <w:noWrap w:val="0"/>
            <w:vAlign w:val="center"/>
          </w:tcPr>
          <w:p w14:paraId="38262FF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2160.0</w:t>
            </w:r>
          </w:p>
        </w:tc>
        <w:tc>
          <w:tcPr>
            <w:tcW w:w="846" w:type="pct"/>
            <w:tcBorders>
              <w:tl2br w:val="nil"/>
              <w:tr2bl w:val="nil"/>
            </w:tcBorders>
            <w:noWrap w:val="0"/>
            <w:vAlign w:val="center"/>
          </w:tcPr>
          <w:p w14:paraId="6A64E5B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2.3</w:t>
            </w:r>
          </w:p>
        </w:tc>
        <w:tc>
          <w:tcPr>
            <w:tcW w:w="967" w:type="pct"/>
            <w:tcBorders>
              <w:tl2br w:val="nil"/>
              <w:tr2bl w:val="nil"/>
            </w:tcBorders>
            <w:noWrap w:val="0"/>
            <w:vAlign w:val="center"/>
          </w:tcPr>
          <w:p w14:paraId="3EEE9FB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4968</w:t>
            </w:r>
          </w:p>
        </w:tc>
        <w:tc>
          <w:tcPr>
            <w:tcW w:w="848" w:type="pct"/>
            <w:tcBorders>
              <w:tl2br w:val="nil"/>
              <w:tr2bl w:val="nil"/>
            </w:tcBorders>
            <w:noWrap w:val="0"/>
            <w:vAlign w:val="center"/>
          </w:tcPr>
          <w:p w14:paraId="770EB55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22CBFF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515" w:type="pct"/>
            <w:vMerge w:val="continue"/>
            <w:tcBorders>
              <w:tl2br w:val="nil"/>
              <w:tr2bl w:val="nil"/>
            </w:tcBorders>
            <w:noWrap w:val="0"/>
            <w:vAlign w:val="center"/>
          </w:tcPr>
          <w:p w14:paraId="315D269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156D42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2C6602F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3A-2区</w:t>
            </w:r>
          </w:p>
        </w:tc>
        <w:tc>
          <w:tcPr>
            <w:tcW w:w="837" w:type="pct"/>
            <w:tcBorders>
              <w:tl2br w:val="nil"/>
              <w:tr2bl w:val="nil"/>
            </w:tcBorders>
            <w:noWrap w:val="0"/>
            <w:vAlign w:val="center"/>
          </w:tcPr>
          <w:p w14:paraId="2711EAD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1546.0</w:t>
            </w:r>
          </w:p>
        </w:tc>
        <w:tc>
          <w:tcPr>
            <w:tcW w:w="846" w:type="pct"/>
            <w:tcBorders>
              <w:tl2br w:val="nil"/>
              <w:tr2bl w:val="nil"/>
            </w:tcBorders>
            <w:noWrap w:val="0"/>
            <w:vAlign w:val="center"/>
          </w:tcPr>
          <w:p w14:paraId="7C37FC2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4.2</w:t>
            </w:r>
          </w:p>
        </w:tc>
        <w:tc>
          <w:tcPr>
            <w:tcW w:w="967" w:type="pct"/>
            <w:tcBorders>
              <w:tl2br w:val="nil"/>
              <w:tr2bl w:val="nil"/>
            </w:tcBorders>
            <w:noWrap w:val="0"/>
            <w:vAlign w:val="center"/>
          </w:tcPr>
          <w:p w14:paraId="0C322E9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6493.2</w:t>
            </w:r>
          </w:p>
        </w:tc>
        <w:tc>
          <w:tcPr>
            <w:tcW w:w="848" w:type="pct"/>
            <w:tcBorders>
              <w:tl2br w:val="nil"/>
              <w:tr2bl w:val="nil"/>
            </w:tcBorders>
            <w:noWrap w:val="0"/>
            <w:vAlign w:val="center"/>
          </w:tcPr>
          <w:p w14:paraId="7792FB9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38FEE2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15" w:type="pct"/>
            <w:vMerge w:val="continue"/>
            <w:tcBorders>
              <w:tl2br w:val="nil"/>
              <w:tr2bl w:val="nil"/>
            </w:tcBorders>
            <w:noWrap w:val="0"/>
            <w:vAlign w:val="center"/>
          </w:tcPr>
          <w:p w14:paraId="3BCD7A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7E21104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C132C9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3A-3区</w:t>
            </w:r>
          </w:p>
        </w:tc>
        <w:tc>
          <w:tcPr>
            <w:tcW w:w="837" w:type="pct"/>
            <w:tcBorders>
              <w:tl2br w:val="nil"/>
              <w:tr2bl w:val="nil"/>
            </w:tcBorders>
            <w:noWrap w:val="0"/>
            <w:vAlign w:val="center"/>
          </w:tcPr>
          <w:p w14:paraId="42E102D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385.0</w:t>
            </w:r>
          </w:p>
        </w:tc>
        <w:tc>
          <w:tcPr>
            <w:tcW w:w="846" w:type="pct"/>
            <w:tcBorders>
              <w:tl2br w:val="nil"/>
              <w:tr2bl w:val="nil"/>
            </w:tcBorders>
            <w:noWrap w:val="0"/>
            <w:vAlign w:val="center"/>
          </w:tcPr>
          <w:p w14:paraId="388C023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5.5</w:t>
            </w:r>
          </w:p>
        </w:tc>
        <w:tc>
          <w:tcPr>
            <w:tcW w:w="967" w:type="pct"/>
            <w:tcBorders>
              <w:tl2br w:val="nil"/>
              <w:tr2bl w:val="nil"/>
            </w:tcBorders>
            <w:noWrap w:val="0"/>
            <w:vAlign w:val="center"/>
          </w:tcPr>
          <w:p w14:paraId="384D74C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2117.5</w:t>
            </w:r>
          </w:p>
        </w:tc>
        <w:tc>
          <w:tcPr>
            <w:tcW w:w="848" w:type="pct"/>
            <w:tcBorders>
              <w:tl2br w:val="nil"/>
              <w:tr2bl w:val="nil"/>
            </w:tcBorders>
            <w:noWrap w:val="0"/>
            <w:vAlign w:val="center"/>
          </w:tcPr>
          <w:p w14:paraId="6CFDA76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234FE8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515" w:type="pct"/>
            <w:vMerge w:val="continue"/>
            <w:tcBorders>
              <w:tl2br w:val="nil"/>
              <w:tr2bl w:val="nil"/>
            </w:tcBorders>
            <w:noWrap w:val="0"/>
            <w:vAlign w:val="center"/>
          </w:tcPr>
          <w:p w14:paraId="2AA2390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2273A4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285681D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3A-4区</w:t>
            </w:r>
          </w:p>
        </w:tc>
        <w:tc>
          <w:tcPr>
            <w:tcW w:w="837" w:type="pct"/>
            <w:tcBorders>
              <w:tl2br w:val="nil"/>
              <w:tr2bl w:val="nil"/>
            </w:tcBorders>
            <w:noWrap w:val="0"/>
            <w:vAlign w:val="center"/>
          </w:tcPr>
          <w:p w14:paraId="2E29A7E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401.0</w:t>
            </w:r>
          </w:p>
        </w:tc>
        <w:tc>
          <w:tcPr>
            <w:tcW w:w="846" w:type="pct"/>
            <w:tcBorders>
              <w:tl2br w:val="nil"/>
              <w:tr2bl w:val="nil"/>
            </w:tcBorders>
            <w:noWrap w:val="0"/>
            <w:vAlign w:val="center"/>
          </w:tcPr>
          <w:p w14:paraId="4C66181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5.0</w:t>
            </w:r>
          </w:p>
        </w:tc>
        <w:tc>
          <w:tcPr>
            <w:tcW w:w="967" w:type="pct"/>
            <w:tcBorders>
              <w:tl2br w:val="nil"/>
              <w:tr2bl w:val="nil"/>
            </w:tcBorders>
            <w:noWrap w:val="0"/>
            <w:vAlign w:val="center"/>
          </w:tcPr>
          <w:p w14:paraId="15A5399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2005</w:t>
            </w:r>
          </w:p>
        </w:tc>
        <w:tc>
          <w:tcPr>
            <w:tcW w:w="848" w:type="pct"/>
            <w:tcBorders>
              <w:tl2br w:val="nil"/>
              <w:tr2bl w:val="nil"/>
            </w:tcBorders>
            <w:noWrap w:val="0"/>
            <w:vAlign w:val="center"/>
          </w:tcPr>
          <w:p w14:paraId="0A0E130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4BD911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515" w:type="pct"/>
            <w:vMerge w:val="continue"/>
            <w:tcBorders>
              <w:tl2br w:val="nil"/>
              <w:tr2bl w:val="nil"/>
            </w:tcBorders>
            <w:noWrap w:val="0"/>
            <w:vAlign w:val="center"/>
          </w:tcPr>
          <w:p w14:paraId="77E6050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2BF54E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3C53E8C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3A-5区</w:t>
            </w:r>
          </w:p>
        </w:tc>
        <w:tc>
          <w:tcPr>
            <w:tcW w:w="837" w:type="pct"/>
            <w:tcBorders>
              <w:tl2br w:val="nil"/>
              <w:tr2bl w:val="nil"/>
            </w:tcBorders>
            <w:noWrap w:val="0"/>
            <w:vAlign w:val="center"/>
          </w:tcPr>
          <w:p w14:paraId="0D70AAD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213.0</w:t>
            </w:r>
          </w:p>
        </w:tc>
        <w:tc>
          <w:tcPr>
            <w:tcW w:w="846" w:type="pct"/>
            <w:tcBorders>
              <w:tl2br w:val="nil"/>
              <w:tr2bl w:val="nil"/>
            </w:tcBorders>
            <w:noWrap w:val="0"/>
            <w:vAlign w:val="center"/>
          </w:tcPr>
          <w:p w14:paraId="614D660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2.2</w:t>
            </w:r>
          </w:p>
        </w:tc>
        <w:tc>
          <w:tcPr>
            <w:tcW w:w="967" w:type="pct"/>
            <w:tcBorders>
              <w:tl2br w:val="nil"/>
              <w:tr2bl w:val="nil"/>
            </w:tcBorders>
            <w:noWrap w:val="0"/>
            <w:vAlign w:val="center"/>
          </w:tcPr>
          <w:p w14:paraId="1F845F2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468.6</w:t>
            </w:r>
          </w:p>
        </w:tc>
        <w:tc>
          <w:tcPr>
            <w:tcW w:w="848" w:type="pct"/>
            <w:tcBorders>
              <w:tl2br w:val="nil"/>
              <w:tr2bl w:val="nil"/>
            </w:tcBorders>
            <w:noWrap w:val="0"/>
            <w:vAlign w:val="center"/>
          </w:tcPr>
          <w:p w14:paraId="5E905EC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02BA11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15" w:type="pct"/>
            <w:vMerge w:val="continue"/>
            <w:tcBorders>
              <w:tl2br w:val="nil"/>
              <w:tr2bl w:val="nil"/>
            </w:tcBorders>
            <w:noWrap w:val="0"/>
            <w:vAlign w:val="center"/>
          </w:tcPr>
          <w:p w14:paraId="4CEF679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restart"/>
            <w:tcBorders>
              <w:tl2br w:val="nil"/>
              <w:tr2bl w:val="nil"/>
            </w:tcBorders>
            <w:noWrap w:val="0"/>
            <w:vAlign w:val="center"/>
          </w:tcPr>
          <w:p w14:paraId="117B5C0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3B号点</w:t>
            </w:r>
          </w:p>
        </w:tc>
        <w:tc>
          <w:tcPr>
            <w:tcW w:w="590" w:type="pct"/>
            <w:tcBorders>
              <w:tl2br w:val="nil"/>
              <w:tr2bl w:val="nil"/>
            </w:tcBorders>
            <w:noWrap w:val="0"/>
            <w:vAlign w:val="center"/>
          </w:tcPr>
          <w:p w14:paraId="672F50D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3B-1区</w:t>
            </w:r>
          </w:p>
        </w:tc>
        <w:tc>
          <w:tcPr>
            <w:tcW w:w="837" w:type="pct"/>
            <w:tcBorders>
              <w:tl2br w:val="nil"/>
              <w:tr2bl w:val="nil"/>
            </w:tcBorders>
            <w:noWrap w:val="0"/>
            <w:vAlign w:val="center"/>
          </w:tcPr>
          <w:p w14:paraId="633C36F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775.0</w:t>
            </w:r>
          </w:p>
        </w:tc>
        <w:tc>
          <w:tcPr>
            <w:tcW w:w="846" w:type="pct"/>
            <w:tcBorders>
              <w:tl2br w:val="nil"/>
              <w:tr2bl w:val="nil"/>
            </w:tcBorders>
            <w:noWrap w:val="0"/>
            <w:vAlign w:val="center"/>
          </w:tcPr>
          <w:p w14:paraId="3704A30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1.5</w:t>
            </w:r>
          </w:p>
        </w:tc>
        <w:tc>
          <w:tcPr>
            <w:tcW w:w="967" w:type="pct"/>
            <w:tcBorders>
              <w:tl2br w:val="nil"/>
              <w:tr2bl w:val="nil"/>
            </w:tcBorders>
            <w:noWrap w:val="0"/>
            <w:vAlign w:val="center"/>
          </w:tcPr>
          <w:p w14:paraId="541A5E2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1162.5</w:t>
            </w:r>
          </w:p>
        </w:tc>
        <w:tc>
          <w:tcPr>
            <w:tcW w:w="848" w:type="pct"/>
            <w:tcBorders>
              <w:tl2br w:val="nil"/>
              <w:tr2bl w:val="nil"/>
            </w:tcBorders>
            <w:noWrap w:val="0"/>
            <w:vAlign w:val="center"/>
          </w:tcPr>
          <w:p w14:paraId="16FC68C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3D9A5D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515" w:type="pct"/>
            <w:vMerge w:val="continue"/>
            <w:tcBorders>
              <w:tl2br w:val="nil"/>
              <w:tr2bl w:val="nil"/>
            </w:tcBorders>
            <w:noWrap w:val="0"/>
            <w:vAlign w:val="center"/>
          </w:tcPr>
          <w:p w14:paraId="579BF4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450A2A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0F5528E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3B-2区</w:t>
            </w:r>
          </w:p>
        </w:tc>
        <w:tc>
          <w:tcPr>
            <w:tcW w:w="837" w:type="pct"/>
            <w:tcBorders>
              <w:tl2br w:val="nil"/>
              <w:tr2bl w:val="nil"/>
            </w:tcBorders>
            <w:noWrap w:val="0"/>
            <w:vAlign w:val="center"/>
          </w:tcPr>
          <w:p w14:paraId="61ADC72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1581.0</w:t>
            </w:r>
          </w:p>
        </w:tc>
        <w:tc>
          <w:tcPr>
            <w:tcW w:w="846" w:type="pct"/>
            <w:tcBorders>
              <w:tl2br w:val="nil"/>
              <w:tr2bl w:val="nil"/>
            </w:tcBorders>
            <w:noWrap w:val="0"/>
            <w:vAlign w:val="center"/>
          </w:tcPr>
          <w:p w14:paraId="326C8A2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5.53</w:t>
            </w:r>
          </w:p>
        </w:tc>
        <w:tc>
          <w:tcPr>
            <w:tcW w:w="967" w:type="pct"/>
            <w:tcBorders>
              <w:tl2br w:val="nil"/>
              <w:tr2bl w:val="nil"/>
            </w:tcBorders>
            <w:noWrap w:val="0"/>
            <w:vAlign w:val="center"/>
          </w:tcPr>
          <w:p w14:paraId="3E418B2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8742.93</w:t>
            </w:r>
          </w:p>
        </w:tc>
        <w:tc>
          <w:tcPr>
            <w:tcW w:w="848" w:type="pct"/>
            <w:tcBorders>
              <w:tl2br w:val="nil"/>
              <w:tr2bl w:val="nil"/>
            </w:tcBorders>
            <w:noWrap w:val="0"/>
            <w:vAlign w:val="center"/>
          </w:tcPr>
          <w:p w14:paraId="5983F89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073B50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15" w:type="pct"/>
            <w:vMerge w:val="continue"/>
            <w:tcBorders>
              <w:tl2br w:val="nil"/>
              <w:tr2bl w:val="nil"/>
            </w:tcBorders>
            <w:noWrap w:val="0"/>
            <w:vAlign w:val="center"/>
          </w:tcPr>
          <w:p w14:paraId="3AFEB6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3219284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5F9D4A6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3B-3区</w:t>
            </w:r>
          </w:p>
        </w:tc>
        <w:tc>
          <w:tcPr>
            <w:tcW w:w="837" w:type="pct"/>
            <w:tcBorders>
              <w:tl2br w:val="nil"/>
              <w:tr2bl w:val="nil"/>
            </w:tcBorders>
            <w:noWrap w:val="0"/>
            <w:vAlign w:val="center"/>
          </w:tcPr>
          <w:p w14:paraId="1385AF0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115.0</w:t>
            </w:r>
          </w:p>
        </w:tc>
        <w:tc>
          <w:tcPr>
            <w:tcW w:w="846" w:type="pct"/>
            <w:tcBorders>
              <w:tl2br w:val="nil"/>
              <w:tr2bl w:val="nil"/>
            </w:tcBorders>
            <w:noWrap w:val="0"/>
            <w:vAlign w:val="center"/>
          </w:tcPr>
          <w:p w14:paraId="3897FA1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1.0</w:t>
            </w:r>
          </w:p>
        </w:tc>
        <w:tc>
          <w:tcPr>
            <w:tcW w:w="967" w:type="pct"/>
            <w:tcBorders>
              <w:tl2br w:val="nil"/>
              <w:tr2bl w:val="nil"/>
            </w:tcBorders>
            <w:noWrap w:val="0"/>
            <w:vAlign w:val="center"/>
          </w:tcPr>
          <w:p w14:paraId="115CB8C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115.0</w:t>
            </w:r>
          </w:p>
        </w:tc>
        <w:tc>
          <w:tcPr>
            <w:tcW w:w="848" w:type="pct"/>
            <w:tcBorders>
              <w:tl2br w:val="nil"/>
              <w:tr2bl w:val="nil"/>
            </w:tcBorders>
            <w:noWrap w:val="0"/>
            <w:vAlign w:val="center"/>
          </w:tcPr>
          <w:p w14:paraId="36D8A3B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0DCF2A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909" w:type="pct"/>
            <w:gridSpan w:val="2"/>
            <w:tcBorders>
              <w:tl2br w:val="nil"/>
              <w:tr2bl w:val="nil"/>
            </w:tcBorders>
            <w:noWrap w:val="0"/>
            <w:vAlign w:val="center"/>
          </w:tcPr>
          <w:p w14:paraId="66F3E98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总计</w:t>
            </w:r>
          </w:p>
        </w:tc>
        <w:tc>
          <w:tcPr>
            <w:tcW w:w="590" w:type="pct"/>
            <w:tcBorders>
              <w:tl2br w:val="nil"/>
              <w:tr2bl w:val="nil"/>
            </w:tcBorders>
            <w:noWrap w:val="0"/>
            <w:vAlign w:val="center"/>
          </w:tcPr>
          <w:p w14:paraId="00BE19E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w:t>
            </w:r>
          </w:p>
        </w:tc>
        <w:tc>
          <w:tcPr>
            <w:tcW w:w="837" w:type="pct"/>
            <w:tcBorders>
              <w:tl2br w:val="nil"/>
              <w:tr2bl w:val="nil"/>
            </w:tcBorders>
            <w:noWrap w:val="0"/>
            <w:vAlign w:val="center"/>
          </w:tcPr>
          <w:p w14:paraId="4D9D3B0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13047</w:t>
            </w:r>
          </w:p>
        </w:tc>
        <w:tc>
          <w:tcPr>
            <w:tcW w:w="846" w:type="pct"/>
            <w:tcBorders>
              <w:tl2br w:val="nil"/>
              <w:tr2bl w:val="nil"/>
            </w:tcBorders>
            <w:noWrap w:val="0"/>
            <w:vAlign w:val="center"/>
          </w:tcPr>
          <w:p w14:paraId="67F53C0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w:t>
            </w:r>
          </w:p>
        </w:tc>
        <w:tc>
          <w:tcPr>
            <w:tcW w:w="967" w:type="pct"/>
            <w:tcBorders>
              <w:tl2br w:val="nil"/>
              <w:tr2bl w:val="nil"/>
            </w:tcBorders>
            <w:noWrap w:val="0"/>
            <w:vAlign w:val="center"/>
          </w:tcPr>
          <w:p w14:paraId="300AE9A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55999.73</w:t>
            </w:r>
          </w:p>
        </w:tc>
        <w:tc>
          <w:tcPr>
            <w:tcW w:w="848" w:type="pct"/>
            <w:tcBorders>
              <w:tl2br w:val="nil"/>
              <w:tr2bl w:val="nil"/>
            </w:tcBorders>
            <w:noWrap w:val="0"/>
            <w:vAlign w:val="center"/>
          </w:tcPr>
          <w:p w14:paraId="724F7D9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w:t>
            </w:r>
          </w:p>
        </w:tc>
      </w:tr>
      <w:tr w14:paraId="446217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909" w:type="pct"/>
            <w:gridSpan w:val="2"/>
            <w:vMerge w:val="restart"/>
            <w:tcBorders>
              <w:tl2br w:val="nil"/>
              <w:tr2bl w:val="nil"/>
            </w:tcBorders>
            <w:noWrap w:val="0"/>
            <w:vAlign w:val="center"/>
          </w:tcPr>
          <w:p w14:paraId="2650A05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总结</w:t>
            </w:r>
          </w:p>
        </w:tc>
        <w:tc>
          <w:tcPr>
            <w:tcW w:w="590" w:type="pct"/>
            <w:tcBorders>
              <w:tl2br w:val="nil"/>
              <w:tr2bl w:val="nil"/>
            </w:tcBorders>
            <w:noWrap w:val="0"/>
            <w:vAlign w:val="center"/>
          </w:tcPr>
          <w:p w14:paraId="40D15CE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837" w:type="pct"/>
            <w:tcBorders>
              <w:tl2br w:val="nil"/>
              <w:tr2bl w:val="nil"/>
            </w:tcBorders>
            <w:noWrap w:val="0"/>
            <w:vAlign w:val="center"/>
          </w:tcPr>
          <w:p w14:paraId="6F530F1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4221</w:t>
            </w:r>
          </w:p>
        </w:tc>
        <w:tc>
          <w:tcPr>
            <w:tcW w:w="846" w:type="pct"/>
            <w:tcBorders>
              <w:tl2br w:val="nil"/>
              <w:tr2bl w:val="nil"/>
            </w:tcBorders>
            <w:noWrap w:val="0"/>
            <w:vAlign w:val="center"/>
          </w:tcPr>
          <w:p w14:paraId="7E3153C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967" w:type="pct"/>
            <w:tcBorders>
              <w:tl2br w:val="nil"/>
              <w:tr2bl w:val="nil"/>
            </w:tcBorders>
            <w:noWrap w:val="0"/>
            <w:vAlign w:val="center"/>
          </w:tcPr>
          <w:p w14:paraId="1380B4E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13494.1</w:t>
            </w:r>
          </w:p>
        </w:tc>
        <w:tc>
          <w:tcPr>
            <w:tcW w:w="848" w:type="pct"/>
            <w:tcBorders>
              <w:tl2br w:val="nil"/>
              <w:tr2bl w:val="nil"/>
            </w:tcBorders>
            <w:noWrap w:val="0"/>
            <w:vAlign w:val="center"/>
          </w:tcPr>
          <w:p w14:paraId="33AF495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229FE4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909" w:type="pct"/>
            <w:gridSpan w:val="2"/>
            <w:vMerge w:val="continue"/>
            <w:tcBorders>
              <w:tl2br w:val="nil"/>
              <w:tr2bl w:val="nil"/>
            </w:tcBorders>
            <w:noWrap w:val="0"/>
            <w:vAlign w:val="center"/>
          </w:tcPr>
          <w:p w14:paraId="131088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73CF4D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837" w:type="pct"/>
            <w:tcBorders>
              <w:tl2br w:val="nil"/>
              <w:tr2bl w:val="nil"/>
            </w:tcBorders>
            <w:noWrap w:val="0"/>
            <w:vAlign w:val="center"/>
          </w:tcPr>
          <w:p w14:paraId="7393802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8826</w:t>
            </w:r>
          </w:p>
        </w:tc>
        <w:tc>
          <w:tcPr>
            <w:tcW w:w="846" w:type="pct"/>
            <w:tcBorders>
              <w:tl2br w:val="nil"/>
              <w:tr2bl w:val="nil"/>
            </w:tcBorders>
            <w:noWrap w:val="0"/>
            <w:vAlign w:val="center"/>
          </w:tcPr>
          <w:p w14:paraId="3F9F871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967" w:type="pct"/>
            <w:tcBorders>
              <w:tl2br w:val="nil"/>
              <w:tr2bl w:val="nil"/>
            </w:tcBorders>
            <w:noWrap w:val="0"/>
            <w:vAlign w:val="center"/>
          </w:tcPr>
          <w:p w14:paraId="0A01018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42505.63</w:t>
            </w:r>
          </w:p>
        </w:tc>
        <w:tc>
          <w:tcPr>
            <w:tcW w:w="848" w:type="pct"/>
            <w:tcBorders>
              <w:tl2br w:val="nil"/>
              <w:tr2bl w:val="nil"/>
            </w:tcBorders>
            <w:noWrap w:val="0"/>
            <w:vAlign w:val="center"/>
          </w:tcPr>
          <w:p w14:paraId="690EE24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bl>
    <w:p w14:paraId="3A3AE710">
      <w:pPr>
        <w:bidi w:val="0"/>
        <w:rPr>
          <w:rFonts w:hint="eastAsia"/>
          <w:sz w:val="24"/>
          <w:szCs w:val="24"/>
          <w:highlight w:val="yellow"/>
          <w:lang w:val="en-US" w:eastAsia="zh-CN"/>
        </w:rPr>
      </w:pPr>
      <w:r>
        <w:rPr>
          <w:rFonts w:hint="eastAsia"/>
          <w:sz w:val="24"/>
          <w:szCs w:val="24"/>
        </w:rPr>
        <w:t>各渣堆分区</w:t>
      </w:r>
      <w:r>
        <w:rPr>
          <w:rFonts w:hint="eastAsia"/>
          <w:sz w:val="24"/>
          <w:szCs w:val="24"/>
          <w:lang w:eastAsia="zh-CN"/>
        </w:rPr>
        <w:t>监测点位</w:t>
      </w:r>
      <w:r>
        <w:rPr>
          <w:rFonts w:hint="eastAsia"/>
          <w:sz w:val="24"/>
          <w:szCs w:val="24"/>
        </w:rPr>
        <w:t>布设和采样情况见表3.1-5~</w:t>
      </w:r>
      <w:r>
        <w:rPr>
          <w:rFonts w:hint="eastAsia"/>
          <w:sz w:val="24"/>
          <w:szCs w:val="24"/>
          <w:lang w:val="en-US" w:eastAsia="zh-CN"/>
        </w:rPr>
        <w:t>3.1.7</w:t>
      </w:r>
      <w:r>
        <w:rPr>
          <w:rFonts w:hint="eastAsia"/>
          <w:sz w:val="24"/>
          <w:szCs w:val="24"/>
          <w:highlight w:val="none"/>
          <w:lang w:val="en-US" w:eastAsia="zh-CN"/>
        </w:rPr>
        <w:t>。</w:t>
      </w:r>
    </w:p>
    <w:p w14:paraId="4340D01B">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表3.1-5  万古村1#废渣堆固废布点方案</w:t>
      </w:r>
    </w:p>
    <w:tbl>
      <w:tblPr>
        <w:tblStyle w:val="47"/>
        <w:tblW w:w="4933" w:type="pct"/>
        <w:tblInd w:w="11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1094"/>
        <w:gridCol w:w="1333"/>
        <w:gridCol w:w="1455"/>
        <w:gridCol w:w="1291"/>
        <w:gridCol w:w="1438"/>
        <w:gridCol w:w="886"/>
      </w:tblGrid>
      <w:tr w14:paraId="74E4E4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884" w:type="pct"/>
            <w:noWrap w:val="0"/>
            <w:vAlign w:val="center"/>
          </w:tcPr>
          <w:p w14:paraId="0EDBC8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区域</w:t>
            </w:r>
          </w:p>
        </w:tc>
        <w:tc>
          <w:tcPr>
            <w:tcW w:w="600" w:type="pct"/>
            <w:noWrap w:val="0"/>
            <w:vAlign w:val="center"/>
          </w:tcPr>
          <w:p w14:paraId="463126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采样日期</w:t>
            </w:r>
          </w:p>
        </w:tc>
        <w:tc>
          <w:tcPr>
            <w:tcW w:w="731" w:type="pct"/>
            <w:noWrap w:val="0"/>
            <w:vAlign w:val="center"/>
          </w:tcPr>
          <w:p w14:paraId="0A2AA6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vertAlign w:val="baseline"/>
                <w:lang w:val="en-US" w:eastAsia="zh-CN" w:bidi="ar-SA"/>
              </w:rPr>
            </w:pPr>
            <w:r>
              <w:rPr>
                <w:rFonts w:hint="eastAsia"/>
                <w:b/>
                <w:bCs/>
                <w:sz w:val="21"/>
                <w:szCs w:val="21"/>
                <w:highlight w:val="none"/>
                <w:vertAlign w:val="baseline"/>
                <w:lang w:val="en-US" w:eastAsia="zh-CN"/>
              </w:rPr>
              <w:t>对应点位号</w:t>
            </w:r>
          </w:p>
        </w:tc>
        <w:tc>
          <w:tcPr>
            <w:tcW w:w="798" w:type="pct"/>
            <w:noWrap w:val="0"/>
            <w:vAlign w:val="center"/>
          </w:tcPr>
          <w:p w14:paraId="79E1C2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采样深度（m）</w:t>
            </w:r>
          </w:p>
        </w:tc>
        <w:tc>
          <w:tcPr>
            <w:tcW w:w="708" w:type="pct"/>
            <w:noWrap w:val="0"/>
            <w:vAlign w:val="center"/>
          </w:tcPr>
          <w:p w14:paraId="0C611C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vertAlign w:val="baseline"/>
                <w:lang w:val="en-US" w:eastAsia="zh-CN"/>
              </w:rPr>
            </w:pPr>
            <w:r>
              <w:rPr>
                <w:rFonts w:hint="default" w:ascii="Times New Roman" w:hAnsi="Times New Roman" w:cs="Times New Roman"/>
                <w:b/>
                <w:bCs/>
                <w:sz w:val="21"/>
                <w:szCs w:val="21"/>
                <w:highlight w:val="none"/>
                <w:vertAlign w:val="baseline"/>
                <w:lang w:val="en-US" w:eastAsia="zh-CN"/>
              </w:rPr>
              <w:t>经度（°）</w:t>
            </w:r>
          </w:p>
        </w:tc>
        <w:tc>
          <w:tcPr>
            <w:tcW w:w="789" w:type="pct"/>
            <w:noWrap w:val="0"/>
            <w:vAlign w:val="center"/>
          </w:tcPr>
          <w:p w14:paraId="79354E8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vertAlign w:val="baseline"/>
                <w:lang w:val="en-US" w:eastAsia="zh-CN"/>
              </w:rPr>
            </w:pPr>
            <w:r>
              <w:rPr>
                <w:rFonts w:hint="default" w:ascii="Times New Roman" w:hAnsi="Times New Roman" w:cs="Times New Roman"/>
                <w:b/>
                <w:bCs/>
                <w:sz w:val="21"/>
                <w:szCs w:val="21"/>
                <w:highlight w:val="none"/>
                <w:vertAlign w:val="baseline"/>
                <w:lang w:val="en-US" w:eastAsia="zh-CN"/>
              </w:rPr>
              <w:t>纬度（°）</w:t>
            </w:r>
          </w:p>
        </w:tc>
        <w:tc>
          <w:tcPr>
            <w:tcW w:w="486" w:type="pct"/>
            <w:noWrap w:val="0"/>
            <w:vAlign w:val="center"/>
          </w:tcPr>
          <w:p w14:paraId="64E6B2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样品数</w:t>
            </w:r>
          </w:p>
        </w:tc>
      </w:tr>
      <w:tr w14:paraId="105EFD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4" w:type="pct"/>
            <w:vMerge w:val="restart"/>
            <w:noWrap w:val="0"/>
            <w:vAlign w:val="center"/>
          </w:tcPr>
          <w:p w14:paraId="11797F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cs="Times New Roman"/>
                <w:sz w:val="21"/>
                <w:szCs w:val="21"/>
                <w:highlight w:val="none"/>
                <w:vertAlign w:val="baseline"/>
                <w:lang w:val="en-US" w:eastAsia="zh-CN"/>
              </w:rPr>
              <w:t>万古村1#废渣堆</w:t>
            </w:r>
            <w:r>
              <w:rPr>
                <w:rFonts w:hint="default" w:ascii="Times New Roman" w:hAnsi="Times New Roman" w:eastAsia="宋体" w:cs="Times New Roman"/>
                <w:sz w:val="21"/>
                <w:szCs w:val="21"/>
                <w:highlight w:val="none"/>
                <w:vertAlign w:val="baseline"/>
                <w:lang w:val="en-US" w:eastAsia="zh-CN"/>
              </w:rPr>
              <w:t>Ⅰ</w:t>
            </w:r>
            <w:r>
              <w:rPr>
                <w:rFonts w:hint="default" w:ascii="Times New Roman" w:hAnsi="Times New Roman" w:cs="Times New Roman"/>
                <w:sz w:val="21"/>
                <w:szCs w:val="21"/>
                <w:highlight w:val="none"/>
                <w:vertAlign w:val="baseline"/>
                <w:lang w:val="en-US" w:eastAsia="zh-CN"/>
              </w:rPr>
              <w:t>区</w:t>
            </w:r>
          </w:p>
        </w:tc>
        <w:tc>
          <w:tcPr>
            <w:tcW w:w="600" w:type="pct"/>
            <w:vMerge w:val="restart"/>
            <w:noWrap w:val="0"/>
            <w:vAlign w:val="center"/>
          </w:tcPr>
          <w:p w14:paraId="60295B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2022.6.28</w:t>
            </w:r>
          </w:p>
        </w:tc>
        <w:tc>
          <w:tcPr>
            <w:tcW w:w="731" w:type="pct"/>
            <w:noWrap w:val="0"/>
            <w:vAlign w:val="center"/>
          </w:tcPr>
          <w:p w14:paraId="71D9EBDF">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ZK1-1</w:t>
            </w:r>
          </w:p>
        </w:tc>
        <w:tc>
          <w:tcPr>
            <w:tcW w:w="798" w:type="pct"/>
            <w:noWrap w:val="0"/>
            <w:vAlign w:val="center"/>
          </w:tcPr>
          <w:p w14:paraId="7E42FD97">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6.5</w:t>
            </w:r>
          </w:p>
        </w:tc>
        <w:tc>
          <w:tcPr>
            <w:tcW w:w="708" w:type="pct"/>
            <w:noWrap w:val="0"/>
            <w:vAlign w:val="top"/>
          </w:tcPr>
          <w:p w14:paraId="628824A7">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cs="Times New Roman"/>
                <w:spacing w:val="-8"/>
                <w:sz w:val="21"/>
                <w:szCs w:val="21"/>
              </w:rPr>
              <w:t>113.57337</w:t>
            </w:r>
            <w:r>
              <w:rPr>
                <w:rFonts w:hint="default" w:ascii="Times New Roman" w:hAnsi="Times New Roman" w:cs="Times New Roman"/>
                <w:spacing w:val="-6"/>
                <w:sz w:val="21"/>
                <w:szCs w:val="21"/>
              </w:rPr>
              <w:t>6</w:t>
            </w:r>
            <w:r>
              <w:rPr>
                <w:rFonts w:hint="default" w:ascii="Times New Roman" w:hAnsi="Times New Roman" w:cs="Times New Roman"/>
                <w:spacing w:val="9"/>
                <w:sz w:val="21"/>
                <w:szCs w:val="21"/>
              </w:rPr>
              <w:t xml:space="preserve"> </w:t>
            </w:r>
          </w:p>
        </w:tc>
        <w:tc>
          <w:tcPr>
            <w:tcW w:w="789" w:type="pct"/>
            <w:noWrap w:val="0"/>
            <w:vAlign w:val="center"/>
          </w:tcPr>
          <w:p w14:paraId="5CD50B3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sz w:val="21"/>
                <w:szCs w:val="21"/>
                <w:highlight w:val="none"/>
                <w:vertAlign w:val="baseline"/>
                <w:lang w:val="en-US" w:eastAsia="zh-CN"/>
              </w:rPr>
            </w:pPr>
            <w:r>
              <w:rPr>
                <w:rFonts w:hint="default" w:ascii="Times New Roman" w:hAnsi="Times New Roman" w:cs="Times New Roman"/>
                <w:spacing w:val="-1"/>
                <w:sz w:val="21"/>
                <w:szCs w:val="21"/>
              </w:rPr>
              <w:t>28.629574</w:t>
            </w:r>
          </w:p>
        </w:tc>
        <w:tc>
          <w:tcPr>
            <w:tcW w:w="486" w:type="pct"/>
            <w:noWrap w:val="0"/>
            <w:vAlign w:val="center"/>
          </w:tcPr>
          <w:p w14:paraId="2E57D3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w:t>
            </w:r>
          </w:p>
        </w:tc>
      </w:tr>
      <w:tr w14:paraId="4AA238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4" w:type="pct"/>
            <w:vMerge w:val="continue"/>
            <w:noWrap w:val="0"/>
            <w:vAlign w:val="center"/>
          </w:tcPr>
          <w:p w14:paraId="6552BD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sz w:val="21"/>
                <w:szCs w:val="21"/>
                <w:highlight w:val="none"/>
                <w:vertAlign w:val="baseline"/>
                <w:lang w:val="en-US" w:eastAsia="zh-CN"/>
              </w:rPr>
            </w:pPr>
          </w:p>
        </w:tc>
        <w:tc>
          <w:tcPr>
            <w:tcW w:w="600" w:type="pct"/>
            <w:vMerge w:val="continue"/>
            <w:noWrap w:val="0"/>
            <w:vAlign w:val="center"/>
          </w:tcPr>
          <w:p w14:paraId="3C9386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p>
        </w:tc>
        <w:tc>
          <w:tcPr>
            <w:tcW w:w="731" w:type="pct"/>
            <w:noWrap w:val="0"/>
            <w:vAlign w:val="center"/>
          </w:tcPr>
          <w:p w14:paraId="0E595475">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ZK1-2</w:t>
            </w:r>
          </w:p>
        </w:tc>
        <w:tc>
          <w:tcPr>
            <w:tcW w:w="798" w:type="pct"/>
            <w:noWrap w:val="0"/>
            <w:vAlign w:val="center"/>
          </w:tcPr>
          <w:p w14:paraId="1DC6CAE6">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5.2</w:t>
            </w:r>
          </w:p>
        </w:tc>
        <w:tc>
          <w:tcPr>
            <w:tcW w:w="708" w:type="pct"/>
            <w:noWrap w:val="0"/>
            <w:vAlign w:val="top"/>
          </w:tcPr>
          <w:p w14:paraId="344D598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snapToGrid w:val="0"/>
                <w:color w:val="000000"/>
                <w:kern w:val="0"/>
                <w:sz w:val="21"/>
                <w:szCs w:val="21"/>
                <w:lang w:val="en-US" w:eastAsia="zh-CN" w:bidi="ar-SA"/>
              </w:rPr>
            </w:pPr>
            <w:r>
              <w:rPr>
                <w:rFonts w:hint="default" w:ascii="Times New Roman" w:hAnsi="Times New Roman" w:cs="Times New Roman"/>
                <w:spacing w:val="-8"/>
                <w:sz w:val="21"/>
                <w:szCs w:val="21"/>
              </w:rPr>
              <w:t>113.57530</w:t>
            </w:r>
            <w:r>
              <w:rPr>
                <w:rFonts w:hint="default" w:ascii="Times New Roman" w:hAnsi="Times New Roman" w:cs="Times New Roman"/>
                <w:spacing w:val="-6"/>
                <w:sz w:val="21"/>
                <w:szCs w:val="21"/>
              </w:rPr>
              <w:t>0</w:t>
            </w:r>
          </w:p>
        </w:tc>
        <w:tc>
          <w:tcPr>
            <w:tcW w:w="789" w:type="pct"/>
            <w:noWrap w:val="0"/>
            <w:vAlign w:val="center"/>
          </w:tcPr>
          <w:p w14:paraId="1A9A3A2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sz w:val="21"/>
                <w:szCs w:val="21"/>
                <w:highlight w:val="none"/>
                <w:vertAlign w:val="baseline"/>
                <w:lang w:val="en-US" w:eastAsia="zh-CN"/>
              </w:rPr>
            </w:pPr>
            <w:r>
              <w:rPr>
                <w:rFonts w:hint="default" w:ascii="Times New Roman" w:hAnsi="Times New Roman" w:cs="Times New Roman"/>
                <w:spacing w:val="-1"/>
                <w:position w:val="-1"/>
                <w:sz w:val="21"/>
                <w:szCs w:val="21"/>
              </w:rPr>
              <w:t>28</w:t>
            </w:r>
            <w:r>
              <w:rPr>
                <w:rFonts w:hint="eastAsia" w:cs="Times New Roman"/>
                <w:spacing w:val="-1"/>
                <w:position w:val="-1"/>
                <w:sz w:val="21"/>
                <w:szCs w:val="21"/>
                <w:lang w:val="en-US" w:eastAsia="zh-CN"/>
              </w:rPr>
              <w:t>.</w:t>
            </w:r>
            <w:r>
              <w:rPr>
                <w:rFonts w:hint="default" w:ascii="Times New Roman" w:hAnsi="Times New Roman" w:cs="Times New Roman"/>
                <w:spacing w:val="-1"/>
                <w:position w:val="-1"/>
                <w:sz w:val="21"/>
                <w:szCs w:val="21"/>
              </w:rPr>
              <w:t>629515</w:t>
            </w:r>
          </w:p>
        </w:tc>
        <w:tc>
          <w:tcPr>
            <w:tcW w:w="486" w:type="pct"/>
            <w:noWrap w:val="0"/>
            <w:vAlign w:val="center"/>
          </w:tcPr>
          <w:p w14:paraId="5E826D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w:t>
            </w:r>
          </w:p>
        </w:tc>
      </w:tr>
      <w:tr w14:paraId="24A84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4" w:type="pct"/>
            <w:vMerge w:val="restart"/>
            <w:noWrap w:val="0"/>
            <w:vAlign w:val="center"/>
          </w:tcPr>
          <w:p w14:paraId="22320B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r>
              <w:rPr>
                <w:rFonts w:hint="eastAsia" w:cs="Times New Roman"/>
                <w:sz w:val="21"/>
                <w:szCs w:val="21"/>
                <w:highlight w:val="none"/>
                <w:vertAlign w:val="baseline"/>
                <w:lang w:val="en-US" w:eastAsia="zh-CN"/>
              </w:rPr>
              <w:t>万古村1#废渣堆</w:t>
            </w:r>
            <w:r>
              <w:rPr>
                <w:rFonts w:hint="default" w:ascii="Times New Roman" w:hAnsi="Times New Roman" w:eastAsia="宋体" w:cs="Times New Roman"/>
                <w:sz w:val="21"/>
                <w:szCs w:val="21"/>
                <w:highlight w:val="none"/>
                <w:vertAlign w:val="baseline"/>
                <w:lang w:val="en-US" w:eastAsia="zh-CN"/>
              </w:rPr>
              <w:t>Ⅱ</w:t>
            </w:r>
            <w:r>
              <w:rPr>
                <w:rFonts w:hint="default" w:ascii="Times New Roman" w:hAnsi="Times New Roman" w:cs="Times New Roman"/>
                <w:sz w:val="21"/>
                <w:szCs w:val="21"/>
                <w:highlight w:val="none"/>
                <w:vertAlign w:val="baseline"/>
                <w:lang w:val="en-US" w:eastAsia="zh-CN"/>
              </w:rPr>
              <w:t>区</w:t>
            </w:r>
          </w:p>
        </w:tc>
        <w:tc>
          <w:tcPr>
            <w:tcW w:w="600" w:type="pct"/>
            <w:vMerge w:val="continue"/>
            <w:noWrap w:val="0"/>
            <w:vAlign w:val="center"/>
          </w:tcPr>
          <w:p w14:paraId="61D728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p>
        </w:tc>
        <w:tc>
          <w:tcPr>
            <w:tcW w:w="731" w:type="pct"/>
            <w:noWrap w:val="0"/>
            <w:vAlign w:val="center"/>
          </w:tcPr>
          <w:p w14:paraId="6E43F435">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ZK1-3</w:t>
            </w:r>
          </w:p>
        </w:tc>
        <w:tc>
          <w:tcPr>
            <w:tcW w:w="798" w:type="pct"/>
            <w:noWrap w:val="0"/>
            <w:vAlign w:val="center"/>
          </w:tcPr>
          <w:p w14:paraId="0E9AE598">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5.6</w:t>
            </w:r>
          </w:p>
        </w:tc>
        <w:tc>
          <w:tcPr>
            <w:tcW w:w="708" w:type="pct"/>
            <w:noWrap w:val="0"/>
            <w:vAlign w:val="top"/>
          </w:tcPr>
          <w:p w14:paraId="4621567F">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cs="Times New Roman"/>
                <w:spacing w:val="-9"/>
                <w:sz w:val="21"/>
                <w:szCs w:val="21"/>
              </w:rPr>
              <w:t>11</w:t>
            </w:r>
            <w:r>
              <w:rPr>
                <w:rFonts w:hint="default" w:ascii="Times New Roman" w:hAnsi="Times New Roman" w:cs="Times New Roman"/>
                <w:spacing w:val="-8"/>
                <w:sz w:val="21"/>
                <w:szCs w:val="21"/>
              </w:rPr>
              <w:t>3.57347</w:t>
            </w:r>
            <w:r>
              <w:rPr>
                <w:rFonts w:hint="default" w:ascii="Times New Roman" w:hAnsi="Times New Roman" w:cs="Times New Roman"/>
                <w:spacing w:val="-4"/>
                <w:sz w:val="21"/>
                <w:szCs w:val="21"/>
              </w:rPr>
              <w:t>4</w:t>
            </w:r>
          </w:p>
        </w:tc>
        <w:tc>
          <w:tcPr>
            <w:tcW w:w="789" w:type="pct"/>
            <w:noWrap w:val="0"/>
            <w:vAlign w:val="center"/>
          </w:tcPr>
          <w:p w14:paraId="453E518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sz w:val="21"/>
                <w:szCs w:val="21"/>
                <w:highlight w:val="none"/>
                <w:vertAlign w:val="baseline"/>
                <w:lang w:val="en-US" w:eastAsia="zh-CN"/>
              </w:rPr>
            </w:pPr>
            <w:r>
              <w:rPr>
                <w:rFonts w:hint="default" w:ascii="Times New Roman" w:hAnsi="Times New Roman" w:cs="Times New Roman"/>
                <w:spacing w:val="-1"/>
                <w:position w:val="-1"/>
                <w:sz w:val="21"/>
                <w:szCs w:val="21"/>
              </w:rPr>
              <w:t>28</w:t>
            </w:r>
            <w:r>
              <w:rPr>
                <w:rFonts w:hint="eastAsia" w:cs="Times New Roman"/>
                <w:spacing w:val="-1"/>
                <w:position w:val="-1"/>
                <w:sz w:val="21"/>
                <w:szCs w:val="21"/>
                <w:lang w:val="en-US" w:eastAsia="zh-CN"/>
              </w:rPr>
              <w:t>.</w:t>
            </w:r>
            <w:r>
              <w:rPr>
                <w:rFonts w:hint="default" w:ascii="Times New Roman" w:hAnsi="Times New Roman" w:cs="Times New Roman"/>
                <w:spacing w:val="-1"/>
                <w:position w:val="-1"/>
                <w:sz w:val="21"/>
                <w:szCs w:val="21"/>
              </w:rPr>
              <w:t>629542</w:t>
            </w:r>
          </w:p>
        </w:tc>
        <w:tc>
          <w:tcPr>
            <w:tcW w:w="486" w:type="pct"/>
            <w:noWrap w:val="0"/>
            <w:vAlign w:val="center"/>
          </w:tcPr>
          <w:p w14:paraId="0780D8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w:t>
            </w:r>
          </w:p>
        </w:tc>
      </w:tr>
      <w:tr w14:paraId="6FDB0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4" w:type="pct"/>
            <w:vMerge w:val="continue"/>
            <w:noWrap w:val="0"/>
            <w:vAlign w:val="center"/>
          </w:tcPr>
          <w:p w14:paraId="4AF645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p>
        </w:tc>
        <w:tc>
          <w:tcPr>
            <w:tcW w:w="600" w:type="pct"/>
            <w:vMerge w:val="continue"/>
            <w:noWrap w:val="0"/>
            <w:vAlign w:val="center"/>
          </w:tcPr>
          <w:p w14:paraId="535769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p>
        </w:tc>
        <w:tc>
          <w:tcPr>
            <w:tcW w:w="731" w:type="pct"/>
            <w:noWrap w:val="0"/>
            <w:vAlign w:val="center"/>
          </w:tcPr>
          <w:p w14:paraId="42DEE12A">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ZK1-4</w:t>
            </w:r>
          </w:p>
        </w:tc>
        <w:tc>
          <w:tcPr>
            <w:tcW w:w="798" w:type="pct"/>
            <w:noWrap w:val="0"/>
            <w:vAlign w:val="center"/>
          </w:tcPr>
          <w:p w14:paraId="57D0C74F">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7.5</w:t>
            </w:r>
          </w:p>
        </w:tc>
        <w:tc>
          <w:tcPr>
            <w:tcW w:w="708" w:type="pct"/>
            <w:noWrap w:val="0"/>
            <w:vAlign w:val="top"/>
          </w:tcPr>
          <w:p w14:paraId="425892BB">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cs="Times New Roman"/>
                <w:spacing w:val="-8"/>
                <w:sz w:val="21"/>
                <w:szCs w:val="21"/>
              </w:rPr>
              <w:t>113.57342</w:t>
            </w:r>
            <w:r>
              <w:rPr>
                <w:rFonts w:hint="default" w:ascii="Times New Roman" w:hAnsi="Times New Roman" w:cs="Times New Roman"/>
                <w:spacing w:val="-7"/>
                <w:sz w:val="21"/>
                <w:szCs w:val="21"/>
              </w:rPr>
              <w:t>4</w:t>
            </w:r>
            <w:r>
              <w:rPr>
                <w:rFonts w:hint="default" w:ascii="Times New Roman" w:hAnsi="Times New Roman" w:cs="Times New Roman"/>
                <w:spacing w:val="7"/>
                <w:sz w:val="21"/>
                <w:szCs w:val="21"/>
              </w:rPr>
              <w:t xml:space="preserve"> </w:t>
            </w:r>
          </w:p>
        </w:tc>
        <w:tc>
          <w:tcPr>
            <w:tcW w:w="789" w:type="pct"/>
            <w:noWrap w:val="0"/>
            <w:vAlign w:val="center"/>
          </w:tcPr>
          <w:p w14:paraId="33C5930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sz w:val="21"/>
                <w:szCs w:val="21"/>
                <w:highlight w:val="none"/>
                <w:vertAlign w:val="baseline"/>
                <w:lang w:val="en-US" w:eastAsia="zh-CN"/>
              </w:rPr>
            </w:pPr>
            <w:r>
              <w:rPr>
                <w:rFonts w:hint="default" w:ascii="Times New Roman" w:hAnsi="Times New Roman" w:cs="Times New Roman"/>
                <w:spacing w:val="-4"/>
                <w:sz w:val="21"/>
                <w:szCs w:val="21"/>
              </w:rPr>
              <w:t>28.629453</w:t>
            </w:r>
          </w:p>
        </w:tc>
        <w:tc>
          <w:tcPr>
            <w:tcW w:w="486" w:type="pct"/>
            <w:noWrap w:val="0"/>
            <w:vAlign w:val="center"/>
          </w:tcPr>
          <w:p w14:paraId="415A56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w:t>
            </w:r>
          </w:p>
        </w:tc>
      </w:tr>
      <w:tr w14:paraId="68878F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84" w:type="pct"/>
            <w:vMerge w:val="continue"/>
            <w:noWrap w:val="0"/>
            <w:vAlign w:val="center"/>
          </w:tcPr>
          <w:p w14:paraId="690B5F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vertAlign w:val="baseline"/>
                <w:lang w:val="en-US" w:eastAsia="zh-CN"/>
              </w:rPr>
            </w:pPr>
          </w:p>
        </w:tc>
        <w:tc>
          <w:tcPr>
            <w:tcW w:w="600" w:type="pct"/>
            <w:vMerge w:val="continue"/>
            <w:noWrap w:val="0"/>
            <w:vAlign w:val="center"/>
          </w:tcPr>
          <w:p w14:paraId="56B78D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p>
        </w:tc>
        <w:tc>
          <w:tcPr>
            <w:tcW w:w="731" w:type="pct"/>
            <w:noWrap w:val="0"/>
            <w:vAlign w:val="center"/>
          </w:tcPr>
          <w:p w14:paraId="5D066643">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eastAsia"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ZK1-5</w:t>
            </w:r>
          </w:p>
        </w:tc>
        <w:tc>
          <w:tcPr>
            <w:tcW w:w="798" w:type="pct"/>
            <w:noWrap w:val="0"/>
            <w:vAlign w:val="center"/>
          </w:tcPr>
          <w:p w14:paraId="034A2B2D">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Microsoft JhengHei" w:cs="Times New Roman"/>
                <w:color w:val="auto"/>
                <w:spacing w:val="0"/>
                <w:kern w:val="2"/>
                <w:sz w:val="21"/>
                <w:szCs w:val="21"/>
                <w:lang w:val="en-US" w:eastAsia="zh-CN" w:bidi="ar-SA"/>
              </w:rPr>
            </w:pPr>
            <w:r>
              <w:rPr>
                <w:rFonts w:hint="default" w:ascii="Times New Roman" w:hAnsi="Times New Roman" w:cs="Times New Roman"/>
                <w:color w:val="auto"/>
                <w:spacing w:val="0"/>
                <w:sz w:val="21"/>
                <w:szCs w:val="21"/>
              </w:rPr>
              <w:t>7.2</w:t>
            </w:r>
          </w:p>
        </w:tc>
        <w:tc>
          <w:tcPr>
            <w:tcW w:w="708" w:type="pct"/>
            <w:noWrap w:val="0"/>
            <w:vAlign w:val="top"/>
          </w:tcPr>
          <w:p w14:paraId="0FCB945A">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napToGrid w:val="0"/>
                <w:color w:val="000000"/>
                <w:kern w:val="0"/>
                <w:sz w:val="21"/>
                <w:szCs w:val="21"/>
                <w:lang w:val="en-US" w:eastAsia="zh-CN" w:bidi="ar-SA"/>
              </w:rPr>
            </w:pPr>
            <w:r>
              <w:rPr>
                <w:rFonts w:hint="eastAsia" w:ascii="Times New Roman" w:hAnsi="Times New Roman" w:eastAsia="宋体" w:cs="Times New Roman"/>
                <w:spacing w:val="-9"/>
                <w:sz w:val="21"/>
                <w:szCs w:val="21"/>
                <w:lang w:val="en-US" w:eastAsia="zh-CN"/>
              </w:rPr>
              <w:t>1</w:t>
            </w:r>
            <w:r>
              <w:rPr>
                <w:rFonts w:hint="default" w:ascii="Times New Roman" w:hAnsi="Times New Roman" w:cs="Times New Roman"/>
                <w:spacing w:val="-8"/>
                <w:sz w:val="21"/>
                <w:szCs w:val="21"/>
              </w:rPr>
              <w:t>13.57342</w:t>
            </w:r>
            <w:r>
              <w:rPr>
                <w:rFonts w:hint="default" w:ascii="Times New Roman" w:hAnsi="Times New Roman" w:cs="Times New Roman"/>
                <w:spacing w:val="-7"/>
                <w:sz w:val="21"/>
                <w:szCs w:val="21"/>
              </w:rPr>
              <w:t>3</w:t>
            </w:r>
            <w:r>
              <w:rPr>
                <w:rFonts w:hint="default" w:ascii="Times New Roman" w:hAnsi="Times New Roman" w:cs="Times New Roman"/>
                <w:spacing w:val="10"/>
                <w:sz w:val="21"/>
                <w:szCs w:val="21"/>
              </w:rPr>
              <w:t xml:space="preserve"> </w:t>
            </w:r>
          </w:p>
        </w:tc>
        <w:tc>
          <w:tcPr>
            <w:tcW w:w="789" w:type="pct"/>
            <w:noWrap w:val="0"/>
            <w:vAlign w:val="center"/>
          </w:tcPr>
          <w:p w14:paraId="7BA228E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sz w:val="21"/>
                <w:szCs w:val="21"/>
                <w:highlight w:val="none"/>
                <w:vertAlign w:val="baseline"/>
                <w:lang w:val="en-US" w:eastAsia="zh-CN"/>
              </w:rPr>
            </w:pPr>
            <w:r>
              <w:rPr>
                <w:rFonts w:hint="default" w:ascii="Times New Roman" w:hAnsi="Times New Roman" w:cs="Times New Roman"/>
                <w:spacing w:val="-4"/>
                <w:sz w:val="21"/>
                <w:szCs w:val="21"/>
              </w:rPr>
              <w:t>28.629469</w:t>
            </w:r>
          </w:p>
        </w:tc>
        <w:tc>
          <w:tcPr>
            <w:tcW w:w="486" w:type="pct"/>
            <w:noWrap w:val="0"/>
            <w:vAlign w:val="center"/>
          </w:tcPr>
          <w:p w14:paraId="544E45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w:t>
            </w:r>
          </w:p>
        </w:tc>
      </w:tr>
    </w:tbl>
    <w:p w14:paraId="14DC05D4">
      <w:pPr>
        <w:spacing w:line="240" w:lineRule="auto"/>
        <w:ind w:left="0" w:leftChars="0" w:firstLine="0" w:firstLineChars="0"/>
        <w:jc w:val="center"/>
        <w:rPr>
          <w:sz w:val="21"/>
          <w:szCs w:val="21"/>
        </w:rPr>
      </w:pPr>
      <w:r>
        <w:rPr>
          <w:sz w:val="21"/>
          <w:szCs w:val="21"/>
        </w:rPr>
        <w:drawing>
          <wp:inline distT="0" distB="0" distL="114300" distR="114300">
            <wp:extent cx="5722620" cy="3546475"/>
            <wp:effectExtent l="0" t="0" r="11430" b="15875"/>
            <wp:docPr id="1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5"/>
                    <pic:cNvPicPr>
                      <a:picLocks noChangeAspect="1"/>
                    </pic:cNvPicPr>
                  </pic:nvPicPr>
                  <pic:blipFill>
                    <a:blip r:embed="rId54"/>
                    <a:stretch>
                      <a:fillRect/>
                    </a:stretch>
                  </pic:blipFill>
                  <pic:spPr>
                    <a:xfrm>
                      <a:off x="0" y="0"/>
                      <a:ext cx="5722620" cy="3546475"/>
                    </a:xfrm>
                    <a:prstGeom prst="rect">
                      <a:avLst/>
                    </a:prstGeom>
                    <a:noFill/>
                    <a:ln>
                      <a:noFill/>
                    </a:ln>
                  </pic:spPr>
                </pic:pic>
              </a:graphicData>
            </a:graphic>
          </wp:inline>
        </w:drawing>
      </w:r>
    </w:p>
    <w:p w14:paraId="103FD481">
      <w:pPr>
        <w:spacing w:line="240" w:lineRule="auto"/>
        <w:ind w:left="0" w:leftChars="0" w:firstLine="0" w:firstLineChars="0"/>
        <w:jc w:val="center"/>
        <w:rPr>
          <w:rFonts w:hint="default" w:eastAsia="宋体"/>
          <w:b/>
          <w:bCs/>
          <w:sz w:val="21"/>
          <w:szCs w:val="21"/>
          <w:lang w:val="en-US" w:eastAsia="zh-CN"/>
        </w:rPr>
      </w:pPr>
      <w:r>
        <w:rPr>
          <w:rFonts w:hint="eastAsia"/>
          <w:b/>
          <w:bCs/>
          <w:sz w:val="21"/>
          <w:szCs w:val="21"/>
          <w:lang w:val="en-US" w:eastAsia="zh-CN"/>
        </w:rPr>
        <w:t>图3.1-4  万古村1#废渣堆采样布点图</w:t>
      </w:r>
    </w:p>
    <w:p w14:paraId="0878829E">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表3.1-6  万古村2#废渣堆固废布点方案</w:t>
      </w:r>
    </w:p>
    <w:tbl>
      <w:tblPr>
        <w:tblStyle w:val="11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49"/>
        <w:gridCol w:w="1127"/>
        <w:gridCol w:w="1279"/>
        <w:gridCol w:w="1330"/>
        <w:gridCol w:w="1527"/>
        <w:gridCol w:w="1337"/>
        <w:gridCol w:w="893"/>
      </w:tblGrid>
      <w:tr w14:paraId="45F014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tcBorders>
              <w:tl2br w:val="nil"/>
              <w:tr2bl w:val="nil"/>
            </w:tcBorders>
            <w:noWrap w:val="0"/>
            <w:vAlign w:val="center"/>
          </w:tcPr>
          <w:p w14:paraId="459F136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区域</w:t>
            </w:r>
          </w:p>
        </w:tc>
        <w:tc>
          <w:tcPr>
            <w:tcW w:w="623" w:type="pct"/>
            <w:tcBorders>
              <w:tl2br w:val="nil"/>
              <w:tr2bl w:val="nil"/>
            </w:tcBorders>
            <w:noWrap w:val="0"/>
            <w:vAlign w:val="center"/>
          </w:tcPr>
          <w:p w14:paraId="79CE27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cs="Times New Roman"/>
                <w:b/>
                <w:bCs/>
                <w:sz w:val="21"/>
                <w:szCs w:val="21"/>
                <w:highlight w:val="none"/>
                <w:vertAlign w:val="baseline"/>
                <w:lang w:val="en-US" w:eastAsia="zh-CN"/>
              </w:rPr>
              <w:t>采样日期</w:t>
            </w:r>
          </w:p>
        </w:tc>
        <w:tc>
          <w:tcPr>
            <w:tcW w:w="707" w:type="pct"/>
            <w:tcBorders>
              <w:tl2br w:val="nil"/>
              <w:tr2bl w:val="nil"/>
            </w:tcBorders>
            <w:noWrap w:val="0"/>
            <w:vAlign w:val="center"/>
          </w:tcPr>
          <w:p w14:paraId="120B528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对应点位号</w:t>
            </w:r>
          </w:p>
        </w:tc>
        <w:tc>
          <w:tcPr>
            <w:tcW w:w="735" w:type="pct"/>
            <w:tcBorders>
              <w:tl2br w:val="nil"/>
              <w:tr2bl w:val="nil"/>
            </w:tcBorders>
            <w:noWrap w:val="0"/>
            <w:vAlign w:val="center"/>
          </w:tcPr>
          <w:p w14:paraId="13AFE7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b/>
                <w:bCs/>
                <w:snapToGrid w:val="0"/>
                <w:color w:val="auto"/>
                <w:spacing w:val="0"/>
                <w:kern w:val="0"/>
                <w:sz w:val="21"/>
                <w:szCs w:val="21"/>
                <w:lang w:val="en-US" w:eastAsia="en-US" w:bidi="ar-SA"/>
              </w:rPr>
              <w:t>采样深度</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844" w:type="pct"/>
            <w:tcBorders>
              <w:tl2br w:val="nil"/>
              <w:tr2bl w:val="nil"/>
            </w:tcBorders>
            <w:noWrap w:val="0"/>
            <w:vAlign w:val="center"/>
          </w:tcPr>
          <w:p w14:paraId="0256B3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cs="Times New Roman"/>
                <w:b/>
                <w:bCs/>
                <w:sz w:val="21"/>
                <w:szCs w:val="21"/>
                <w:highlight w:val="none"/>
                <w:vertAlign w:val="baseline"/>
                <w:lang w:val="en-US" w:eastAsia="zh-CN"/>
              </w:rPr>
              <w:t>经度（°）</w:t>
            </w:r>
          </w:p>
        </w:tc>
        <w:tc>
          <w:tcPr>
            <w:tcW w:w="739" w:type="pct"/>
            <w:tcBorders>
              <w:tl2br w:val="nil"/>
              <w:tr2bl w:val="nil"/>
            </w:tcBorders>
            <w:noWrap w:val="0"/>
            <w:vAlign w:val="center"/>
          </w:tcPr>
          <w:p w14:paraId="0C13C2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cs="Times New Roman"/>
                <w:b/>
                <w:bCs/>
                <w:sz w:val="21"/>
                <w:szCs w:val="21"/>
                <w:highlight w:val="none"/>
                <w:vertAlign w:val="baseline"/>
                <w:lang w:val="en-US" w:eastAsia="zh-CN"/>
              </w:rPr>
              <w:t>纬度（°）</w:t>
            </w:r>
          </w:p>
        </w:tc>
        <w:tc>
          <w:tcPr>
            <w:tcW w:w="493" w:type="pct"/>
            <w:tcBorders>
              <w:tl2br w:val="nil"/>
              <w:tr2bl w:val="nil"/>
            </w:tcBorders>
            <w:noWrap w:val="0"/>
            <w:vAlign w:val="center"/>
          </w:tcPr>
          <w:p w14:paraId="5B3A5CF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Arial" w:cs="Times New Roman"/>
                <w:b/>
                <w:bCs/>
                <w:snapToGrid w:val="0"/>
                <w:color w:val="auto"/>
                <w:spacing w:val="0"/>
                <w:kern w:val="0"/>
                <w:sz w:val="21"/>
                <w:szCs w:val="21"/>
                <w:highlight w:val="none"/>
                <w:vertAlign w:val="baseline"/>
                <w:lang w:val="en-US" w:eastAsia="zh-CN" w:bidi="ar-SA"/>
              </w:rPr>
            </w:pPr>
            <w:r>
              <w:rPr>
                <w:rFonts w:hint="default" w:ascii="Times New Roman" w:hAnsi="Times New Roman" w:eastAsia="Arial" w:cs="Times New Roman"/>
                <w:b/>
                <w:bCs/>
                <w:snapToGrid w:val="0"/>
                <w:color w:val="auto"/>
                <w:spacing w:val="0"/>
                <w:kern w:val="0"/>
                <w:sz w:val="21"/>
                <w:szCs w:val="21"/>
                <w:highlight w:val="none"/>
                <w:vertAlign w:val="baseline"/>
                <w:lang w:val="en-US" w:eastAsia="zh-CN"/>
              </w:rPr>
              <w:t>样品数</w:t>
            </w:r>
          </w:p>
        </w:tc>
      </w:tr>
      <w:tr w14:paraId="124DF8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restart"/>
            <w:tcBorders>
              <w:tl2br w:val="nil"/>
              <w:tr2bl w:val="nil"/>
            </w:tcBorders>
            <w:noWrap w:val="0"/>
            <w:vAlign w:val="center"/>
          </w:tcPr>
          <w:p w14:paraId="26604C8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2号废渣堆I区</w:t>
            </w:r>
          </w:p>
        </w:tc>
        <w:tc>
          <w:tcPr>
            <w:tcW w:w="623" w:type="pct"/>
            <w:vMerge w:val="restart"/>
            <w:tcBorders>
              <w:tl2br w:val="nil"/>
              <w:tr2bl w:val="nil"/>
            </w:tcBorders>
            <w:noWrap w:val="0"/>
            <w:vAlign w:val="center"/>
          </w:tcPr>
          <w:p w14:paraId="3315728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z w:val="21"/>
                <w:szCs w:val="21"/>
                <w:highlight w:val="none"/>
                <w:vertAlign w:val="baseline"/>
                <w:lang w:val="en-US" w:eastAsia="zh-CN"/>
              </w:rPr>
              <w:t>2022.6.28</w:t>
            </w:r>
          </w:p>
        </w:tc>
        <w:tc>
          <w:tcPr>
            <w:tcW w:w="707" w:type="pct"/>
            <w:tcBorders>
              <w:tl2br w:val="nil"/>
              <w:tr2bl w:val="nil"/>
            </w:tcBorders>
            <w:noWrap w:val="0"/>
            <w:vAlign w:val="center"/>
          </w:tcPr>
          <w:p w14:paraId="53E3602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ZK2-14</w:t>
            </w:r>
          </w:p>
        </w:tc>
        <w:tc>
          <w:tcPr>
            <w:tcW w:w="735" w:type="pct"/>
            <w:tcBorders>
              <w:tl2br w:val="nil"/>
              <w:tr2bl w:val="nil"/>
            </w:tcBorders>
            <w:noWrap w:val="0"/>
            <w:vAlign w:val="center"/>
          </w:tcPr>
          <w:p w14:paraId="7AF00BA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7.6</w:t>
            </w:r>
          </w:p>
        </w:tc>
        <w:tc>
          <w:tcPr>
            <w:tcW w:w="844" w:type="pct"/>
            <w:tcBorders>
              <w:tl2br w:val="nil"/>
              <w:tr2bl w:val="nil"/>
            </w:tcBorders>
            <w:noWrap w:val="0"/>
            <w:vAlign w:val="center"/>
          </w:tcPr>
          <w:p w14:paraId="636FF90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113.571886</w:t>
            </w:r>
          </w:p>
        </w:tc>
        <w:tc>
          <w:tcPr>
            <w:tcW w:w="739" w:type="pct"/>
            <w:tcBorders>
              <w:tl2br w:val="nil"/>
              <w:tr2bl w:val="nil"/>
            </w:tcBorders>
            <w:noWrap w:val="0"/>
            <w:vAlign w:val="center"/>
          </w:tcPr>
          <w:p w14:paraId="4357D0A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28.628398</w:t>
            </w:r>
          </w:p>
        </w:tc>
        <w:tc>
          <w:tcPr>
            <w:tcW w:w="493" w:type="pct"/>
            <w:tcBorders>
              <w:tl2br w:val="nil"/>
              <w:tr2bl w:val="nil"/>
            </w:tcBorders>
            <w:noWrap w:val="0"/>
            <w:vAlign w:val="center"/>
          </w:tcPr>
          <w:p w14:paraId="05DA4BF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3BD56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bottom w:val="single" w:color="auto" w:sz="4" w:space="0"/>
              <w:tl2br w:val="nil"/>
              <w:tr2bl w:val="nil"/>
            </w:tcBorders>
            <w:noWrap w:val="0"/>
            <w:vAlign w:val="center"/>
          </w:tcPr>
          <w:p w14:paraId="1D4C4C3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bottom w:val="single" w:color="auto" w:sz="4" w:space="0"/>
              <w:tl2br w:val="nil"/>
              <w:tr2bl w:val="nil"/>
            </w:tcBorders>
            <w:noWrap w:val="0"/>
            <w:vAlign w:val="center"/>
          </w:tcPr>
          <w:p w14:paraId="6AC4FAD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bottom w:val="single" w:color="auto" w:sz="4" w:space="0"/>
              <w:tl2br w:val="nil"/>
              <w:tr2bl w:val="nil"/>
            </w:tcBorders>
            <w:noWrap w:val="0"/>
            <w:vAlign w:val="center"/>
          </w:tcPr>
          <w:p w14:paraId="3D1003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ZK2-15</w:t>
            </w:r>
          </w:p>
        </w:tc>
        <w:tc>
          <w:tcPr>
            <w:tcW w:w="735" w:type="pct"/>
            <w:tcBorders>
              <w:tl2br w:val="nil"/>
              <w:tr2bl w:val="nil"/>
            </w:tcBorders>
            <w:noWrap w:val="0"/>
            <w:vAlign w:val="center"/>
          </w:tcPr>
          <w:p w14:paraId="26289FD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7.4</w:t>
            </w:r>
          </w:p>
        </w:tc>
        <w:tc>
          <w:tcPr>
            <w:tcW w:w="844" w:type="pct"/>
            <w:tcBorders>
              <w:tl2br w:val="nil"/>
              <w:tr2bl w:val="nil"/>
            </w:tcBorders>
            <w:noWrap w:val="0"/>
            <w:vAlign w:val="center"/>
          </w:tcPr>
          <w:p w14:paraId="1BBD2F9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113.571935</w:t>
            </w:r>
          </w:p>
        </w:tc>
        <w:tc>
          <w:tcPr>
            <w:tcW w:w="739" w:type="pct"/>
            <w:tcBorders>
              <w:tl2br w:val="nil"/>
              <w:tr2bl w:val="nil"/>
            </w:tcBorders>
            <w:noWrap w:val="0"/>
            <w:vAlign w:val="center"/>
          </w:tcPr>
          <w:p w14:paraId="61EC16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28.628341</w:t>
            </w:r>
          </w:p>
        </w:tc>
        <w:tc>
          <w:tcPr>
            <w:tcW w:w="493" w:type="pct"/>
            <w:tcBorders>
              <w:tl2br w:val="nil"/>
              <w:tr2bl w:val="nil"/>
            </w:tcBorders>
            <w:noWrap w:val="0"/>
            <w:vAlign w:val="center"/>
          </w:tcPr>
          <w:p w14:paraId="2F99C06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3DB536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tcBorders>
              <w:top w:val="single" w:color="auto" w:sz="4" w:space="0"/>
              <w:tl2br w:val="nil"/>
              <w:tr2bl w:val="nil"/>
            </w:tcBorders>
            <w:noWrap w:val="0"/>
            <w:vAlign w:val="center"/>
          </w:tcPr>
          <w:p w14:paraId="74542B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2号废渣堆Ⅱ区</w:t>
            </w:r>
          </w:p>
        </w:tc>
        <w:tc>
          <w:tcPr>
            <w:tcW w:w="623" w:type="pct"/>
            <w:vMerge w:val="restart"/>
            <w:tcBorders>
              <w:top w:val="single" w:color="auto" w:sz="4" w:space="0"/>
              <w:tl2br w:val="nil"/>
              <w:tr2bl w:val="nil"/>
            </w:tcBorders>
            <w:noWrap w:val="0"/>
            <w:vAlign w:val="center"/>
          </w:tcPr>
          <w:p w14:paraId="1EF1DA0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z w:val="21"/>
                <w:szCs w:val="21"/>
                <w:highlight w:val="none"/>
                <w:vertAlign w:val="baseline"/>
                <w:lang w:val="en-US" w:eastAsia="zh-CN"/>
              </w:rPr>
              <w:t>2022.6.29</w:t>
            </w:r>
          </w:p>
        </w:tc>
        <w:tc>
          <w:tcPr>
            <w:tcW w:w="707" w:type="pct"/>
            <w:tcBorders>
              <w:top w:val="single" w:color="auto" w:sz="4" w:space="0"/>
              <w:tl2br w:val="nil"/>
              <w:tr2bl w:val="nil"/>
            </w:tcBorders>
            <w:noWrap w:val="0"/>
            <w:vAlign w:val="center"/>
          </w:tcPr>
          <w:p w14:paraId="0D6A1B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ZK2-2</w:t>
            </w:r>
          </w:p>
        </w:tc>
        <w:tc>
          <w:tcPr>
            <w:tcW w:w="735" w:type="pct"/>
            <w:tcBorders>
              <w:tl2br w:val="nil"/>
              <w:tr2bl w:val="nil"/>
            </w:tcBorders>
            <w:noWrap w:val="0"/>
            <w:vAlign w:val="center"/>
          </w:tcPr>
          <w:p w14:paraId="4685961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6.7</w:t>
            </w:r>
          </w:p>
        </w:tc>
        <w:tc>
          <w:tcPr>
            <w:tcW w:w="844" w:type="pct"/>
            <w:tcBorders>
              <w:tl2br w:val="nil"/>
              <w:tr2bl w:val="nil"/>
            </w:tcBorders>
            <w:noWrap w:val="0"/>
            <w:vAlign w:val="center"/>
          </w:tcPr>
          <w:p w14:paraId="73790DF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Microsoft JhengHei" w:cs="Times New Roman"/>
                <w:spacing w:val="0"/>
                <w:kern w:val="2"/>
                <w:position w:val="0"/>
                <w:sz w:val="21"/>
                <w:szCs w:val="21"/>
                <w:lang w:val="en-US" w:eastAsia="en-US" w:bidi="ar-SA"/>
              </w:rPr>
            </w:pPr>
            <w:r>
              <w:rPr>
                <w:rFonts w:hint="default" w:ascii="Times New Roman" w:hAnsi="Times New Roman" w:eastAsia="宋体" w:cs="Times New Roman"/>
                <w:spacing w:val="0"/>
                <w:position w:val="0"/>
                <w:sz w:val="21"/>
                <w:szCs w:val="21"/>
                <w:lang w:val="en-US" w:eastAsia="zh-CN"/>
              </w:rPr>
              <w:t>113.</w:t>
            </w:r>
            <w:r>
              <w:rPr>
                <w:rFonts w:hint="default" w:ascii="Times New Roman" w:hAnsi="Times New Roman" w:cs="Times New Roman"/>
                <w:spacing w:val="0"/>
                <w:position w:val="0"/>
                <w:sz w:val="21"/>
                <w:szCs w:val="21"/>
              </w:rPr>
              <w:t>572228</w:t>
            </w:r>
          </w:p>
        </w:tc>
        <w:tc>
          <w:tcPr>
            <w:tcW w:w="739" w:type="pct"/>
            <w:tcBorders>
              <w:tl2br w:val="nil"/>
              <w:tr2bl w:val="nil"/>
            </w:tcBorders>
            <w:noWrap w:val="0"/>
            <w:vAlign w:val="center"/>
          </w:tcPr>
          <w:p w14:paraId="67AB57D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0"/>
                <w:position w:val="0"/>
                <w:sz w:val="21"/>
                <w:szCs w:val="21"/>
              </w:rPr>
              <w:t>28.628744</w:t>
            </w:r>
          </w:p>
        </w:tc>
        <w:tc>
          <w:tcPr>
            <w:tcW w:w="493" w:type="pct"/>
            <w:tcBorders>
              <w:tl2br w:val="nil"/>
              <w:tr2bl w:val="nil"/>
            </w:tcBorders>
            <w:noWrap w:val="0"/>
            <w:vAlign w:val="center"/>
          </w:tcPr>
          <w:p w14:paraId="46520E6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3BE63F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restart"/>
            <w:tcBorders>
              <w:tl2br w:val="nil"/>
              <w:tr2bl w:val="nil"/>
            </w:tcBorders>
            <w:noWrap w:val="0"/>
            <w:vAlign w:val="center"/>
          </w:tcPr>
          <w:p w14:paraId="11EFCF1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2号废渣堆Ⅲ区</w:t>
            </w:r>
          </w:p>
        </w:tc>
        <w:tc>
          <w:tcPr>
            <w:tcW w:w="623" w:type="pct"/>
            <w:vMerge w:val="continue"/>
            <w:tcBorders>
              <w:tl2br w:val="nil"/>
              <w:tr2bl w:val="nil"/>
            </w:tcBorders>
            <w:noWrap w:val="0"/>
            <w:vAlign w:val="center"/>
          </w:tcPr>
          <w:p w14:paraId="21B803C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543CA99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ZK2-3</w:t>
            </w:r>
          </w:p>
        </w:tc>
        <w:tc>
          <w:tcPr>
            <w:tcW w:w="735" w:type="pct"/>
            <w:tcBorders>
              <w:tl2br w:val="nil"/>
              <w:tr2bl w:val="nil"/>
            </w:tcBorders>
            <w:noWrap w:val="0"/>
            <w:vAlign w:val="center"/>
          </w:tcPr>
          <w:p w14:paraId="1AD74C0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8.8</w:t>
            </w:r>
          </w:p>
        </w:tc>
        <w:tc>
          <w:tcPr>
            <w:tcW w:w="844" w:type="pct"/>
            <w:tcBorders>
              <w:tl2br w:val="nil"/>
              <w:tr2bl w:val="nil"/>
            </w:tcBorders>
            <w:noWrap w:val="0"/>
            <w:vAlign w:val="center"/>
          </w:tcPr>
          <w:p w14:paraId="0FDF177C">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Microsoft JhengHei" w:cs="Times New Roman"/>
                <w:spacing w:val="0"/>
                <w:kern w:val="2"/>
                <w:position w:val="0"/>
                <w:sz w:val="21"/>
                <w:szCs w:val="21"/>
                <w:lang w:val="en-US" w:eastAsia="en-US" w:bidi="ar-SA"/>
              </w:rPr>
            </w:pPr>
            <w:r>
              <w:rPr>
                <w:rFonts w:hint="default" w:ascii="Times New Roman" w:hAnsi="Times New Roman" w:eastAsia="宋体" w:cs="Times New Roman"/>
                <w:spacing w:val="0"/>
                <w:position w:val="0"/>
                <w:sz w:val="21"/>
                <w:szCs w:val="21"/>
                <w:lang w:val="en-US" w:eastAsia="zh-CN"/>
              </w:rPr>
              <w:t>113</w:t>
            </w:r>
            <w:r>
              <w:rPr>
                <w:rFonts w:hint="default" w:ascii="Times New Roman" w:hAnsi="Times New Roman" w:cs="Times New Roman"/>
                <w:spacing w:val="0"/>
                <w:position w:val="0"/>
                <w:sz w:val="21"/>
                <w:szCs w:val="21"/>
              </w:rPr>
              <w:t>.572178</w:t>
            </w:r>
          </w:p>
        </w:tc>
        <w:tc>
          <w:tcPr>
            <w:tcW w:w="739" w:type="pct"/>
            <w:tcBorders>
              <w:tl2br w:val="nil"/>
              <w:tr2bl w:val="nil"/>
            </w:tcBorders>
            <w:noWrap w:val="0"/>
            <w:vAlign w:val="center"/>
          </w:tcPr>
          <w:p w14:paraId="350E204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0"/>
                <w:position w:val="0"/>
                <w:sz w:val="21"/>
                <w:szCs w:val="21"/>
              </w:rPr>
              <w:t>28.628831</w:t>
            </w:r>
          </w:p>
        </w:tc>
        <w:tc>
          <w:tcPr>
            <w:tcW w:w="493" w:type="pct"/>
            <w:tcBorders>
              <w:tl2br w:val="nil"/>
              <w:tr2bl w:val="nil"/>
            </w:tcBorders>
            <w:noWrap w:val="0"/>
            <w:vAlign w:val="center"/>
          </w:tcPr>
          <w:p w14:paraId="77CF2D2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02955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22E489D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35DAEC2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14986B6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ZK2-4</w:t>
            </w:r>
          </w:p>
        </w:tc>
        <w:tc>
          <w:tcPr>
            <w:tcW w:w="735" w:type="pct"/>
            <w:tcBorders>
              <w:tl2br w:val="nil"/>
              <w:tr2bl w:val="nil"/>
            </w:tcBorders>
            <w:noWrap w:val="0"/>
            <w:vAlign w:val="center"/>
          </w:tcPr>
          <w:p w14:paraId="0ECB237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7.1</w:t>
            </w:r>
          </w:p>
        </w:tc>
        <w:tc>
          <w:tcPr>
            <w:tcW w:w="844" w:type="pct"/>
            <w:tcBorders>
              <w:tl2br w:val="nil"/>
              <w:tr2bl w:val="nil"/>
            </w:tcBorders>
            <w:noWrap w:val="0"/>
            <w:vAlign w:val="center"/>
          </w:tcPr>
          <w:p w14:paraId="1BE23F6D">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Microsoft JhengHei" w:cs="Times New Roman"/>
                <w:spacing w:val="0"/>
                <w:kern w:val="2"/>
                <w:position w:val="0"/>
                <w:sz w:val="21"/>
                <w:szCs w:val="21"/>
                <w:lang w:val="en-US" w:eastAsia="en-US" w:bidi="ar-SA"/>
              </w:rPr>
            </w:pPr>
            <w:r>
              <w:rPr>
                <w:rFonts w:hint="default" w:ascii="Times New Roman" w:hAnsi="Times New Roman" w:cs="Times New Roman"/>
                <w:spacing w:val="0"/>
                <w:position w:val="0"/>
                <w:sz w:val="21"/>
                <w:szCs w:val="21"/>
              </w:rPr>
              <w:t>113.572102</w:t>
            </w:r>
          </w:p>
        </w:tc>
        <w:tc>
          <w:tcPr>
            <w:tcW w:w="739" w:type="pct"/>
            <w:tcBorders>
              <w:tl2br w:val="nil"/>
              <w:tr2bl w:val="nil"/>
            </w:tcBorders>
            <w:noWrap w:val="0"/>
            <w:vAlign w:val="center"/>
          </w:tcPr>
          <w:p w14:paraId="5DFD253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0"/>
                <w:position w:val="0"/>
                <w:sz w:val="21"/>
                <w:szCs w:val="21"/>
              </w:rPr>
              <w:t>28</w:t>
            </w:r>
            <w:r>
              <w:rPr>
                <w:rFonts w:hint="default" w:ascii="Times New Roman" w:hAnsi="Times New Roman" w:cs="Times New Roman"/>
                <w:spacing w:val="0"/>
                <w:position w:val="0"/>
                <w:sz w:val="21"/>
                <w:szCs w:val="21"/>
                <w:lang w:val="en-US" w:eastAsia="zh-CN"/>
              </w:rPr>
              <w:t>.</w:t>
            </w:r>
            <w:r>
              <w:rPr>
                <w:rFonts w:hint="default" w:ascii="Times New Roman" w:hAnsi="Times New Roman" w:cs="Times New Roman"/>
                <w:spacing w:val="0"/>
                <w:position w:val="0"/>
                <w:sz w:val="21"/>
                <w:szCs w:val="21"/>
              </w:rPr>
              <w:t>628759</w:t>
            </w:r>
          </w:p>
        </w:tc>
        <w:tc>
          <w:tcPr>
            <w:tcW w:w="493" w:type="pct"/>
            <w:tcBorders>
              <w:tl2br w:val="nil"/>
              <w:tr2bl w:val="nil"/>
            </w:tcBorders>
            <w:noWrap w:val="0"/>
            <w:vAlign w:val="center"/>
          </w:tcPr>
          <w:p w14:paraId="3B7317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F0AD1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4C7B37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013C844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113E201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ZK2-5</w:t>
            </w:r>
          </w:p>
        </w:tc>
        <w:tc>
          <w:tcPr>
            <w:tcW w:w="735" w:type="pct"/>
            <w:tcBorders>
              <w:tl2br w:val="nil"/>
              <w:tr2bl w:val="nil"/>
            </w:tcBorders>
            <w:noWrap w:val="0"/>
            <w:vAlign w:val="center"/>
          </w:tcPr>
          <w:p w14:paraId="256A270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5.9</w:t>
            </w:r>
          </w:p>
        </w:tc>
        <w:tc>
          <w:tcPr>
            <w:tcW w:w="844" w:type="pct"/>
            <w:tcBorders>
              <w:tl2br w:val="nil"/>
              <w:tr2bl w:val="nil"/>
            </w:tcBorders>
            <w:noWrap w:val="0"/>
            <w:vAlign w:val="center"/>
          </w:tcPr>
          <w:p w14:paraId="691040AD">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Microsoft JhengHei" w:cs="Times New Roman"/>
                <w:spacing w:val="0"/>
                <w:kern w:val="2"/>
                <w:position w:val="0"/>
                <w:sz w:val="21"/>
                <w:szCs w:val="21"/>
                <w:lang w:val="en-US" w:eastAsia="en-US" w:bidi="ar-SA"/>
              </w:rPr>
            </w:pPr>
            <w:r>
              <w:rPr>
                <w:rFonts w:hint="default" w:ascii="Times New Roman" w:hAnsi="Times New Roman" w:cs="Times New Roman"/>
                <w:spacing w:val="0"/>
                <w:position w:val="0"/>
                <w:sz w:val="21"/>
                <w:szCs w:val="21"/>
              </w:rPr>
              <w:t>113.572148</w:t>
            </w:r>
          </w:p>
        </w:tc>
        <w:tc>
          <w:tcPr>
            <w:tcW w:w="739" w:type="pct"/>
            <w:tcBorders>
              <w:tl2br w:val="nil"/>
              <w:tr2bl w:val="nil"/>
            </w:tcBorders>
            <w:noWrap w:val="0"/>
            <w:vAlign w:val="center"/>
          </w:tcPr>
          <w:p w14:paraId="4DC055C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0"/>
                <w:position w:val="0"/>
                <w:sz w:val="21"/>
                <w:szCs w:val="21"/>
              </w:rPr>
              <w:t>28</w:t>
            </w:r>
            <w:r>
              <w:rPr>
                <w:rFonts w:hint="default" w:ascii="Times New Roman" w:hAnsi="Times New Roman" w:cs="Times New Roman"/>
                <w:spacing w:val="0"/>
                <w:position w:val="0"/>
                <w:sz w:val="21"/>
                <w:szCs w:val="21"/>
                <w:lang w:val="en-US" w:eastAsia="zh-CN"/>
              </w:rPr>
              <w:t>.</w:t>
            </w:r>
            <w:r>
              <w:rPr>
                <w:rFonts w:hint="default" w:ascii="Times New Roman" w:hAnsi="Times New Roman" w:cs="Times New Roman"/>
                <w:spacing w:val="0"/>
                <w:position w:val="0"/>
                <w:sz w:val="21"/>
                <w:szCs w:val="21"/>
              </w:rPr>
              <w:t>628882</w:t>
            </w:r>
          </w:p>
        </w:tc>
        <w:tc>
          <w:tcPr>
            <w:tcW w:w="493" w:type="pct"/>
            <w:tcBorders>
              <w:tl2br w:val="nil"/>
              <w:tr2bl w:val="nil"/>
            </w:tcBorders>
            <w:noWrap w:val="0"/>
            <w:vAlign w:val="center"/>
          </w:tcPr>
          <w:p w14:paraId="4E48035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5BDEEB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587895F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76B9FEC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0DF3744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ZK2-6</w:t>
            </w:r>
          </w:p>
        </w:tc>
        <w:tc>
          <w:tcPr>
            <w:tcW w:w="735" w:type="pct"/>
            <w:tcBorders>
              <w:tl2br w:val="nil"/>
              <w:tr2bl w:val="nil"/>
            </w:tcBorders>
            <w:noWrap w:val="0"/>
            <w:vAlign w:val="center"/>
          </w:tcPr>
          <w:p w14:paraId="60A533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10.1</w:t>
            </w:r>
          </w:p>
        </w:tc>
        <w:tc>
          <w:tcPr>
            <w:tcW w:w="844" w:type="pct"/>
            <w:tcBorders>
              <w:tl2br w:val="nil"/>
              <w:tr2bl w:val="nil"/>
            </w:tcBorders>
            <w:noWrap w:val="0"/>
            <w:vAlign w:val="center"/>
          </w:tcPr>
          <w:p w14:paraId="14E546D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Microsoft JhengHei" w:cs="Times New Roman"/>
                <w:spacing w:val="0"/>
                <w:kern w:val="2"/>
                <w:position w:val="0"/>
                <w:sz w:val="21"/>
                <w:szCs w:val="21"/>
                <w:lang w:val="en-US" w:eastAsia="en-US" w:bidi="ar-SA"/>
              </w:rPr>
            </w:pPr>
            <w:r>
              <w:rPr>
                <w:rFonts w:hint="default" w:ascii="Times New Roman" w:hAnsi="Times New Roman" w:cs="Times New Roman"/>
                <w:spacing w:val="0"/>
                <w:position w:val="0"/>
                <w:sz w:val="21"/>
                <w:szCs w:val="21"/>
              </w:rPr>
              <w:t>113.572019</w:t>
            </w:r>
          </w:p>
        </w:tc>
        <w:tc>
          <w:tcPr>
            <w:tcW w:w="739" w:type="pct"/>
            <w:tcBorders>
              <w:tl2br w:val="nil"/>
              <w:tr2bl w:val="nil"/>
            </w:tcBorders>
            <w:noWrap w:val="0"/>
            <w:vAlign w:val="center"/>
          </w:tcPr>
          <w:p w14:paraId="544C5F9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0"/>
                <w:position w:val="0"/>
                <w:sz w:val="21"/>
                <w:szCs w:val="21"/>
              </w:rPr>
              <w:t>2</w:t>
            </w:r>
            <w:r>
              <w:rPr>
                <w:rFonts w:hint="default" w:ascii="Times New Roman" w:hAnsi="Times New Roman" w:cs="Times New Roman"/>
                <w:spacing w:val="0"/>
                <w:position w:val="0"/>
                <w:sz w:val="21"/>
                <w:szCs w:val="21"/>
                <w:lang w:val="en-US" w:eastAsia="zh-CN"/>
              </w:rPr>
              <w:t>8.</w:t>
            </w:r>
            <w:r>
              <w:rPr>
                <w:rFonts w:hint="default" w:ascii="Times New Roman" w:hAnsi="Times New Roman" w:cs="Times New Roman"/>
                <w:spacing w:val="0"/>
                <w:position w:val="0"/>
                <w:sz w:val="21"/>
                <w:szCs w:val="21"/>
              </w:rPr>
              <w:t>628702</w:t>
            </w:r>
          </w:p>
        </w:tc>
        <w:tc>
          <w:tcPr>
            <w:tcW w:w="493" w:type="pct"/>
            <w:tcBorders>
              <w:tl2br w:val="nil"/>
              <w:tr2bl w:val="nil"/>
            </w:tcBorders>
            <w:noWrap w:val="0"/>
            <w:vAlign w:val="center"/>
          </w:tcPr>
          <w:p w14:paraId="7DBC99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C693C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7A78D47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1E11E92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04DC089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ZK2-7</w:t>
            </w:r>
          </w:p>
        </w:tc>
        <w:tc>
          <w:tcPr>
            <w:tcW w:w="735" w:type="pct"/>
            <w:tcBorders>
              <w:tl2br w:val="nil"/>
              <w:tr2bl w:val="nil"/>
            </w:tcBorders>
            <w:noWrap w:val="0"/>
            <w:vAlign w:val="center"/>
          </w:tcPr>
          <w:p w14:paraId="1B63137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6.9</w:t>
            </w:r>
          </w:p>
        </w:tc>
        <w:tc>
          <w:tcPr>
            <w:tcW w:w="844" w:type="pct"/>
            <w:tcBorders>
              <w:tl2br w:val="nil"/>
              <w:tr2bl w:val="nil"/>
            </w:tcBorders>
            <w:noWrap w:val="0"/>
            <w:vAlign w:val="center"/>
          </w:tcPr>
          <w:p w14:paraId="01D20432">
            <w:pPr>
              <w:pStyle w:val="19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Microsoft JhengHei" w:cs="Times New Roman"/>
                <w:spacing w:val="0"/>
                <w:kern w:val="2"/>
                <w:position w:val="0"/>
                <w:sz w:val="21"/>
                <w:szCs w:val="21"/>
                <w:lang w:val="en-US" w:eastAsia="en-US" w:bidi="ar-SA"/>
              </w:rPr>
            </w:pPr>
            <w:r>
              <w:rPr>
                <w:rFonts w:hint="default" w:ascii="Times New Roman" w:hAnsi="Times New Roman" w:cs="Times New Roman"/>
                <w:spacing w:val="0"/>
                <w:position w:val="0"/>
                <w:sz w:val="21"/>
                <w:szCs w:val="21"/>
              </w:rPr>
              <w:t>113.571952</w:t>
            </w:r>
          </w:p>
        </w:tc>
        <w:tc>
          <w:tcPr>
            <w:tcW w:w="739" w:type="pct"/>
            <w:tcBorders>
              <w:tl2br w:val="nil"/>
              <w:tr2bl w:val="nil"/>
            </w:tcBorders>
            <w:noWrap w:val="0"/>
            <w:vAlign w:val="center"/>
          </w:tcPr>
          <w:p w14:paraId="309F0E5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0"/>
                <w:position w:val="0"/>
                <w:sz w:val="21"/>
                <w:szCs w:val="21"/>
              </w:rPr>
              <w:t>28.628676</w:t>
            </w:r>
          </w:p>
        </w:tc>
        <w:tc>
          <w:tcPr>
            <w:tcW w:w="493" w:type="pct"/>
            <w:tcBorders>
              <w:tl2br w:val="nil"/>
              <w:tr2bl w:val="nil"/>
            </w:tcBorders>
            <w:noWrap w:val="0"/>
            <w:vAlign w:val="center"/>
          </w:tcPr>
          <w:p w14:paraId="61343A6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722C6C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3C3F713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39822B7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68328C4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ZK2-8</w:t>
            </w:r>
          </w:p>
        </w:tc>
        <w:tc>
          <w:tcPr>
            <w:tcW w:w="735" w:type="pct"/>
            <w:tcBorders>
              <w:tl2br w:val="nil"/>
              <w:tr2bl w:val="nil"/>
            </w:tcBorders>
            <w:noWrap w:val="0"/>
            <w:vAlign w:val="center"/>
          </w:tcPr>
          <w:p w14:paraId="6F2689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7.7</w:t>
            </w:r>
          </w:p>
        </w:tc>
        <w:tc>
          <w:tcPr>
            <w:tcW w:w="844" w:type="pct"/>
            <w:tcBorders>
              <w:tl2br w:val="nil"/>
              <w:tr2bl w:val="nil"/>
            </w:tcBorders>
            <w:noWrap w:val="0"/>
            <w:vAlign w:val="center"/>
          </w:tcPr>
          <w:p w14:paraId="731E85E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113.571854</w:t>
            </w:r>
          </w:p>
        </w:tc>
        <w:tc>
          <w:tcPr>
            <w:tcW w:w="739" w:type="pct"/>
            <w:tcBorders>
              <w:tl2br w:val="nil"/>
              <w:tr2bl w:val="nil"/>
            </w:tcBorders>
            <w:noWrap w:val="0"/>
            <w:vAlign w:val="center"/>
          </w:tcPr>
          <w:p w14:paraId="3E80B7F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28.628722</w:t>
            </w:r>
          </w:p>
        </w:tc>
        <w:tc>
          <w:tcPr>
            <w:tcW w:w="493" w:type="pct"/>
            <w:tcBorders>
              <w:tl2br w:val="nil"/>
              <w:tr2bl w:val="nil"/>
            </w:tcBorders>
            <w:noWrap w:val="0"/>
            <w:vAlign w:val="center"/>
          </w:tcPr>
          <w:p w14:paraId="4674C17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020FE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779F0AE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39B7279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bottom w:val="single" w:color="auto" w:sz="4" w:space="0"/>
              <w:tl2br w:val="nil"/>
              <w:tr2bl w:val="nil"/>
            </w:tcBorders>
            <w:noWrap w:val="0"/>
            <w:vAlign w:val="center"/>
          </w:tcPr>
          <w:p w14:paraId="3865799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ZK2-9</w:t>
            </w:r>
          </w:p>
        </w:tc>
        <w:tc>
          <w:tcPr>
            <w:tcW w:w="735" w:type="pct"/>
            <w:tcBorders>
              <w:tl2br w:val="nil"/>
              <w:tr2bl w:val="nil"/>
            </w:tcBorders>
            <w:noWrap w:val="0"/>
            <w:vAlign w:val="center"/>
          </w:tcPr>
          <w:p w14:paraId="28B7552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6.4</w:t>
            </w:r>
          </w:p>
        </w:tc>
        <w:tc>
          <w:tcPr>
            <w:tcW w:w="844" w:type="pct"/>
            <w:tcBorders>
              <w:tl2br w:val="nil"/>
              <w:tr2bl w:val="nil"/>
            </w:tcBorders>
            <w:noWrap w:val="0"/>
            <w:vAlign w:val="center"/>
          </w:tcPr>
          <w:p w14:paraId="53B4FC1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113.571606</w:t>
            </w:r>
          </w:p>
        </w:tc>
        <w:tc>
          <w:tcPr>
            <w:tcW w:w="739" w:type="pct"/>
            <w:tcBorders>
              <w:tl2br w:val="nil"/>
              <w:tr2bl w:val="nil"/>
            </w:tcBorders>
            <w:noWrap w:val="0"/>
            <w:vAlign w:val="center"/>
          </w:tcPr>
          <w:p w14:paraId="6D5343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28.628752</w:t>
            </w:r>
          </w:p>
        </w:tc>
        <w:tc>
          <w:tcPr>
            <w:tcW w:w="493" w:type="pct"/>
            <w:tcBorders>
              <w:tl2br w:val="nil"/>
              <w:tr2bl w:val="nil"/>
            </w:tcBorders>
            <w:noWrap w:val="0"/>
            <w:vAlign w:val="center"/>
          </w:tcPr>
          <w:p w14:paraId="083E0F2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6CC736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21D1AB1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bottom w:val="single" w:color="auto" w:sz="4" w:space="0"/>
              <w:tl2br w:val="nil"/>
              <w:tr2bl w:val="nil"/>
            </w:tcBorders>
            <w:noWrap w:val="0"/>
            <w:vAlign w:val="center"/>
          </w:tcPr>
          <w:p w14:paraId="2B0419C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op w:val="single" w:color="auto" w:sz="4" w:space="0"/>
              <w:bottom w:val="single" w:color="auto" w:sz="4" w:space="0"/>
              <w:tl2br w:val="nil"/>
              <w:tr2bl w:val="nil"/>
            </w:tcBorders>
            <w:noWrap w:val="0"/>
            <w:vAlign w:val="center"/>
          </w:tcPr>
          <w:p w14:paraId="72FF5F1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ZK2-12</w:t>
            </w:r>
          </w:p>
        </w:tc>
        <w:tc>
          <w:tcPr>
            <w:tcW w:w="735" w:type="pct"/>
            <w:tcBorders>
              <w:tl2br w:val="nil"/>
              <w:tr2bl w:val="nil"/>
            </w:tcBorders>
            <w:noWrap w:val="0"/>
            <w:vAlign w:val="center"/>
          </w:tcPr>
          <w:p w14:paraId="305CCB0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6.7</w:t>
            </w:r>
          </w:p>
        </w:tc>
        <w:tc>
          <w:tcPr>
            <w:tcW w:w="844" w:type="pct"/>
            <w:tcBorders>
              <w:tl2br w:val="nil"/>
              <w:tr2bl w:val="nil"/>
            </w:tcBorders>
            <w:noWrap w:val="0"/>
            <w:vAlign w:val="center"/>
          </w:tcPr>
          <w:p w14:paraId="6A254C9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113.571857</w:t>
            </w:r>
          </w:p>
        </w:tc>
        <w:tc>
          <w:tcPr>
            <w:tcW w:w="739" w:type="pct"/>
            <w:tcBorders>
              <w:tl2br w:val="nil"/>
              <w:tr2bl w:val="nil"/>
            </w:tcBorders>
            <w:noWrap w:val="0"/>
            <w:vAlign w:val="center"/>
          </w:tcPr>
          <w:p w14:paraId="30D5F2D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28.628523</w:t>
            </w:r>
          </w:p>
        </w:tc>
        <w:tc>
          <w:tcPr>
            <w:tcW w:w="493" w:type="pct"/>
            <w:tcBorders>
              <w:tl2br w:val="nil"/>
              <w:tr2bl w:val="nil"/>
            </w:tcBorders>
            <w:noWrap w:val="0"/>
            <w:vAlign w:val="center"/>
          </w:tcPr>
          <w:p w14:paraId="70A4BFE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F782B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7E9B884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restart"/>
            <w:tcBorders>
              <w:top w:val="single" w:color="auto" w:sz="4" w:space="0"/>
              <w:tl2br w:val="nil"/>
              <w:tr2bl w:val="nil"/>
            </w:tcBorders>
            <w:noWrap w:val="0"/>
            <w:vAlign w:val="center"/>
          </w:tcPr>
          <w:p w14:paraId="00B295D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z w:val="21"/>
                <w:szCs w:val="21"/>
                <w:highlight w:val="none"/>
                <w:vertAlign w:val="baseline"/>
                <w:lang w:val="en-US" w:eastAsia="zh-CN"/>
              </w:rPr>
              <w:t>2022.6.28</w:t>
            </w:r>
          </w:p>
        </w:tc>
        <w:tc>
          <w:tcPr>
            <w:tcW w:w="707" w:type="pct"/>
            <w:tcBorders>
              <w:top w:val="single" w:color="auto" w:sz="4" w:space="0"/>
              <w:bottom w:val="single" w:color="auto" w:sz="4" w:space="0"/>
              <w:tl2br w:val="nil"/>
              <w:tr2bl w:val="nil"/>
            </w:tcBorders>
            <w:noWrap w:val="0"/>
            <w:vAlign w:val="center"/>
          </w:tcPr>
          <w:p w14:paraId="36F76D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ZK2-16</w:t>
            </w:r>
          </w:p>
        </w:tc>
        <w:tc>
          <w:tcPr>
            <w:tcW w:w="735" w:type="pct"/>
            <w:tcBorders>
              <w:tl2br w:val="nil"/>
              <w:tr2bl w:val="nil"/>
            </w:tcBorders>
            <w:noWrap w:val="0"/>
            <w:vAlign w:val="center"/>
          </w:tcPr>
          <w:p w14:paraId="00A0C04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5.0</w:t>
            </w:r>
          </w:p>
        </w:tc>
        <w:tc>
          <w:tcPr>
            <w:tcW w:w="844" w:type="pct"/>
            <w:tcBorders>
              <w:tl2br w:val="nil"/>
              <w:tr2bl w:val="nil"/>
            </w:tcBorders>
            <w:noWrap w:val="0"/>
            <w:vAlign w:val="center"/>
          </w:tcPr>
          <w:p w14:paraId="4482B45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113.571937</w:t>
            </w:r>
          </w:p>
        </w:tc>
        <w:tc>
          <w:tcPr>
            <w:tcW w:w="739" w:type="pct"/>
            <w:tcBorders>
              <w:tl2br w:val="nil"/>
              <w:tr2bl w:val="nil"/>
            </w:tcBorders>
            <w:noWrap w:val="0"/>
            <w:vAlign w:val="center"/>
          </w:tcPr>
          <w:p w14:paraId="0BA5470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28.628145</w:t>
            </w:r>
          </w:p>
        </w:tc>
        <w:tc>
          <w:tcPr>
            <w:tcW w:w="493" w:type="pct"/>
            <w:tcBorders>
              <w:tl2br w:val="nil"/>
              <w:tr2bl w:val="nil"/>
            </w:tcBorders>
            <w:noWrap w:val="0"/>
            <w:vAlign w:val="center"/>
          </w:tcPr>
          <w:p w14:paraId="3C611E1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7ACF3A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7D7EFEC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5F9A11C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op w:val="single" w:color="auto" w:sz="4" w:space="0"/>
              <w:bottom w:val="single" w:color="auto" w:sz="4" w:space="0"/>
              <w:tl2br w:val="nil"/>
              <w:tr2bl w:val="nil"/>
            </w:tcBorders>
            <w:noWrap w:val="0"/>
            <w:vAlign w:val="center"/>
          </w:tcPr>
          <w:p w14:paraId="7F9D57A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ZK2-17</w:t>
            </w:r>
          </w:p>
        </w:tc>
        <w:tc>
          <w:tcPr>
            <w:tcW w:w="735" w:type="pct"/>
            <w:tcBorders>
              <w:tl2br w:val="nil"/>
              <w:tr2bl w:val="nil"/>
            </w:tcBorders>
            <w:noWrap w:val="0"/>
            <w:vAlign w:val="center"/>
          </w:tcPr>
          <w:p w14:paraId="150B2BF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5.8</w:t>
            </w:r>
          </w:p>
        </w:tc>
        <w:tc>
          <w:tcPr>
            <w:tcW w:w="844" w:type="pct"/>
            <w:tcBorders>
              <w:tl2br w:val="nil"/>
              <w:tr2bl w:val="nil"/>
            </w:tcBorders>
            <w:noWrap w:val="0"/>
            <w:vAlign w:val="center"/>
          </w:tcPr>
          <w:p w14:paraId="4E5F43E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113.571986</w:t>
            </w:r>
          </w:p>
        </w:tc>
        <w:tc>
          <w:tcPr>
            <w:tcW w:w="739" w:type="pct"/>
            <w:tcBorders>
              <w:tl2br w:val="nil"/>
              <w:tr2bl w:val="nil"/>
            </w:tcBorders>
            <w:noWrap w:val="0"/>
            <w:vAlign w:val="center"/>
          </w:tcPr>
          <w:p w14:paraId="697257D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28.628157</w:t>
            </w:r>
          </w:p>
        </w:tc>
        <w:tc>
          <w:tcPr>
            <w:tcW w:w="493" w:type="pct"/>
            <w:tcBorders>
              <w:tl2br w:val="nil"/>
              <w:tr2bl w:val="nil"/>
            </w:tcBorders>
            <w:noWrap w:val="0"/>
            <w:vAlign w:val="center"/>
          </w:tcPr>
          <w:p w14:paraId="4315CF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1B1B80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70EE4AF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78441E0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op w:val="single" w:color="auto" w:sz="4" w:space="0"/>
              <w:tl2br w:val="nil"/>
              <w:tr2bl w:val="nil"/>
            </w:tcBorders>
            <w:noWrap w:val="0"/>
            <w:vAlign w:val="center"/>
          </w:tcPr>
          <w:p w14:paraId="67150E7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ZK2-18</w:t>
            </w:r>
          </w:p>
        </w:tc>
        <w:tc>
          <w:tcPr>
            <w:tcW w:w="735" w:type="pct"/>
            <w:tcBorders>
              <w:tl2br w:val="nil"/>
              <w:tr2bl w:val="nil"/>
            </w:tcBorders>
            <w:noWrap w:val="0"/>
            <w:vAlign w:val="center"/>
          </w:tcPr>
          <w:p w14:paraId="04F9CE4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5.1</w:t>
            </w:r>
          </w:p>
        </w:tc>
        <w:tc>
          <w:tcPr>
            <w:tcW w:w="844" w:type="pct"/>
            <w:tcBorders>
              <w:tl2br w:val="nil"/>
              <w:tr2bl w:val="nil"/>
            </w:tcBorders>
            <w:noWrap w:val="0"/>
            <w:vAlign w:val="center"/>
          </w:tcPr>
          <w:p w14:paraId="30BDD92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113.571915</w:t>
            </w:r>
          </w:p>
        </w:tc>
        <w:tc>
          <w:tcPr>
            <w:tcW w:w="739" w:type="pct"/>
            <w:tcBorders>
              <w:tl2br w:val="nil"/>
              <w:tr2bl w:val="nil"/>
            </w:tcBorders>
            <w:noWrap w:val="0"/>
            <w:vAlign w:val="center"/>
          </w:tcPr>
          <w:p w14:paraId="2702EDD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28.628200</w:t>
            </w:r>
          </w:p>
        </w:tc>
        <w:tc>
          <w:tcPr>
            <w:tcW w:w="493" w:type="pct"/>
            <w:tcBorders>
              <w:tl2br w:val="nil"/>
              <w:tr2bl w:val="nil"/>
            </w:tcBorders>
            <w:noWrap w:val="0"/>
            <w:vAlign w:val="center"/>
          </w:tcPr>
          <w:p w14:paraId="4FB3E2D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094F46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vMerge w:val="continue"/>
            <w:tcBorders>
              <w:tl2br w:val="nil"/>
              <w:tr2bl w:val="nil"/>
            </w:tcBorders>
            <w:noWrap w:val="0"/>
            <w:vAlign w:val="center"/>
          </w:tcPr>
          <w:p w14:paraId="1194660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623" w:type="pct"/>
            <w:vMerge w:val="continue"/>
            <w:tcBorders>
              <w:tl2br w:val="nil"/>
              <w:tr2bl w:val="nil"/>
            </w:tcBorders>
            <w:noWrap w:val="0"/>
            <w:vAlign w:val="center"/>
          </w:tcPr>
          <w:p w14:paraId="4A06126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1F1A7D8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ZK2-19</w:t>
            </w:r>
          </w:p>
        </w:tc>
        <w:tc>
          <w:tcPr>
            <w:tcW w:w="735" w:type="pct"/>
            <w:tcBorders>
              <w:tl2br w:val="nil"/>
              <w:tr2bl w:val="nil"/>
            </w:tcBorders>
            <w:noWrap w:val="0"/>
            <w:vAlign w:val="center"/>
          </w:tcPr>
          <w:p w14:paraId="2ED5BFC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7.6</w:t>
            </w:r>
          </w:p>
        </w:tc>
        <w:tc>
          <w:tcPr>
            <w:tcW w:w="844" w:type="pct"/>
            <w:tcBorders>
              <w:tl2br w:val="nil"/>
              <w:tr2bl w:val="nil"/>
            </w:tcBorders>
            <w:noWrap w:val="0"/>
            <w:vAlign w:val="center"/>
          </w:tcPr>
          <w:p w14:paraId="72389CB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113.572337</w:t>
            </w:r>
          </w:p>
        </w:tc>
        <w:tc>
          <w:tcPr>
            <w:tcW w:w="739" w:type="pct"/>
            <w:tcBorders>
              <w:tl2br w:val="nil"/>
              <w:tr2bl w:val="nil"/>
            </w:tcBorders>
            <w:noWrap w:val="0"/>
            <w:vAlign w:val="center"/>
          </w:tcPr>
          <w:p w14:paraId="57E6A6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28.627930</w:t>
            </w:r>
          </w:p>
        </w:tc>
        <w:tc>
          <w:tcPr>
            <w:tcW w:w="493" w:type="pct"/>
            <w:tcBorders>
              <w:tl2br w:val="nil"/>
              <w:tr2bl w:val="nil"/>
            </w:tcBorders>
            <w:noWrap w:val="0"/>
            <w:vAlign w:val="center"/>
          </w:tcPr>
          <w:p w14:paraId="30470A2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6619B5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tcBorders>
              <w:tl2br w:val="nil"/>
              <w:tr2bl w:val="nil"/>
            </w:tcBorders>
            <w:noWrap w:val="0"/>
            <w:vAlign w:val="center"/>
          </w:tcPr>
          <w:p w14:paraId="577992C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2号废渣堆</w:t>
            </w:r>
            <w:r>
              <w:rPr>
                <w:rFonts w:hint="default" w:ascii="Times New Roman" w:hAnsi="Times New Roman" w:eastAsia="宋体" w:cs="Times New Roman"/>
                <w:snapToGrid w:val="0"/>
                <w:color w:val="auto"/>
                <w:spacing w:val="0"/>
                <w:kern w:val="0"/>
                <w:sz w:val="21"/>
                <w:szCs w:val="21"/>
                <w:lang w:val="en-US" w:eastAsia="zh-CN" w:bidi="ar-SA"/>
              </w:rPr>
              <w:t>Ⅳ</w:t>
            </w:r>
            <w:r>
              <w:rPr>
                <w:rFonts w:hint="default" w:ascii="Times New Roman" w:hAnsi="Times New Roman" w:eastAsia="宋体" w:cs="Times New Roman"/>
                <w:snapToGrid w:val="0"/>
                <w:color w:val="auto"/>
                <w:spacing w:val="0"/>
                <w:kern w:val="0"/>
                <w:sz w:val="21"/>
                <w:szCs w:val="21"/>
                <w:lang w:val="en-US" w:eastAsia="en-US" w:bidi="ar-SA"/>
              </w:rPr>
              <w:t>区</w:t>
            </w:r>
          </w:p>
        </w:tc>
        <w:tc>
          <w:tcPr>
            <w:tcW w:w="623" w:type="pct"/>
            <w:vMerge w:val="restart"/>
            <w:tcBorders>
              <w:tl2br w:val="nil"/>
              <w:tr2bl w:val="nil"/>
            </w:tcBorders>
            <w:noWrap w:val="0"/>
            <w:vAlign w:val="center"/>
          </w:tcPr>
          <w:p w14:paraId="412A15A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z w:val="21"/>
                <w:szCs w:val="21"/>
                <w:highlight w:val="none"/>
                <w:vertAlign w:val="baseline"/>
                <w:lang w:val="en-US" w:eastAsia="zh-CN"/>
              </w:rPr>
              <w:t>2022.6.29</w:t>
            </w:r>
          </w:p>
        </w:tc>
        <w:tc>
          <w:tcPr>
            <w:tcW w:w="707" w:type="pct"/>
            <w:tcBorders>
              <w:tl2br w:val="nil"/>
              <w:tr2bl w:val="nil"/>
            </w:tcBorders>
            <w:noWrap w:val="0"/>
            <w:vAlign w:val="center"/>
          </w:tcPr>
          <w:p w14:paraId="257D7A9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ZK2-10</w:t>
            </w:r>
          </w:p>
        </w:tc>
        <w:tc>
          <w:tcPr>
            <w:tcW w:w="735" w:type="pct"/>
            <w:tcBorders>
              <w:tl2br w:val="nil"/>
              <w:tr2bl w:val="nil"/>
            </w:tcBorders>
            <w:noWrap w:val="0"/>
            <w:vAlign w:val="center"/>
          </w:tcPr>
          <w:p w14:paraId="62CB8CC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4.5</w:t>
            </w:r>
          </w:p>
        </w:tc>
        <w:tc>
          <w:tcPr>
            <w:tcW w:w="844" w:type="pct"/>
            <w:tcBorders>
              <w:tl2br w:val="nil"/>
              <w:tr2bl w:val="nil"/>
            </w:tcBorders>
            <w:noWrap w:val="0"/>
            <w:vAlign w:val="center"/>
          </w:tcPr>
          <w:p w14:paraId="060EDD0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113.571420</w:t>
            </w:r>
          </w:p>
        </w:tc>
        <w:tc>
          <w:tcPr>
            <w:tcW w:w="739" w:type="pct"/>
            <w:tcBorders>
              <w:tl2br w:val="nil"/>
              <w:tr2bl w:val="nil"/>
            </w:tcBorders>
            <w:noWrap w:val="0"/>
            <w:vAlign w:val="center"/>
          </w:tcPr>
          <w:p w14:paraId="0414E2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28.628697</w:t>
            </w:r>
          </w:p>
        </w:tc>
        <w:tc>
          <w:tcPr>
            <w:tcW w:w="493" w:type="pct"/>
            <w:tcBorders>
              <w:tl2br w:val="nil"/>
              <w:tr2bl w:val="nil"/>
            </w:tcBorders>
            <w:noWrap w:val="0"/>
            <w:vAlign w:val="center"/>
          </w:tcPr>
          <w:p w14:paraId="76DBCD0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r w14:paraId="40EFA0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56" w:type="pct"/>
            <w:tcBorders>
              <w:tl2br w:val="nil"/>
              <w:tr2bl w:val="nil"/>
            </w:tcBorders>
            <w:noWrap w:val="0"/>
            <w:vAlign w:val="center"/>
          </w:tcPr>
          <w:p w14:paraId="356FD1E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2号废渣堆V区</w:t>
            </w:r>
          </w:p>
        </w:tc>
        <w:tc>
          <w:tcPr>
            <w:tcW w:w="623" w:type="pct"/>
            <w:vMerge w:val="continue"/>
            <w:tcBorders>
              <w:tl2br w:val="nil"/>
              <w:tr2bl w:val="nil"/>
            </w:tcBorders>
            <w:noWrap w:val="0"/>
            <w:vAlign w:val="center"/>
          </w:tcPr>
          <w:p w14:paraId="1B01CA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p>
        </w:tc>
        <w:tc>
          <w:tcPr>
            <w:tcW w:w="707" w:type="pct"/>
            <w:tcBorders>
              <w:tl2br w:val="nil"/>
              <w:tr2bl w:val="nil"/>
            </w:tcBorders>
            <w:noWrap w:val="0"/>
            <w:vAlign w:val="center"/>
          </w:tcPr>
          <w:p w14:paraId="1DC54B3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ZK2-13</w:t>
            </w:r>
          </w:p>
        </w:tc>
        <w:tc>
          <w:tcPr>
            <w:tcW w:w="735" w:type="pct"/>
            <w:tcBorders>
              <w:tl2br w:val="nil"/>
              <w:tr2bl w:val="nil"/>
            </w:tcBorders>
            <w:noWrap w:val="0"/>
            <w:vAlign w:val="center"/>
          </w:tcPr>
          <w:p w14:paraId="702EF3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6.0</w:t>
            </w:r>
          </w:p>
        </w:tc>
        <w:tc>
          <w:tcPr>
            <w:tcW w:w="844" w:type="pct"/>
            <w:tcBorders>
              <w:tl2br w:val="nil"/>
              <w:tr2bl w:val="nil"/>
            </w:tcBorders>
            <w:noWrap w:val="0"/>
            <w:vAlign w:val="center"/>
          </w:tcPr>
          <w:p w14:paraId="6F439B1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113.571750</w:t>
            </w:r>
          </w:p>
        </w:tc>
        <w:tc>
          <w:tcPr>
            <w:tcW w:w="739" w:type="pct"/>
            <w:tcBorders>
              <w:tl2br w:val="nil"/>
              <w:tr2bl w:val="nil"/>
            </w:tcBorders>
            <w:noWrap w:val="0"/>
            <w:vAlign w:val="center"/>
          </w:tcPr>
          <w:p w14:paraId="4F056D0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cs="Times New Roman"/>
                <w:spacing w:val="-1"/>
                <w:sz w:val="21"/>
                <w:szCs w:val="21"/>
              </w:rPr>
              <w:t>28.628469</w:t>
            </w:r>
          </w:p>
        </w:tc>
        <w:tc>
          <w:tcPr>
            <w:tcW w:w="493" w:type="pct"/>
            <w:tcBorders>
              <w:tl2br w:val="nil"/>
              <w:tr2bl w:val="nil"/>
            </w:tcBorders>
            <w:noWrap w:val="0"/>
            <w:vAlign w:val="center"/>
          </w:tcPr>
          <w:p w14:paraId="3DD529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w:t>
            </w:r>
          </w:p>
        </w:tc>
      </w:tr>
    </w:tbl>
    <w:p w14:paraId="33A1A57E">
      <w:pPr>
        <w:spacing w:line="240" w:lineRule="auto"/>
        <w:ind w:left="0" w:leftChars="0" w:firstLine="0" w:firstLineChars="0"/>
        <w:jc w:val="center"/>
        <w:rPr>
          <w:rFonts w:hint="eastAsia"/>
          <w:b/>
          <w:bCs/>
          <w:sz w:val="21"/>
          <w:szCs w:val="21"/>
          <w:highlight w:val="yellow"/>
          <w:lang w:val="en-US" w:eastAsia="zh-CN"/>
        </w:rPr>
      </w:pPr>
      <w:r>
        <w:drawing>
          <wp:inline distT="0" distB="0" distL="114300" distR="114300">
            <wp:extent cx="5723255" cy="2849245"/>
            <wp:effectExtent l="0" t="0" r="10795" b="8255"/>
            <wp:docPr id="1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6"/>
                    <pic:cNvPicPr>
                      <a:picLocks noChangeAspect="1"/>
                    </pic:cNvPicPr>
                  </pic:nvPicPr>
                  <pic:blipFill>
                    <a:blip r:embed="rId55"/>
                    <a:stretch>
                      <a:fillRect/>
                    </a:stretch>
                  </pic:blipFill>
                  <pic:spPr>
                    <a:xfrm>
                      <a:off x="0" y="0"/>
                      <a:ext cx="5723255" cy="2849245"/>
                    </a:xfrm>
                    <a:prstGeom prst="rect">
                      <a:avLst/>
                    </a:prstGeom>
                    <a:noFill/>
                    <a:ln>
                      <a:noFill/>
                    </a:ln>
                  </pic:spPr>
                </pic:pic>
              </a:graphicData>
            </a:graphic>
          </wp:inline>
        </w:drawing>
      </w:r>
    </w:p>
    <w:p w14:paraId="7069B967">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图3.1-5  万古村2#废渣堆采样布点图（1）</w:t>
      </w:r>
    </w:p>
    <w:p w14:paraId="1B6B0BA5">
      <w:pPr>
        <w:spacing w:line="240" w:lineRule="auto"/>
        <w:ind w:left="0" w:leftChars="0" w:firstLine="0" w:firstLineChars="0"/>
        <w:jc w:val="center"/>
        <w:rPr>
          <w:rFonts w:hint="eastAsia"/>
          <w:b/>
          <w:bCs/>
          <w:sz w:val="21"/>
          <w:szCs w:val="21"/>
          <w:highlight w:val="yellow"/>
          <w:lang w:val="en-US" w:eastAsia="zh-CN"/>
        </w:rPr>
      </w:pPr>
      <w:r>
        <w:rPr>
          <w:sz w:val="21"/>
          <w:szCs w:val="21"/>
        </w:rPr>
        <w:drawing>
          <wp:inline distT="0" distB="0" distL="114300" distR="114300">
            <wp:extent cx="5722620" cy="2593975"/>
            <wp:effectExtent l="0" t="0" r="11430" b="15875"/>
            <wp:docPr id="15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7"/>
                    <pic:cNvPicPr>
                      <a:picLocks noChangeAspect="1"/>
                    </pic:cNvPicPr>
                  </pic:nvPicPr>
                  <pic:blipFill>
                    <a:blip r:embed="rId56"/>
                    <a:stretch>
                      <a:fillRect/>
                    </a:stretch>
                  </pic:blipFill>
                  <pic:spPr>
                    <a:xfrm>
                      <a:off x="0" y="0"/>
                      <a:ext cx="5722620" cy="2593975"/>
                    </a:xfrm>
                    <a:prstGeom prst="rect">
                      <a:avLst/>
                    </a:prstGeom>
                    <a:noFill/>
                    <a:ln>
                      <a:noFill/>
                    </a:ln>
                  </pic:spPr>
                </pic:pic>
              </a:graphicData>
            </a:graphic>
          </wp:inline>
        </w:drawing>
      </w:r>
    </w:p>
    <w:p w14:paraId="217C06EE">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图3.1-5  万古村2#废渣堆采样布点图（2）</w:t>
      </w:r>
    </w:p>
    <w:p w14:paraId="2D19FA3D">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表3.1-7  万古水库废渣堆固废布点方案</w:t>
      </w:r>
    </w:p>
    <w:tbl>
      <w:tblPr>
        <w:tblStyle w:val="111"/>
        <w:tblW w:w="506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53"/>
        <w:gridCol w:w="1047"/>
        <w:gridCol w:w="1445"/>
        <w:gridCol w:w="1636"/>
        <w:gridCol w:w="1398"/>
        <w:gridCol w:w="1209"/>
        <w:gridCol w:w="979"/>
      </w:tblGrid>
      <w:tr w14:paraId="4511B8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tcBorders>
              <w:tl2br w:val="nil"/>
              <w:tr2bl w:val="nil"/>
            </w:tcBorders>
            <w:noWrap w:val="0"/>
            <w:vAlign w:val="center"/>
          </w:tcPr>
          <w:p w14:paraId="1BEDEF5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区域</w:t>
            </w:r>
          </w:p>
        </w:tc>
        <w:tc>
          <w:tcPr>
            <w:tcW w:w="571" w:type="pct"/>
            <w:tcBorders>
              <w:tl2br w:val="nil"/>
              <w:tr2bl w:val="nil"/>
            </w:tcBorders>
            <w:noWrap w:val="0"/>
            <w:vAlign w:val="center"/>
          </w:tcPr>
          <w:p w14:paraId="6FA35E8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snapToGrid w:val="0"/>
                <w:color w:val="auto"/>
                <w:spacing w:val="0"/>
                <w:kern w:val="0"/>
                <w:position w:val="0"/>
                <w:sz w:val="21"/>
                <w:szCs w:val="21"/>
                <w:lang w:val="en-US" w:eastAsia="en-US" w:bidi="ar-SA"/>
              </w:rPr>
            </w:pPr>
            <w:r>
              <w:rPr>
                <w:rFonts w:hint="default" w:ascii="Times New Roman" w:hAnsi="Times New Roman" w:cs="Times New Roman"/>
                <w:b/>
                <w:bCs/>
                <w:spacing w:val="0"/>
                <w:position w:val="0"/>
                <w:sz w:val="21"/>
                <w:szCs w:val="21"/>
                <w:highlight w:val="none"/>
                <w:vertAlign w:val="baseline"/>
                <w:lang w:val="en-US" w:eastAsia="zh-CN"/>
              </w:rPr>
              <w:t>采样日期</w:t>
            </w:r>
          </w:p>
        </w:tc>
        <w:tc>
          <w:tcPr>
            <w:tcW w:w="788" w:type="pct"/>
            <w:tcBorders>
              <w:tl2br w:val="nil"/>
              <w:tr2bl w:val="nil"/>
            </w:tcBorders>
            <w:noWrap w:val="0"/>
            <w:vAlign w:val="center"/>
          </w:tcPr>
          <w:p w14:paraId="3E7266F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en-US"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对应点位号</w:t>
            </w:r>
          </w:p>
        </w:tc>
        <w:tc>
          <w:tcPr>
            <w:tcW w:w="892" w:type="pct"/>
            <w:tcBorders>
              <w:tl2br w:val="nil"/>
              <w:tr2bl w:val="nil"/>
            </w:tcBorders>
            <w:noWrap w:val="0"/>
            <w:vAlign w:val="center"/>
          </w:tcPr>
          <w:p w14:paraId="08BD246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position w:val="0"/>
                <w:sz w:val="21"/>
                <w:szCs w:val="21"/>
                <w:lang w:val="en-US" w:eastAsia="zh-CN" w:bidi="ar-SA"/>
              </w:rPr>
            </w:pPr>
            <w:r>
              <w:rPr>
                <w:rFonts w:hint="default" w:ascii="Times New Roman" w:hAnsi="Times New Roman" w:eastAsia="宋体" w:cs="Times New Roman"/>
                <w:b/>
                <w:bCs/>
                <w:snapToGrid w:val="0"/>
                <w:color w:val="auto"/>
                <w:spacing w:val="0"/>
                <w:kern w:val="0"/>
                <w:position w:val="0"/>
                <w:sz w:val="21"/>
                <w:szCs w:val="21"/>
                <w:lang w:val="en-US" w:eastAsia="en-US" w:bidi="ar-SA"/>
              </w:rPr>
              <w:t>采样深度</w:t>
            </w:r>
            <w:r>
              <w:rPr>
                <w:rFonts w:hint="default" w:ascii="Times New Roman" w:hAnsi="Times New Roman" w:eastAsia="宋体" w:cs="Times New Roman"/>
                <w:b/>
                <w:bCs/>
                <w:snapToGrid w:val="0"/>
                <w:color w:val="auto"/>
                <w:spacing w:val="0"/>
                <w:kern w:val="0"/>
                <w:position w:val="0"/>
                <w:sz w:val="21"/>
                <w:szCs w:val="21"/>
                <w:lang w:val="en-US" w:eastAsia="zh-CN" w:bidi="ar-SA"/>
              </w:rPr>
              <w:t>（</w:t>
            </w:r>
            <w:r>
              <w:rPr>
                <w:rFonts w:hint="default" w:ascii="Times New Roman" w:hAnsi="Times New Roman" w:eastAsia="宋体" w:cs="Times New Roman"/>
                <w:b/>
                <w:bCs/>
                <w:snapToGrid w:val="0"/>
                <w:color w:val="auto"/>
                <w:spacing w:val="0"/>
                <w:kern w:val="0"/>
                <w:position w:val="0"/>
                <w:sz w:val="21"/>
                <w:szCs w:val="21"/>
                <w:lang w:val="en-US" w:eastAsia="en-US" w:bidi="ar-SA"/>
              </w:rPr>
              <w:t>m</w:t>
            </w:r>
            <w:r>
              <w:rPr>
                <w:rFonts w:hint="default" w:ascii="Times New Roman" w:hAnsi="Times New Roman" w:eastAsia="宋体" w:cs="Times New Roman"/>
                <w:b/>
                <w:bCs/>
                <w:snapToGrid w:val="0"/>
                <w:color w:val="auto"/>
                <w:spacing w:val="0"/>
                <w:kern w:val="0"/>
                <w:position w:val="0"/>
                <w:sz w:val="21"/>
                <w:szCs w:val="21"/>
                <w:lang w:val="en-US" w:eastAsia="zh-CN" w:bidi="ar-SA"/>
              </w:rPr>
              <w:t>）</w:t>
            </w:r>
          </w:p>
        </w:tc>
        <w:tc>
          <w:tcPr>
            <w:tcW w:w="762" w:type="pct"/>
            <w:tcBorders>
              <w:tl2br w:val="nil"/>
              <w:tr2bl w:val="nil"/>
            </w:tcBorders>
            <w:noWrap w:val="0"/>
            <w:vAlign w:val="center"/>
          </w:tcPr>
          <w:p w14:paraId="4F61AE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pacing w:val="0"/>
                <w:kern w:val="2"/>
                <w:position w:val="0"/>
                <w:sz w:val="21"/>
                <w:szCs w:val="21"/>
                <w:highlight w:val="none"/>
                <w:vertAlign w:val="baseline"/>
                <w:lang w:val="en-US" w:eastAsia="zh-CN" w:bidi="ar-SA"/>
              </w:rPr>
            </w:pPr>
            <w:r>
              <w:rPr>
                <w:rFonts w:hint="default" w:ascii="Times New Roman" w:hAnsi="Times New Roman" w:cs="Times New Roman"/>
                <w:b/>
                <w:bCs/>
                <w:spacing w:val="0"/>
                <w:position w:val="0"/>
                <w:sz w:val="21"/>
                <w:szCs w:val="21"/>
                <w:highlight w:val="none"/>
                <w:vertAlign w:val="baseline"/>
                <w:lang w:val="en-US" w:eastAsia="zh-CN"/>
              </w:rPr>
              <w:t>经度（°）</w:t>
            </w:r>
          </w:p>
        </w:tc>
        <w:tc>
          <w:tcPr>
            <w:tcW w:w="659" w:type="pct"/>
            <w:tcBorders>
              <w:tl2br w:val="nil"/>
              <w:tr2bl w:val="nil"/>
            </w:tcBorders>
            <w:noWrap w:val="0"/>
            <w:vAlign w:val="center"/>
          </w:tcPr>
          <w:p w14:paraId="0FD870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pacing w:val="0"/>
                <w:kern w:val="2"/>
                <w:position w:val="0"/>
                <w:sz w:val="21"/>
                <w:szCs w:val="21"/>
                <w:highlight w:val="none"/>
                <w:vertAlign w:val="baseline"/>
                <w:lang w:val="en-US" w:eastAsia="zh-CN" w:bidi="ar-SA"/>
              </w:rPr>
            </w:pPr>
            <w:r>
              <w:rPr>
                <w:rFonts w:hint="default" w:ascii="Times New Roman" w:hAnsi="Times New Roman" w:cs="Times New Roman"/>
                <w:b/>
                <w:bCs/>
                <w:spacing w:val="0"/>
                <w:position w:val="0"/>
                <w:sz w:val="21"/>
                <w:szCs w:val="21"/>
                <w:highlight w:val="none"/>
                <w:vertAlign w:val="baseline"/>
                <w:lang w:val="en-US" w:eastAsia="zh-CN"/>
              </w:rPr>
              <w:t>纬度（°）</w:t>
            </w:r>
          </w:p>
        </w:tc>
        <w:tc>
          <w:tcPr>
            <w:tcW w:w="534" w:type="pct"/>
            <w:tcBorders>
              <w:tl2br w:val="nil"/>
              <w:tr2bl w:val="nil"/>
            </w:tcBorders>
            <w:noWrap w:val="0"/>
            <w:vAlign w:val="center"/>
          </w:tcPr>
          <w:p w14:paraId="098282E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b/>
                <w:bCs/>
                <w:snapToGrid w:val="0"/>
                <w:color w:val="auto"/>
                <w:spacing w:val="0"/>
                <w:kern w:val="0"/>
                <w:position w:val="0"/>
                <w:sz w:val="21"/>
                <w:szCs w:val="21"/>
                <w:highlight w:val="none"/>
                <w:vertAlign w:val="baseline"/>
                <w:lang w:val="en-US" w:eastAsia="zh-CN" w:bidi="ar-SA"/>
              </w:rPr>
            </w:pPr>
            <w:r>
              <w:rPr>
                <w:rFonts w:hint="default" w:ascii="Times New Roman" w:hAnsi="Times New Roman" w:eastAsia="Arial" w:cs="Times New Roman"/>
                <w:b/>
                <w:bCs/>
                <w:snapToGrid w:val="0"/>
                <w:color w:val="auto"/>
                <w:spacing w:val="0"/>
                <w:kern w:val="0"/>
                <w:position w:val="0"/>
                <w:sz w:val="21"/>
                <w:szCs w:val="21"/>
                <w:highlight w:val="none"/>
                <w:vertAlign w:val="baseline"/>
                <w:lang w:val="en-US" w:eastAsia="zh-CN"/>
              </w:rPr>
              <w:t>样品数</w:t>
            </w:r>
          </w:p>
        </w:tc>
      </w:tr>
      <w:tr w14:paraId="17AFD4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tcBorders>
              <w:tl2br w:val="nil"/>
              <w:tr2bl w:val="nil"/>
            </w:tcBorders>
            <w:noWrap w:val="0"/>
            <w:vAlign w:val="center"/>
          </w:tcPr>
          <w:p w14:paraId="73B8065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万古水库废渣堆3A-1区</w:t>
            </w:r>
          </w:p>
        </w:tc>
        <w:tc>
          <w:tcPr>
            <w:tcW w:w="571" w:type="pct"/>
            <w:vMerge w:val="restart"/>
            <w:tcBorders>
              <w:tl2br w:val="nil"/>
              <w:tr2bl w:val="nil"/>
            </w:tcBorders>
            <w:noWrap w:val="0"/>
            <w:vAlign w:val="center"/>
          </w:tcPr>
          <w:p w14:paraId="31D9940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rPr>
            </w:pPr>
            <w:r>
              <w:rPr>
                <w:rFonts w:hint="default" w:ascii="Times New Roman" w:hAnsi="Times New Roman" w:cs="Times New Roman"/>
                <w:spacing w:val="0"/>
                <w:position w:val="0"/>
                <w:sz w:val="21"/>
                <w:szCs w:val="21"/>
                <w:highlight w:val="none"/>
                <w:vertAlign w:val="baseline"/>
                <w:lang w:val="en-US" w:eastAsia="zh-CN"/>
              </w:rPr>
              <w:t>2022.6.30</w:t>
            </w:r>
          </w:p>
        </w:tc>
        <w:tc>
          <w:tcPr>
            <w:tcW w:w="788" w:type="pct"/>
            <w:tcBorders>
              <w:tl2br w:val="nil"/>
              <w:tr2bl w:val="nil"/>
            </w:tcBorders>
            <w:noWrap w:val="0"/>
            <w:vAlign w:val="center"/>
          </w:tcPr>
          <w:p w14:paraId="4BEE8E9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ZK3A-5</w:t>
            </w:r>
          </w:p>
        </w:tc>
        <w:tc>
          <w:tcPr>
            <w:tcW w:w="892" w:type="pct"/>
            <w:tcBorders>
              <w:tl2br w:val="nil"/>
              <w:tr2bl w:val="nil"/>
            </w:tcBorders>
            <w:noWrap w:val="0"/>
            <w:vAlign w:val="center"/>
          </w:tcPr>
          <w:p w14:paraId="2AA8866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6.2</w:t>
            </w:r>
          </w:p>
        </w:tc>
        <w:tc>
          <w:tcPr>
            <w:tcW w:w="762" w:type="pct"/>
            <w:tcBorders>
              <w:tl2br w:val="nil"/>
              <w:tr2bl w:val="nil"/>
            </w:tcBorders>
            <w:noWrap w:val="0"/>
            <w:vAlign w:val="center"/>
          </w:tcPr>
          <w:p w14:paraId="287707DA">
            <w:pPr>
              <w:pStyle w:val="197"/>
              <w:spacing w:before="20" w:line="240" w:lineRule="auto"/>
              <w:ind w:left="0" w:leftChars="0" w:firstLine="0" w:firstLineChars="0"/>
              <w:jc w:val="center"/>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113.568205</w:t>
            </w:r>
          </w:p>
        </w:tc>
        <w:tc>
          <w:tcPr>
            <w:tcW w:w="659" w:type="pct"/>
            <w:tcBorders>
              <w:tl2br w:val="nil"/>
              <w:tr2bl w:val="nil"/>
            </w:tcBorders>
            <w:noWrap w:val="0"/>
            <w:vAlign w:val="center"/>
          </w:tcPr>
          <w:p w14:paraId="311315F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cs="Times New Roman"/>
                <w:spacing w:val="0"/>
                <w:position w:val="0"/>
                <w:sz w:val="21"/>
                <w:szCs w:val="21"/>
              </w:rPr>
              <w:t>633110</w:t>
            </w:r>
          </w:p>
        </w:tc>
        <w:tc>
          <w:tcPr>
            <w:tcW w:w="534" w:type="pct"/>
            <w:tcBorders>
              <w:tl2br w:val="nil"/>
              <w:tr2bl w:val="nil"/>
            </w:tcBorders>
            <w:noWrap w:val="0"/>
            <w:vAlign w:val="center"/>
          </w:tcPr>
          <w:p w14:paraId="2781A82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28B8F1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restart"/>
            <w:tcBorders>
              <w:tl2br w:val="nil"/>
              <w:tr2bl w:val="nil"/>
            </w:tcBorders>
            <w:noWrap w:val="0"/>
            <w:vAlign w:val="center"/>
          </w:tcPr>
          <w:p w14:paraId="24762FC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万古水库废渣堆3A-2区</w:t>
            </w:r>
          </w:p>
        </w:tc>
        <w:tc>
          <w:tcPr>
            <w:tcW w:w="571" w:type="pct"/>
            <w:vMerge w:val="continue"/>
            <w:tcBorders>
              <w:tl2br w:val="nil"/>
              <w:tr2bl w:val="nil"/>
            </w:tcBorders>
            <w:noWrap w:val="0"/>
            <w:vAlign w:val="center"/>
          </w:tcPr>
          <w:p w14:paraId="4797DB3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5F2C45A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ZK3A-2</w:t>
            </w:r>
          </w:p>
        </w:tc>
        <w:tc>
          <w:tcPr>
            <w:tcW w:w="892" w:type="pct"/>
            <w:tcBorders>
              <w:tl2br w:val="nil"/>
              <w:tr2bl w:val="nil"/>
            </w:tcBorders>
            <w:noWrap w:val="0"/>
            <w:vAlign w:val="center"/>
          </w:tcPr>
          <w:p w14:paraId="668656D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7.2</w:t>
            </w:r>
          </w:p>
        </w:tc>
        <w:tc>
          <w:tcPr>
            <w:tcW w:w="762" w:type="pct"/>
            <w:tcBorders>
              <w:tl2br w:val="nil"/>
              <w:tr2bl w:val="nil"/>
            </w:tcBorders>
            <w:noWrap w:val="0"/>
            <w:vAlign w:val="center"/>
          </w:tcPr>
          <w:p w14:paraId="09BDECA4">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113.568037</w:t>
            </w:r>
          </w:p>
        </w:tc>
        <w:tc>
          <w:tcPr>
            <w:tcW w:w="659" w:type="pct"/>
            <w:tcBorders>
              <w:tl2br w:val="nil"/>
              <w:tr2bl w:val="nil"/>
            </w:tcBorders>
            <w:noWrap w:val="0"/>
            <w:vAlign w:val="center"/>
          </w:tcPr>
          <w:p w14:paraId="09F3577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28.632767</w:t>
            </w:r>
          </w:p>
        </w:tc>
        <w:tc>
          <w:tcPr>
            <w:tcW w:w="534" w:type="pct"/>
            <w:tcBorders>
              <w:tl2br w:val="nil"/>
              <w:tr2bl w:val="nil"/>
            </w:tcBorders>
            <w:noWrap w:val="0"/>
            <w:vAlign w:val="center"/>
          </w:tcPr>
          <w:p w14:paraId="2367790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3F3F59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continue"/>
            <w:tcBorders>
              <w:tl2br w:val="nil"/>
              <w:tr2bl w:val="nil"/>
            </w:tcBorders>
            <w:noWrap w:val="0"/>
            <w:vAlign w:val="center"/>
          </w:tcPr>
          <w:p w14:paraId="45E0337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571" w:type="pct"/>
            <w:vMerge w:val="continue"/>
            <w:tcBorders>
              <w:tl2br w:val="nil"/>
              <w:tr2bl w:val="nil"/>
            </w:tcBorders>
            <w:noWrap w:val="0"/>
            <w:vAlign w:val="center"/>
          </w:tcPr>
          <w:p w14:paraId="636E53E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4B2E81E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ZK3A-3</w:t>
            </w:r>
          </w:p>
        </w:tc>
        <w:tc>
          <w:tcPr>
            <w:tcW w:w="892" w:type="pct"/>
            <w:tcBorders>
              <w:tl2br w:val="nil"/>
              <w:tr2bl w:val="nil"/>
            </w:tcBorders>
            <w:noWrap w:val="0"/>
            <w:vAlign w:val="center"/>
          </w:tcPr>
          <w:p w14:paraId="11522A0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5.4</w:t>
            </w:r>
          </w:p>
        </w:tc>
        <w:tc>
          <w:tcPr>
            <w:tcW w:w="762" w:type="pct"/>
            <w:tcBorders>
              <w:tl2br w:val="nil"/>
              <w:tr2bl w:val="nil"/>
            </w:tcBorders>
            <w:noWrap w:val="0"/>
            <w:vAlign w:val="center"/>
          </w:tcPr>
          <w:p w14:paraId="5C8F216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113.568033</w:t>
            </w:r>
          </w:p>
        </w:tc>
        <w:tc>
          <w:tcPr>
            <w:tcW w:w="659" w:type="pct"/>
            <w:tcBorders>
              <w:tl2br w:val="nil"/>
              <w:tr2bl w:val="nil"/>
            </w:tcBorders>
            <w:noWrap w:val="0"/>
            <w:vAlign w:val="center"/>
          </w:tcPr>
          <w:p w14:paraId="6198450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cs="Times New Roman"/>
                <w:spacing w:val="0"/>
                <w:position w:val="0"/>
                <w:sz w:val="21"/>
                <w:szCs w:val="21"/>
              </w:rPr>
              <w:t>632817</w:t>
            </w:r>
          </w:p>
        </w:tc>
        <w:tc>
          <w:tcPr>
            <w:tcW w:w="534" w:type="pct"/>
            <w:tcBorders>
              <w:tl2br w:val="nil"/>
              <w:tr2bl w:val="nil"/>
            </w:tcBorders>
            <w:noWrap w:val="0"/>
            <w:vAlign w:val="center"/>
          </w:tcPr>
          <w:p w14:paraId="3CD347A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285AEB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continue"/>
            <w:tcBorders>
              <w:tl2br w:val="nil"/>
              <w:tr2bl w:val="nil"/>
            </w:tcBorders>
            <w:noWrap w:val="0"/>
            <w:vAlign w:val="center"/>
          </w:tcPr>
          <w:p w14:paraId="2BD53DB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571" w:type="pct"/>
            <w:vMerge w:val="continue"/>
            <w:tcBorders>
              <w:tl2br w:val="nil"/>
              <w:tr2bl w:val="nil"/>
            </w:tcBorders>
            <w:noWrap w:val="0"/>
            <w:vAlign w:val="center"/>
          </w:tcPr>
          <w:p w14:paraId="0DD9CE1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42C6815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ZK3A-4</w:t>
            </w:r>
          </w:p>
        </w:tc>
        <w:tc>
          <w:tcPr>
            <w:tcW w:w="892" w:type="pct"/>
            <w:tcBorders>
              <w:tl2br w:val="nil"/>
              <w:tr2bl w:val="nil"/>
            </w:tcBorders>
            <w:noWrap w:val="0"/>
            <w:vAlign w:val="center"/>
          </w:tcPr>
          <w:p w14:paraId="13C7611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6.0</w:t>
            </w:r>
          </w:p>
        </w:tc>
        <w:tc>
          <w:tcPr>
            <w:tcW w:w="762" w:type="pct"/>
            <w:tcBorders>
              <w:tl2br w:val="nil"/>
              <w:tr2bl w:val="nil"/>
            </w:tcBorders>
            <w:noWrap w:val="0"/>
            <w:vAlign w:val="center"/>
          </w:tcPr>
          <w:p w14:paraId="3ED5F2D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113.568082</w:t>
            </w:r>
          </w:p>
        </w:tc>
        <w:tc>
          <w:tcPr>
            <w:tcW w:w="659" w:type="pct"/>
            <w:tcBorders>
              <w:tl2br w:val="nil"/>
              <w:tr2bl w:val="nil"/>
            </w:tcBorders>
            <w:noWrap w:val="0"/>
            <w:vAlign w:val="center"/>
          </w:tcPr>
          <w:p w14:paraId="1E2E062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cs="Times New Roman"/>
                <w:spacing w:val="0"/>
                <w:position w:val="0"/>
                <w:sz w:val="21"/>
                <w:szCs w:val="21"/>
              </w:rPr>
              <w:t>632882</w:t>
            </w:r>
          </w:p>
        </w:tc>
        <w:tc>
          <w:tcPr>
            <w:tcW w:w="534" w:type="pct"/>
            <w:tcBorders>
              <w:tl2br w:val="nil"/>
              <w:tr2bl w:val="nil"/>
            </w:tcBorders>
            <w:noWrap w:val="0"/>
            <w:vAlign w:val="center"/>
          </w:tcPr>
          <w:p w14:paraId="7CE0D7F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6770BB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tcBorders>
              <w:tl2br w:val="nil"/>
              <w:tr2bl w:val="nil"/>
            </w:tcBorders>
            <w:noWrap w:val="0"/>
            <w:vAlign w:val="center"/>
          </w:tcPr>
          <w:p w14:paraId="484D89A1">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万古水库废渣堆3A-3区</w:t>
            </w:r>
          </w:p>
        </w:tc>
        <w:tc>
          <w:tcPr>
            <w:tcW w:w="571" w:type="pct"/>
            <w:vMerge w:val="continue"/>
            <w:tcBorders>
              <w:tl2br w:val="nil"/>
              <w:tr2bl w:val="nil"/>
            </w:tcBorders>
            <w:noWrap w:val="0"/>
            <w:vAlign w:val="center"/>
          </w:tcPr>
          <w:p w14:paraId="7D7FE379">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66029C1E">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ZK3A-6</w:t>
            </w:r>
          </w:p>
        </w:tc>
        <w:tc>
          <w:tcPr>
            <w:tcW w:w="892" w:type="pct"/>
            <w:tcBorders>
              <w:tl2br w:val="nil"/>
              <w:tr2bl w:val="nil"/>
            </w:tcBorders>
            <w:noWrap w:val="0"/>
            <w:vAlign w:val="center"/>
          </w:tcPr>
          <w:p w14:paraId="0F557E8D">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6.5</w:t>
            </w:r>
          </w:p>
        </w:tc>
        <w:tc>
          <w:tcPr>
            <w:tcW w:w="762" w:type="pct"/>
            <w:tcBorders>
              <w:tl2br w:val="nil"/>
              <w:tr2bl w:val="nil"/>
            </w:tcBorders>
            <w:noWrap w:val="0"/>
            <w:vAlign w:val="center"/>
          </w:tcPr>
          <w:p w14:paraId="21E5D15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113.568079</w:t>
            </w:r>
          </w:p>
        </w:tc>
        <w:tc>
          <w:tcPr>
            <w:tcW w:w="659" w:type="pct"/>
            <w:tcBorders>
              <w:tl2br w:val="nil"/>
              <w:tr2bl w:val="nil"/>
            </w:tcBorders>
            <w:noWrap w:val="0"/>
            <w:vAlign w:val="center"/>
          </w:tcPr>
          <w:p w14:paraId="307B03FD">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28.632564</w:t>
            </w:r>
          </w:p>
        </w:tc>
        <w:tc>
          <w:tcPr>
            <w:tcW w:w="534" w:type="pct"/>
            <w:tcBorders>
              <w:tl2br w:val="nil"/>
              <w:tr2bl w:val="nil"/>
            </w:tcBorders>
            <w:noWrap w:val="0"/>
            <w:vAlign w:val="center"/>
          </w:tcPr>
          <w:p w14:paraId="477757AE">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250A5C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tcBorders>
              <w:tl2br w:val="nil"/>
              <w:tr2bl w:val="nil"/>
            </w:tcBorders>
            <w:noWrap w:val="0"/>
            <w:vAlign w:val="center"/>
          </w:tcPr>
          <w:p w14:paraId="1374E7B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万古水库废渣堆3A-4区</w:t>
            </w:r>
          </w:p>
        </w:tc>
        <w:tc>
          <w:tcPr>
            <w:tcW w:w="571" w:type="pct"/>
            <w:vMerge w:val="continue"/>
            <w:tcBorders>
              <w:tl2br w:val="nil"/>
              <w:tr2bl w:val="nil"/>
            </w:tcBorders>
            <w:noWrap w:val="0"/>
            <w:vAlign w:val="center"/>
          </w:tcPr>
          <w:p w14:paraId="19383A61">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2462CA74">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ZK3A-1</w:t>
            </w:r>
          </w:p>
        </w:tc>
        <w:tc>
          <w:tcPr>
            <w:tcW w:w="892" w:type="pct"/>
            <w:tcBorders>
              <w:tl2br w:val="nil"/>
              <w:tr2bl w:val="nil"/>
            </w:tcBorders>
            <w:noWrap w:val="0"/>
            <w:vAlign w:val="center"/>
          </w:tcPr>
          <w:p w14:paraId="7E34B6C4">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6.2</w:t>
            </w:r>
          </w:p>
        </w:tc>
        <w:tc>
          <w:tcPr>
            <w:tcW w:w="762" w:type="pct"/>
            <w:tcBorders>
              <w:tl2br w:val="nil"/>
              <w:tr2bl w:val="nil"/>
            </w:tcBorders>
            <w:noWrap w:val="0"/>
            <w:vAlign w:val="center"/>
          </w:tcPr>
          <w:p w14:paraId="2641428D">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en-US" w:bidi="ar-SA"/>
              </w:rPr>
            </w:pPr>
            <w:r>
              <w:rPr>
                <w:rFonts w:hint="default" w:ascii="Times New Roman" w:hAnsi="Times New Roman" w:cs="Times New Roman"/>
                <w:spacing w:val="0"/>
                <w:position w:val="0"/>
                <w:sz w:val="21"/>
                <w:szCs w:val="21"/>
              </w:rPr>
              <w:t>113.567848</w:t>
            </w:r>
          </w:p>
        </w:tc>
        <w:tc>
          <w:tcPr>
            <w:tcW w:w="659" w:type="pct"/>
            <w:tcBorders>
              <w:tl2br w:val="nil"/>
              <w:tr2bl w:val="nil"/>
            </w:tcBorders>
            <w:noWrap w:val="0"/>
            <w:vAlign w:val="center"/>
          </w:tcPr>
          <w:p w14:paraId="6C2AB6E7">
            <w:pPr>
              <w:pStyle w:val="19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0"/>
                <w:kern w:val="2"/>
                <w:position w:val="0"/>
                <w:sz w:val="21"/>
                <w:szCs w:val="21"/>
                <w:lang w:val="en-US" w:eastAsia="en-US" w:bidi="ar-SA"/>
              </w:rPr>
            </w:pPr>
            <w:r>
              <w:rPr>
                <w:rFonts w:hint="default" w:ascii="Times New Roman" w:hAnsi="Times New Roman" w:cs="Times New Roman"/>
                <w:spacing w:val="0"/>
                <w:position w:val="0"/>
                <w:sz w:val="21"/>
                <w:szCs w:val="21"/>
              </w:rPr>
              <w:t>28.632797</w:t>
            </w:r>
          </w:p>
        </w:tc>
        <w:tc>
          <w:tcPr>
            <w:tcW w:w="534" w:type="pct"/>
            <w:tcBorders>
              <w:tl2br w:val="nil"/>
              <w:tr2bl w:val="nil"/>
            </w:tcBorders>
            <w:noWrap w:val="0"/>
            <w:vAlign w:val="center"/>
          </w:tcPr>
          <w:p w14:paraId="3DE36499">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39D9D2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restart"/>
            <w:tcBorders>
              <w:tl2br w:val="nil"/>
              <w:tr2bl w:val="nil"/>
            </w:tcBorders>
            <w:noWrap w:val="0"/>
            <w:vAlign w:val="center"/>
          </w:tcPr>
          <w:p w14:paraId="7DC5203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万古水库废渣堆3B-2区</w:t>
            </w:r>
          </w:p>
        </w:tc>
        <w:tc>
          <w:tcPr>
            <w:tcW w:w="571" w:type="pct"/>
            <w:vMerge w:val="continue"/>
            <w:tcBorders>
              <w:tl2br w:val="nil"/>
              <w:tr2bl w:val="nil"/>
            </w:tcBorders>
            <w:noWrap w:val="0"/>
            <w:vAlign w:val="center"/>
          </w:tcPr>
          <w:p w14:paraId="7DE0463E">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lang w:val="en-US"/>
              </w:rPr>
            </w:pPr>
          </w:p>
        </w:tc>
        <w:tc>
          <w:tcPr>
            <w:tcW w:w="788" w:type="pct"/>
            <w:tcBorders>
              <w:tl2br w:val="nil"/>
              <w:tr2bl w:val="nil"/>
            </w:tcBorders>
            <w:noWrap w:val="0"/>
            <w:vAlign w:val="center"/>
          </w:tcPr>
          <w:p w14:paraId="172B7F6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ZK3B-1</w:t>
            </w:r>
          </w:p>
        </w:tc>
        <w:tc>
          <w:tcPr>
            <w:tcW w:w="892" w:type="pct"/>
            <w:tcBorders>
              <w:tl2br w:val="nil"/>
              <w:tr2bl w:val="nil"/>
            </w:tcBorders>
            <w:noWrap w:val="0"/>
            <w:vAlign w:val="center"/>
          </w:tcPr>
          <w:p w14:paraId="0712E6F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2.6</w:t>
            </w:r>
          </w:p>
        </w:tc>
        <w:tc>
          <w:tcPr>
            <w:tcW w:w="762" w:type="pct"/>
            <w:tcBorders>
              <w:tl2br w:val="nil"/>
              <w:tr2bl w:val="nil"/>
            </w:tcBorders>
            <w:noWrap w:val="0"/>
            <w:vAlign w:val="center"/>
          </w:tcPr>
          <w:p w14:paraId="1ACABFE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113.567152</w:t>
            </w:r>
          </w:p>
        </w:tc>
        <w:tc>
          <w:tcPr>
            <w:tcW w:w="659" w:type="pct"/>
            <w:tcBorders>
              <w:tl2br w:val="nil"/>
              <w:tr2bl w:val="nil"/>
            </w:tcBorders>
            <w:noWrap w:val="0"/>
            <w:vAlign w:val="center"/>
          </w:tcPr>
          <w:p w14:paraId="7BEC2E4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28.632935</w:t>
            </w:r>
          </w:p>
        </w:tc>
        <w:tc>
          <w:tcPr>
            <w:tcW w:w="534" w:type="pct"/>
            <w:tcBorders>
              <w:tl2br w:val="nil"/>
              <w:tr2bl w:val="nil"/>
            </w:tcBorders>
            <w:noWrap w:val="0"/>
            <w:vAlign w:val="center"/>
          </w:tcPr>
          <w:p w14:paraId="224D5C8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549989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continue"/>
            <w:tcBorders>
              <w:tl2br w:val="nil"/>
              <w:tr2bl w:val="nil"/>
            </w:tcBorders>
            <w:noWrap w:val="0"/>
            <w:vAlign w:val="center"/>
          </w:tcPr>
          <w:p w14:paraId="4AAA65F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571" w:type="pct"/>
            <w:vMerge w:val="continue"/>
            <w:tcBorders>
              <w:tl2br w:val="nil"/>
              <w:tr2bl w:val="nil"/>
            </w:tcBorders>
            <w:noWrap w:val="0"/>
            <w:vAlign w:val="center"/>
          </w:tcPr>
          <w:p w14:paraId="207AFC4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0D153DB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ZK3B-2</w:t>
            </w:r>
          </w:p>
        </w:tc>
        <w:tc>
          <w:tcPr>
            <w:tcW w:w="892" w:type="pct"/>
            <w:tcBorders>
              <w:tl2br w:val="nil"/>
              <w:tr2bl w:val="nil"/>
            </w:tcBorders>
            <w:noWrap w:val="0"/>
            <w:vAlign w:val="center"/>
          </w:tcPr>
          <w:p w14:paraId="02BD2FC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6.9</w:t>
            </w:r>
          </w:p>
        </w:tc>
        <w:tc>
          <w:tcPr>
            <w:tcW w:w="762" w:type="pct"/>
            <w:tcBorders>
              <w:tl2br w:val="nil"/>
              <w:tr2bl w:val="nil"/>
            </w:tcBorders>
            <w:noWrap w:val="0"/>
            <w:vAlign w:val="center"/>
          </w:tcPr>
          <w:p w14:paraId="2BD69A5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113.567204</w:t>
            </w:r>
          </w:p>
        </w:tc>
        <w:tc>
          <w:tcPr>
            <w:tcW w:w="659" w:type="pct"/>
            <w:tcBorders>
              <w:tl2br w:val="nil"/>
              <w:tr2bl w:val="nil"/>
            </w:tcBorders>
            <w:noWrap w:val="0"/>
            <w:vAlign w:val="center"/>
          </w:tcPr>
          <w:p w14:paraId="75E7967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28.633025</w:t>
            </w:r>
          </w:p>
        </w:tc>
        <w:tc>
          <w:tcPr>
            <w:tcW w:w="534" w:type="pct"/>
            <w:tcBorders>
              <w:tl2br w:val="nil"/>
              <w:tr2bl w:val="nil"/>
            </w:tcBorders>
            <w:noWrap w:val="0"/>
            <w:vAlign w:val="center"/>
          </w:tcPr>
          <w:p w14:paraId="526851C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25850F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continue"/>
            <w:tcBorders>
              <w:tl2br w:val="nil"/>
              <w:tr2bl w:val="nil"/>
            </w:tcBorders>
            <w:noWrap w:val="0"/>
            <w:vAlign w:val="center"/>
          </w:tcPr>
          <w:p w14:paraId="253C7DB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571" w:type="pct"/>
            <w:vMerge w:val="continue"/>
            <w:tcBorders>
              <w:tl2br w:val="nil"/>
              <w:tr2bl w:val="nil"/>
            </w:tcBorders>
            <w:noWrap w:val="0"/>
            <w:vAlign w:val="center"/>
          </w:tcPr>
          <w:p w14:paraId="3A6E1B7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5F3D1EB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ZK3B-3</w:t>
            </w:r>
          </w:p>
        </w:tc>
        <w:tc>
          <w:tcPr>
            <w:tcW w:w="892" w:type="pct"/>
            <w:tcBorders>
              <w:tl2br w:val="nil"/>
              <w:tr2bl w:val="nil"/>
            </w:tcBorders>
            <w:noWrap w:val="0"/>
            <w:vAlign w:val="center"/>
          </w:tcPr>
          <w:p w14:paraId="23194664">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7.8</w:t>
            </w:r>
          </w:p>
        </w:tc>
        <w:tc>
          <w:tcPr>
            <w:tcW w:w="762" w:type="pct"/>
            <w:tcBorders>
              <w:tl2br w:val="nil"/>
              <w:tr2bl w:val="nil"/>
            </w:tcBorders>
            <w:noWrap w:val="0"/>
            <w:vAlign w:val="center"/>
          </w:tcPr>
          <w:p w14:paraId="244810B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113.567265</w:t>
            </w:r>
          </w:p>
        </w:tc>
        <w:tc>
          <w:tcPr>
            <w:tcW w:w="659" w:type="pct"/>
            <w:tcBorders>
              <w:tl2br w:val="nil"/>
              <w:tr2bl w:val="nil"/>
            </w:tcBorders>
            <w:noWrap w:val="0"/>
            <w:vAlign w:val="center"/>
          </w:tcPr>
          <w:p w14:paraId="0CF17F6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28.633164</w:t>
            </w:r>
          </w:p>
        </w:tc>
        <w:tc>
          <w:tcPr>
            <w:tcW w:w="534" w:type="pct"/>
            <w:tcBorders>
              <w:tl2br w:val="nil"/>
              <w:tr2bl w:val="nil"/>
            </w:tcBorders>
            <w:noWrap w:val="0"/>
            <w:vAlign w:val="center"/>
          </w:tcPr>
          <w:p w14:paraId="03C577DE">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207EC4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vMerge w:val="continue"/>
            <w:tcBorders>
              <w:tl2br w:val="nil"/>
              <w:tr2bl w:val="nil"/>
            </w:tcBorders>
            <w:noWrap w:val="0"/>
            <w:vAlign w:val="center"/>
          </w:tcPr>
          <w:p w14:paraId="3B92ED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571" w:type="pct"/>
            <w:vMerge w:val="continue"/>
            <w:tcBorders>
              <w:tl2br w:val="nil"/>
              <w:tr2bl w:val="nil"/>
            </w:tcBorders>
            <w:noWrap w:val="0"/>
            <w:vAlign w:val="center"/>
          </w:tcPr>
          <w:p w14:paraId="6709F56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4E08838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ZK3B-4</w:t>
            </w:r>
          </w:p>
        </w:tc>
        <w:tc>
          <w:tcPr>
            <w:tcW w:w="892" w:type="pct"/>
            <w:tcBorders>
              <w:tl2br w:val="nil"/>
              <w:tr2bl w:val="nil"/>
            </w:tcBorders>
            <w:noWrap w:val="0"/>
            <w:vAlign w:val="center"/>
          </w:tcPr>
          <w:p w14:paraId="3508BEA1">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6.2</w:t>
            </w:r>
          </w:p>
        </w:tc>
        <w:tc>
          <w:tcPr>
            <w:tcW w:w="762" w:type="pct"/>
            <w:tcBorders>
              <w:tl2br w:val="nil"/>
              <w:tr2bl w:val="nil"/>
            </w:tcBorders>
            <w:noWrap w:val="0"/>
            <w:vAlign w:val="center"/>
          </w:tcPr>
          <w:p w14:paraId="6F7E416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113.567272</w:t>
            </w:r>
          </w:p>
        </w:tc>
        <w:tc>
          <w:tcPr>
            <w:tcW w:w="659" w:type="pct"/>
            <w:tcBorders>
              <w:tl2br w:val="nil"/>
              <w:tr2bl w:val="nil"/>
            </w:tcBorders>
            <w:noWrap w:val="0"/>
            <w:vAlign w:val="center"/>
          </w:tcPr>
          <w:p w14:paraId="2504EBE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28.633272</w:t>
            </w:r>
          </w:p>
        </w:tc>
        <w:tc>
          <w:tcPr>
            <w:tcW w:w="534" w:type="pct"/>
            <w:tcBorders>
              <w:tl2br w:val="nil"/>
              <w:tr2bl w:val="nil"/>
            </w:tcBorders>
            <w:noWrap w:val="0"/>
            <w:vAlign w:val="center"/>
          </w:tcPr>
          <w:p w14:paraId="310C922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r w14:paraId="06FA9F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92" w:type="pct"/>
            <w:tcBorders>
              <w:tl2br w:val="nil"/>
              <w:tr2bl w:val="nil"/>
            </w:tcBorders>
            <w:noWrap w:val="0"/>
            <w:vAlign w:val="center"/>
          </w:tcPr>
          <w:p w14:paraId="1995B55D">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万古水库废渣堆3B-3区</w:t>
            </w:r>
          </w:p>
        </w:tc>
        <w:tc>
          <w:tcPr>
            <w:tcW w:w="571" w:type="pct"/>
            <w:vMerge w:val="continue"/>
            <w:tcBorders>
              <w:tl2br w:val="nil"/>
              <w:tr2bl w:val="nil"/>
            </w:tcBorders>
            <w:noWrap w:val="0"/>
            <w:vAlign w:val="center"/>
          </w:tcPr>
          <w:p w14:paraId="25B0AF7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p>
        </w:tc>
        <w:tc>
          <w:tcPr>
            <w:tcW w:w="788" w:type="pct"/>
            <w:tcBorders>
              <w:tl2br w:val="nil"/>
              <w:tr2bl w:val="nil"/>
            </w:tcBorders>
            <w:noWrap w:val="0"/>
            <w:vAlign w:val="center"/>
          </w:tcPr>
          <w:p w14:paraId="413DBAE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ZK3-1过渡点</w:t>
            </w:r>
          </w:p>
        </w:tc>
        <w:tc>
          <w:tcPr>
            <w:tcW w:w="892" w:type="pct"/>
            <w:tcBorders>
              <w:tl2br w:val="nil"/>
              <w:tr2bl w:val="nil"/>
            </w:tcBorders>
            <w:noWrap w:val="0"/>
            <w:vAlign w:val="center"/>
          </w:tcPr>
          <w:p w14:paraId="2F37560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2.2</w:t>
            </w:r>
          </w:p>
        </w:tc>
        <w:tc>
          <w:tcPr>
            <w:tcW w:w="762" w:type="pct"/>
            <w:tcBorders>
              <w:tl2br w:val="nil"/>
              <w:tr2bl w:val="nil"/>
            </w:tcBorders>
            <w:noWrap w:val="0"/>
            <w:vAlign w:val="center"/>
          </w:tcPr>
          <w:p w14:paraId="4D65C61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113.567482</w:t>
            </w:r>
          </w:p>
        </w:tc>
        <w:tc>
          <w:tcPr>
            <w:tcW w:w="659" w:type="pct"/>
            <w:tcBorders>
              <w:tl2br w:val="nil"/>
              <w:tr2bl w:val="nil"/>
            </w:tcBorders>
            <w:noWrap w:val="0"/>
            <w:vAlign w:val="center"/>
          </w:tcPr>
          <w:p w14:paraId="455AA93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cs="Times New Roman"/>
                <w:spacing w:val="0"/>
                <w:position w:val="0"/>
                <w:sz w:val="21"/>
                <w:szCs w:val="21"/>
              </w:rPr>
              <w:t>28.632760</w:t>
            </w:r>
          </w:p>
        </w:tc>
        <w:tc>
          <w:tcPr>
            <w:tcW w:w="534" w:type="pct"/>
            <w:tcBorders>
              <w:tl2br w:val="nil"/>
              <w:tr2bl w:val="nil"/>
            </w:tcBorders>
            <w:noWrap w:val="0"/>
            <w:vAlign w:val="center"/>
          </w:tcPr>
          <w:p w14:paraId="2F69BE4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r>
    </w:tbl>
    <w:p w14:paraId="1AD93BFC">
      <w:pPr>
        <w:ind w:left="0" w:leftChars="0" w:firstLine="0" w:firstLineChars="0"/>
        <w:jc w:val="center"/>
        <w:rPr>
          <w:rFonts w:hint="eastAsia"/>
          <w:b/>
          <w:bCs/>
          <w:sz w:val="21"/>
          <w:szCs w:val="21"/>
          <w:highlight w:val="yellow"/>
          <w:lang w:val="en-US" w:eastAsia="zh-CN"/>
        </w:rPr>
      </w:pPr>
      <w:r>
        <w:drawing>
          <wp:inline distT="0" distB="0" distL="114300" distR="114300">
            <wp:extent cx="5721985" cy="5123180"/>
            <wp:effectExtent l="0" t="0" r="12065" b="1270"/>
            <wp:docPr id="1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8"/>
                    <pic:cNvPicPr>
                      <a:picLocks noChangeAspect="1"/>
                    </pic:cNvPicPr>
                  </pic:nvPicPr>
                  <pic:blipFill>
                    <a:blip r:embed="rId57"/>
                    <a:stretch>
                      <a:fillRect/>
                    </a:stretch>
                  </pic:blipFill>
                  <pic:spPr>
                    <a:xfrm>
                      <a:off x="0" y="0"/>
                      <a:ext cx="5721985" cy="5123180"/>
                    </a:xfrm>
                    <a:prstGeom prst="rect">
                      <a:avLst/>
                    </a:prstGeom>
                    <a:noFill/>
                    <a:ln>
                      <a:noFill/>
                    </a:ln>
                  </pic:spPr>
                </pic:pic>
              </a:graphicData>
            </a:graphic>
          </wp:inline>
        </w:drawing>
      </w:r>
    </w:p>
    <w:p w14:paraId="39E7F7B5">
      <w:pPr>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图3.1-6  万古水库废渣堆3A采样布点图</w:t>
      </w:r>
    </w:p>
    <w:p w14:paraId="02A5473D">
      <w:pPr>
        <w:ind w:left="0" w:leftChars="0" w:firstLine="0" w:firstLineChars="0"/>
        <w:jc w:val="center"/>
        <w:rPr>
          <w:rFonts w:hint="eastAsia"/>
          <w:b/>
          <w:bCs/>
          <w:sz w:val="21"/>
          <w:szCs w:val="21"/>
          <w:highlight w:val="yellow"/>
          <w:lang w:val="en-US" w:eastAsia="zh-CN"/>
        </w:rPr>
      </w:pPr>
      <w:r>
        <w:drawing>
          <wp:inline distT="0" distB="0" distL="114300" distR="114300">
            <wp:extent cx="4791075" cy="5715000"/>
            <wp:effectExtent l="0" t="0" r="9525" b="0"/>
            <wp:docPr id="1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9"/>
                    <pic:cNvPicPr>
                      <a:picLocks noChangeAspect="1"/>
                    </pic:cNvPicPr>
                  </pic:nvPicPr>
                  <pic:blipFill>
                    <a:blip r:embed="rId58"/>
                    <a:stretch>
                      <a:fillRect/>
                    </a:stretch>
                  </pic:blipFill>
                  <pic:spPr>
                    <a:xfrm>
                      <a:off x="0" y="0"/>
                      <a:ext cx="4791075" cy="5715000"/>
                    </a:xfrm>
                    <a:prstGeom prst="rect">
                      <a:avLst/>
                    </a:prstGeom>
                    <a:noFill/>
                    <a:ln>
                      <a:noFill/>
                    </a:ln>
                  </pic:spPr>
                </pic:pic>
              </a:graphicData>
            </a:graphic>
          </wp:inline>
        </w:drawing>
      </w:r>
    </w:p>
    <w:p w14:paraId="66C793D7">
      <w:pPr>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图3.1-7  万古水库废渣堆3B采样布点图</w:t>
      </w:r>
    </w:p>
    <w:p w14:paraId="069C7A3C">
      <w:pPr>
        <w:ind w:left="0" w:leftChars="0" w:firstLine="0" w:firstLineChars="0"/>
        <w:jc w:val="center"/>
        <w:rPr>
          <w:rFonts w:hint="default"/>
          <w:b/>
          <w:bCs/>
          <w:sz w:val="21"/>
          <w:szCs w:val="21"/>
          <w:highlight w:val="none"/>
          <w:lang w:val="en-US" w:eastAsia="zh-CN"/>
        </w:rPr>
        <w:sectPr>
          <w:pgSz w:w="11850" w:h="16783"/>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5E577CF">
      <w:pPr>
        <w:bidi w:val="0"/>
        <w:rPr>
          <w:rFonts w:hint="eastAsia"/>
          <w:sz w:val="24"/>
          <w:szCs w:val="24"/>
          <w:lang w:val="en-US" w:eastAsia="zh-CN"/>
        </w:rPr>
      </w:pPr>
      <w:r>
        <w:rPr>
          <w:rFonts w:hint="eastAsia"/>
          <w:sz w:val="24"/>
          <w:szCs w:val="24"/>
        </w:rPr>
        <w:t>各渣堆分区危险废物鉴别检测情况见表3.1-</w:t>
      </w:r>
      <w:r>
        <w:rPr>
          <w:rFonts w:hint="eastAsia"/>
          <w:sz w:val="24"/>
          <w:szCs w:val="24"/>
          <w:lang w:val="en-US" w:eastAsia="zh-CN"/>
        </w:rPr>
        <w:t>8</w:t>
      </w:r>
      <w:r>
        <w:rPr>
          <w:rFonts w:hint="eastAsia"/>
          <w:sz w:val="24"/>
          <w:szCs w:val="24"/>
        </w:rPr>
        <w:t>。</w:t>
      </w:r>
    </w:p>
    <w:p w14:paraId="4410720F">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表3.1-8  固体废物（废渣）检测结果（酸浸）    单位：mg/L，腐蚀性（无量纲）</w:t>
      </w:r>
    </w:p>
    <w:tbl>
      <w:tblPr>
        <w:tblStyle w:val="111"/>
        <w:tblW w:w="517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080"/>
        <w:gridCol w:w="981"/>
        <w:gridCol w:w="1490"/>
        <w:gridCol w:w="833"/>
        <w:gridCol w:w="879"/>
        <w:gridCol w:w="775"/>
        <w:gridCol w:w="923"/>
        <w:gridCol w:w="876"/>
        <w:gridCol w:w="804"/>
        <w:gridCol w:w="824"/>
        <w:gridCol w:w="894"/>
        <w:gridCol w:w="1001"/>
        <w:gridCol w:w="955"/>
        <w:gridCol w:w="1148"/>
      </w:tblGrid>
      <w:tr w14:paraId="11E07A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vMerge w:val="restart"/>
            <w:tcBorders>
              <w:tl2br w:val="nil"/>
              <w:tr2bl w:val="nil"/>
            </w:tcBorders>
            <w:noWrap w:val="0"/>
            <w:vAlign w:val="center"/>
          </w:tcPr>
          <w:p w14:paraId="0CF6105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采样点位</w:t>
            </w:r>
          </w:p>
        </w:tc>
        <w:tc>
          <w:tcPr>
            <w:tcW w:w="339" w:type="pct"/>
            <w:vMerge w:val="restart"/>
            <w:tcBorders>
              <w:tl2br w:val="nil"/>
              <w:tr2bl w:val="nil"/>
            </w:tcBorders>
            <w:noWrap w:val="0"/>
            <w:vAlign w:val="center"/>
          </w:tcPr>
          <w:p w14:paraId="31B4F69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采样日期</w:t>
            </w:r>
          </w:p>
        </w:tc>
        <w:tc>
          <w:tcPr>
            <w:tcW w:w="514" w:type="pct"/>
            <w:vMerge w:val="restart"/>
            <w:tcBorders>
              <w:tl2br w:val="nil"/>
              <w:tr2bl w:val="nil"/>
            </w:tcBorders>
            <w:noWrap w:val="0"/>
            <w:vAlign w:val="center"/>
          </w:tcPr>
          <w:p w14:paraId="7033061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样品状态</w:t>
            </w:r>
          </w:p>
        </w:tc>
        <w:tc>
          <w:tcPr>
            <w:tcW w:w="3426" w:type="pct"/>
            <w:gridSpan w:val="11"/>
            <w:tcBorders>
              <w:tl2br w:val="nil"/>
              <w:tr2bl w:val="nil"/>
            </w:tcBorders>
            <w:noWrap w:val="0"/>
            <w:vAlign w:val="center"/>
          </w:tcPr>
          <w:p w14:paraId="0C91C0C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检测项目及检测结果</w:t>
            </w:r>
          </w:p>
        </w:tc>
      </w:tr>
      <w:tr w14:paraId="34D61C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vMerge w:val="continue"/>
            <w:tcBorders>
              <w:tl2br w:val="nil"/>
              <w:tr2bl w:val="nil"/>
            </w:tcBorders>
            <w:noWrap w:val="0"/>
            <w:vAlign w:val="center"/>
          </w:tcPr>
          <w:p w14:paraId="032764B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Arial" w:cs="Times New Roman"/>
                <w:b/>
                <w:bCs/>
                <w:snapToGrid w:val="0"/>
                <w:color w:val="000000"/>
                <w:spacing w:val="0"/>
                <w:kern w:val="0"/>
                <w:sz w:val="21"/>
                <w:szCs w:val="21"/>
                <w:lang w:eastAsia="en-US"/>
              </w:rPr>
            </w:pPr>
          </w:p>
        </w:tc>
        <w:tc>
          <w:tcPr>
            <w:tcW w:w="339" w:type="pct"/>
            <w:vMerge w:val="continue"/>
            <w:tcBorders>
              <w:tl2br w:val="nil"/>
              <w:tr2bl w:val="nil"/>
            </w:tcBorders>
            <w:noWrap w:val="0"/>
            <w:vAlign w:val="center"/>
          </w:tcPr>
          <w:p w14:paraId="77AC30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Arial" w:cs="Times New Roman"/>
                <w:b/>
                <w:bCs/>
                <w:snapToGrid w:val="0"/>
                <w:color w:val="000000"/>
                <w:spacing w:val="0"/>
                <w:kern w:val="0"/>
                <w:sz w:val="21"/>
                <w:szCs w:val="21"/>
                <w:lang w:eastAsia="en-US"/>
              </w:rPr>
            </w:pPr>
          </w:p>
        </w:tc>
        <w:tc>
          <w:tcPr>
            <w:tcW w:w="514" w:type="pct"/>
            <w:vMerge w:val="continue"/>
            <w:tcBorders>
              <w:tl2br w:val="nil"/>
              <w:tr2bl w:val="nil"/>
            </w:tcBorders>
            <w:noWrap w:val="0"/>
            <w:vAlign w:val="center"/>
          </w:tcPr>
          <w:p w14:paraId="279CBD8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Arial" w:cs="Times New Roman"/>
                <w:b/>
                <w:bCs/>
                <w:snapToGrid w:val="0"/>
                <w:color w:val="000000"/>
                <w:spacing w:val="0"/>
                <w:kern w:val="0"/>
                <w:sz w:val="21"/>
                <w:szCs w:val="21"/>
                <w:lang w:eastAsia="en-US"/>
              </w:rPr>
            </w:pPr>
          </w:p>
        </w:tc>
        <w:tc>
          <w:tcPr>
            <w:tcW w:w="288" w:type="pct"/>
            <w:tcBorders>
              <w:tl2br w:val="nil"/>
              <w:tr2bl w:val="nil"/>
            </w:tcBorders>
            <w:noWrap w:val="0"/>
            <w:vAlign w:val="center"/>
          </w:tcPr>
          <w:p w14:paraId="01E37F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腐蚀性</w:t>
            </w:r>
          </w:p>
        </w:tc>
        <w:tc>
          <w:tcPr>
            <w:tcW w:w="304" w:type="pct"/>
            <w:tcBorders>
              <w:tl2br w:val="nil"/>
              <w:tr2bl w:val="nil"/>
            </w:tcBorders>
            <w:noWrap w:val="0"/>
            <w:vAlign w:val="center"/>
          </w:tcPr>
          <w:p w14:paraId="71D5F9A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总铬</w:t>
            </w:r>
          </w:p>
        </w:tc>
        <w:tc>
          <w:tcPr>
            <w:tcW w:w="268" w:type="pct"/>
            <w:tcBorders>
              <w:tl2br w:val="nil"/>
              <w:tr2bl w:val="nil"/>
            </w:tcBorders>
            <w:noWrap w:val="0"/>
            <w:vAlign w:val="center"/>
          </w:tcPr>
          <w:p w14:paraId="29A731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总镍</w:t>
            </w:r>
          </w:p>
        </w:tc>
        <w:tc>
          <w:tcPr>
            <w:tcW w:w="319" w:type="pct"/>
            <w:tcBorders>
              <w:tl2br w:val="nil"/>
              <w:tr2bl w:val="nil"/>
            </w:tcBorders>
            <w:noWrap w:val="0"/>
            <w:vAlign w:val="center"/>
          </w:tcPr>
          <w:p w14:paraId="455E34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总铜</w:t>
            </w:r>
          </w:p>
        </w:tc>
        <w:tc>
          <w:tcPr>
            <w:tcW w:w="303" w:type="pct"/>
            <w:tcBorders>
              <w:tl2br w:val="nil"/>
              <w:tr2bl w:val="nil"/>
            </w:tcBorders>
            <w:noWrap w:val="0"/>
            <w:vAlign w:val="center"/>
          </w:tcPr>
          <w:p w14:paraId="772496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总锌</w:t>
            </w:r>
          </w:p>
        </w:tc>
        <w:tc>
          <w:tcPr>
            <w:tcW w:w="278" w:type="pct"/>
            <w:tcBorders>
              <w:tl2br w:val="nil"/>
              <w:tr2bl w:val="nil"/>
            </w:tcBorders>
            <w:noWrap w:val="0"/>
            <w:vAlign w:val="center"/>
          </w:tcPr>
          <w:p w14:paraId="5F2736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总砷</w:t>
            </w:r>
          </w:p>
        </w:tc>
        <w:tc>
          <w:tcPr>
            <w:tcW w:w="285" w:type="pct"/>
            <w:tcBorders>
              <w:tl2br w:val="nil"/>
              <w:tr2bl w:val="nil"/>
            </w:tcBorders>
            <w:noWrap w:val="0"/>
            <w:vAlign w:val="center"/>
          </w:tcPr>
          <w:p w14:paraId="630B8D6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总镉</w:t>
            </w:r>
          </w:p>
        </w:tc>
        <w:tc>
          <w:tcPr>
            <w:tcW w:w="309" w:type="pct"/>
            <w:tcBorders>
              <w:tl2br w:val="nil"/>
              <w:tr2bl w:val="nil"/>
            </w:tcBorders>
            <w:noWrap w:val="0"/>
            <w:vAlign w:val="center"/>
          </w:tcPr>
          <w:p w14:paraId="4546C75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总铅</w:t>
            </w:r>
          </w:p>
        </w:tc>
        <w:tc>
          <w:tcPr>
            <w:tcW w:w="346" w:type="pct"/>
            <w:tcBorders>
              <w:tl2br w:val="nil"/>
              <w:tr2bl w:val="nil"/>
            </w:tcBorders>
            <w:noWrap w:val="0"/>
            <w:vAlign w:val="center"/>
          </w:tcPr>
          <w:p w14:paraId="4B48C7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总汞</w:t>
            </w:r>
          </w:p>
        </w:tc>
        <w:tc>
          <w:tcPr>
            <w:tcW w:w="330" w:type="pct"/>
            <w:tcBorders>
              <w:tl2br w:val="nil"/>
              <w:tr2bl w:val="nil"/>
            </w:tcBorders>
            <w:noWrap w:val="0"/>
            <w:vAlign w:val="center"/>
          </w:tcPr>
          <w:p w14:paraId="25BCE24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六价铬</w:t>
            </w:r>
          </w:p>
        </w:tc>
        <w:tc>
          <w:tcPr>
            <w:tcW w:w="391" w:type="pct"/>
            <w:tcBorders>
              <w:tl2br w:val="nil"/>
              <w:tr2bl w:val="nil"/>
            </w:tcBorders>
            <w:noWrap w:val="0"/>
            <w:vAlign w:val="center"/>
          </w:tcPr>
          <w:p w14:paraId="1CA7FF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氰化物</w:t>
            </w:r>
          </w:p>
        </w:tc>
      </w:tr>
      <w:tr w14:paraId="41F632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5642362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万古村1号废渣1-1</w:t>
            </w:r>
          </w:p>
        </w:tc>
        <w:tc>
          <w:tcPr>
            <w:tcW w:w="339" w:type="pct"/>
            <w:tcBorders>
              <w:tl2br w:val="nil"/>
              <w:tr2bl w:val="nil"/>
            </w:tcBorders>
            <w:noWrap w:val="0"/>
            <w:vAlign w:val="center"/>
          </w:tcPr>
          <w:p w14:paraId="7F832F1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1E1FCE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34578CC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6.80</w:t>
            </w:r>
          </w:p>
        </w:tc>
        <w:tc>
          <w:tcPr>
            <w:tcW w:w="304" w:type="pct"/>
            <w:tcBorders>
              <w:tl2br w:val="nil"/>
              <w:tr2bl w:val="nil"/>
            </w:tcBorders>
            <w:noWrap w:val="0"/>
            <w:vAlign w:val="center"/>
          </w:tcPr>
          <w:p w14:paraId="0C1687B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0.14</w:t>
            </w:r>
          </w:p>
        </w:tc>
        <w:tc>
          <w:tcPr>
            <w:tcW w:w="268" w:type="pct"/>
            <w:tcBorders>
              <w:tl2br w:val="nil"/>
              <w:tr2bl w:val="nil"/>
            </w:tcBorders>
            <w:noWrap w:val="0"/>
            <w:vAlign w:val="center"/>
          </w:tcPr>
          <w:p w14:paraId="49A69AD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0.80</w:t>
            </w:r>
          </w:p>
        </w:tc>
        <w:tc>
          <w:tcPr>
            <w:tcW w:w="319" w:type="pct"/>
            <w:tcBorders>
              <w:tl2br w:val="nil"/>
              <w:tr2bl w:val="nil"/>
            </w:tcBorders>
            <w:noWrap w:val="0"/>
            <w:vAlign w:val="center"/>
          </w:tcPr>
          <w:p w14:paraId="2A91D0B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0.58</w:t>
            </w:r>
          </w:p>
        </w:tc>
        <w:tc>
          <w:tcPr>
            <w:tcW w:w="303" w:type="pct"/>
            <w:tcBorders>
              <w:tl2br w:val="nil"/>
              <w:tr2bl w:val="nil"/>
            </w:tcBorders>
            <w:noWrap w:val="0"/>
            <w:vAlign w:val="center"/>
          </w:tcPr>
          <w:p w14:paraId="0990F25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1.76</w:t>
            </w:r>
          </w:p>
        </w:tc>
        <w:tc>
          <w:tcPr>
            <w:tcW w:w="278" w:type="pct"/>
            <w:tcBorders>
              <w:tl2br w:val="nil"/>
              <w:tr2bl w:val="nil"/>
            </w:tcBorders>
            <w:noWrap w:val="0"/>
            <w:vAlign w:val="center"/>
          </w:tcPr>
          <w:p w14:paraId="0650E6A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1.80</w:t>
            </w:r>
          </w:p>
        </w:tc>
        <w:tc>
          <w:tcPr>
            <w:tcW w:w="285" w:type="pct"/>
            <w:tcBorders>
              <w:tl2br w:val="nil"/>
              <w:tr2bl w:val="nil"/>
            </w:tcBorders>
            <w:noWrap w:val="0"/>
            <w:vAlign w:val="center"/>
          </w:tcPr>
          <w:p w14:paraId="4D08028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0.0068</w:t>
            </w:r>
          </w:p>
        </w:tc>
        <w:tc>
          <w:tcPr>
            <w:tcW w:w="309" w:type="pct"/>
            <w:tcBorders>
              <w:tl2br w:val="nil"/>
              <w:tr2bl w:val="nil"/>
            </w:tcBorders>
            <w:noWrap w:val="0"/>
            <w:vAlign w:val="center"/>
          </w:tcPr>
          <w:p w14:paraId="0AA564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0.377</w:t>
            </w:r>
          </w:p>
        </w:tc>
        <w:tc>
          <w:tcPr>
            <w:tcW w:w="346" w:type="pct"/>
            <w:tcBorders>
              <w:tl2br w:val="nil"/>
              <w:tr2bl w:val="nil"/>
            </w:tcBorders>
            <w:noWrap w:val="0"/>
            <w:vAlign w:val="center"/>
          </w:tcPr>
          <w:p w14:paraId="00D081C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0CF913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0.005</w:t>
            </w:r>
          </w:p>
        </w:tc>
        <w:tc>
          <w:tcPr>
            <w:tcW w:w="391" w:type="pct"/>
            <w:tcBorders>
              <w:tl2br w:val="nil"/>
              <w:tr2bl w:val="nil"/>
            </w:tcBorders>
            <w:noWrap w:val="0"/>
            <w:vAlign w:val="center"/>
          </w:tcPr>
          <w:p w14:paraId="4B5416B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4B49BE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15E4EBE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万古村1号废渣1-2</w:t>
            </w:r>
          </w:p>
        </w:tc>
        <w:tc>
          <w:tcPr>
            <w:tcW w:w="339" w:type="pct"/>
            <w:tcBorders>
              <w:tl2br w:val="nil"/>
              <w:tr2bl w:val="nil"/>
            </w:tcBorders>
            <w:noWrap w:val="0"/>
            <w:vAlign w:val="center"/>
          </w:tcPr>
          <w:p w14:paraId="6CD5414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2BF7579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31080A3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7.55</w:t>
            </w:r>
          </w:p>
        </w:tc>
        <w:tc>
          <w:tcPr>
            <w:tcW w:w="304" w:type="pct"/>
            <w:tcBorders>
              <w:tl2br w:val="nil"/>
              <w:tr2bl w:val="nil"/>
            </w:tcBorders>
            <w:noWrap w:val="0"/>
            <w:vAlign w:val="center"/>
          </w:tcPr>
          <w:p w14:paraId="4367EAF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0.19</w:t>
            </w:r>
          </w:p>
        </w:tc>
        <w:tc>
          <w:tcPr>
            <w:tcW w:w="268" w:type="pct"/>
            <w:tcBorders>
              <w:tl2br w:val="nil"/>
              <w:tr2bl w:val="nil"/>
            </w:tcBorders>
            <w:noWrap w:val="0"/>
            <w:vAlign w:val="center"/>
          </w:tcPr>
          <w:p w14:paraId="662018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1.12</w:t>
            </w:r>
          </w:p>
        </w:tc>
        <w:tc>
          <w:tcPr>
            <w:tcW w:w="319" w:type="pct"/>
            <w:tcBorders>
              <w:tl2br w:val="nil"/>
              <w:tr2bl w:val="nil"/>
            </w:tcBorders>
            <w:noWrap w:val="0"/>
            <w:vAlign w:val="center"/>
          </w:tcPr>
          <w:p w14:paraId="17EFF29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1.13</w:t>
            </w:r>
          </w:p>
        </w:tc>
        <w:tc>
          <w:tcPr>
            <w:tcW w:w="303" w:type="pct"/>
            <w:tcBorders>
              <w:tl2br w:val="nil"/>
              <w:tr2bl w:val="nil"/>
            </w:tcBorders>
            <w:noWrap w:val="0"/>
            <w:vAlign w:val="center"/>
          </w:tcPr>
          <w:p w14:paraId="59DD090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5.98</w:t>
            </w:r>
          </w:p>
        </w:tc>
        <w:tc>
          <w:tcPr>
            <w:tcW w:w="278" w:type="pct"/>
            <w:tcBorders>
              <w:tl2br w:val="nil"/>
              <w:tr2bl w:val="nil"/>
            </w:tcBorders>
            <w:noWrap w:val="0"/>
            <w:vAlign w:val="center"/>
          </w:tcPr>
          <w:p w14:paraId="1388423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1.74</w:t>
            </w:r>
          </w:p>
        </w:tc>
        <w:tc>
          <w:tcPr>
            <w:tcW w:w="285" w:type="pct"/>
            <w:tcBorders>
              <w:tl2br w:val="nil"/>
              <w:tr2bl w:val="nil"/>
            </w:tcBorders>
            <w:noWrap w:val="0"/>
            <w:vAlign w:val="center"/>
          </w:tcPr>
          <w:p w14:paraId="397E902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0.0063</w:t>
            </w:r>
          </w:p>
        </w:tc>
        <w:tc>
          <w:tcPr>
            <w:tcW w:w="309" w:type="pct"/>
            <w:tcBorders>
              <w:tl2br w:val="nil"/>
              <w:tr2bl w:val="nil"/>
            </w:tcBorders>
            <w:noWrap w:val="0"/>
            <w:vAlign w:val="center"/>
          </w:tcPr>
          <w:p w14:paraId="6BDCCE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0.491</w:t>
            </w:r>
          </w:p>
        </w:tc>
        <w:tc>
          <w:tcPr>
            <w:tcW w:w="346" w:type="pct"/>
            <w:tcBorders>
              <w:tl2br w:val="nil"/>
              <w:tr2bl w:val="nil"/>
            </w:tcBorders>
            <w:noWrap w:val="0"/>
            <w:vAlign w:val="center"/>
          </w:tcPr>
          <w:p w14:paraId="098F6E0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0.00008</w:t>
            </w:r>
          </w:p>
        </w:tc>
        <w:tc>
          <w:tcPr>
            <w:tcW w:w="330" w:type="pct"/>
            <w:tcBorders>
              <w:tl2br w:val="nil"/>
              <w:tr2bl w:val="nil"/>
            </w:tcBorders>
            <w:noWrap w:val="0"/>
            <w:vAlign w:val="center"/>
          </w:tcPr>
          <w:p w14:paraId="78D348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0.014</w:t>
            </w:r>
          </w:p>
        </w:tc>
        <w:tc>
          <w:tcPr>
            <w:tcW w:w="391" w:type="pct"/>
            <w:tcBorders>
              <w:tl2br w:val="nil"/>
              <w:tr2bl w:val="nil"/>
            </w:tcBorders>
            <w:noWrap w:val="0"/>
            <w:vAlign w:val="center"/>
          </w:tcPr>
          <w:p w14:paraId="0E38A38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483825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466CFF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万古村1号废渣1-3</w:t>
            </w:r>
          </w:p>
        </w:tc>
        <w:tc>
          <w:tcPr>
            <w:tcW w:w="339" w:type="pct"/>
            <w:tcBorders>
              <w:tl2br w:val="nil"/>
              <w:tr2bl w:val="nil"/>
            </w:tcBorders>
            <w:noWrap w:val="0"/>
            <w:vAlign w:val="center"/>
          </w:tcPr>
          <w:p w14:paraId="441EEB9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0FE40B9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6B5E999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7.25</w:t>
            </w:r>
          </w:p>
        </w:tc>
        <w:tc>
          <w:tcPr>
            <w:tcW w:w="304" w:type="pct"/>
            <w:tcBorders>
              <w:tl2br w:val="nil"/>
              <w:tr2bl w:val="nil"/>
            </w:tcBorders>
            <w:noWrap w:val="0"/>
            <w:vAlign w:val="center"/>
          </w:tcPr>
          <w:p w14:paraId="1472BF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68" w:type="pct"/>
            <w:tcBorders>
              <w:tl2br w:val="nil"/>
              <w:tr2bl w:val="nil"/>
            </w:tcBorders>
            <w:noWrap w:val="0"/>
            <w:vAlign w:val="center"/>
          </w:tcPr>
          <w:p w14:paraId="63F80BB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0.98</w:t>
            </w:r>
          </w:p>
        </w:tc>
        <w:tc>
          <w:tcPr>
            <w:tcW w:w="319" w:type="pct"/>
            <w:tcBorders>
              <w:tl2br w:val="nil"/>
              <w:tr2bl w:val="nil"/>
            </w:tcBorders>
            <w:noWrap w:val="0"/>
            <w:vAlign w:val="center"/>
          </w:tcPr>
          <w:p w14:paraId="6B9745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0.08</w:t>
            </w:r>
          </w:p>
        </w:tc>
        <w:tc>
          <w:tcPr>
            <w:tcW w:w="303" w:type="pct"/>
            <w:tcBorders>
              <w:tl2br w:val="nil"/>
              <w:tr2bl w:val="nil"/>
            </w:tcBorders>
            <w:noWrap w:val="0"/>
            <w:vAlign w:val="center"/>
          </w:tcPr>
          <w:p w14:paraId="7E3DBF3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1.56</w:t>
            </w:r>
          </w:p>
        </w:tc>
        <w:tc>
          <w:tcPr>
            <w:tcW w:w="278" w:type="pct"/>
            <w:tcBorders>
              <w:tl2br w:val="nil"/>
              <w:tr2bl w:val="nil"/>
            </w:tcBorders>
            <w:noWrap w:val="0"/>
            <w:vAlign w:val="center"/>
          </w:tcPr>
          <w:p w14:paraId="0DE71CA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2.15</w:t>
            </w:r>
          </w:p>
        </w:tc>
        <w:tc>
          <w:tcPr>
            <w:tcW w:w="285" w:type="pct"/>
            <w:tcBorders>
              <w:tl2br w:val="nil"/>
              <w:tr2bl w:val="nil"/>
            </w:tcBorders>
            <w:noWrap w:val="0"/>
            <w:vAlign w:val="center"/>
          </w:tcPr>
          <w:p w14:paraId="5F96A7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0.0020</w:t>
            </w:r>
          </w:p>
        </w:tc>
        <w:tc>
          <w:tcPr>
            <w:tcW w:w="309" w:type="pct"/>
            <w:tcBorders>
              <w:tl2br w:val="nil"/>
              <w:tr2bl w:val="nil"/>
            </w:tcBorders>
            <w:noWrap w:val="0"/>
            <w:vAlign w:val="center"/>
          </w:tcPr>
          <w:p w14:paraId="0272BFD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0.0100</w:t>
            </w:r>
          </w:p>
        </w:tc>
        <w:tc>
          <w:tcPr>
            <w:tcW w:w="346" w:type="pct"/>
            <w:tcBorders>
              <w:tl2br w:val="nil"/>
              <w:tr2bl w:val="nil"/>
            </w:tcBorders>
            <w:noWrap w:val="0"/>
            <w:vAlign w:val="center"/>
          </w:tcPr>
          <w:p w14:paraId="59F8A8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0.00006</w:t>
            </w:r>
          </w:p>
        </w:tc>
        <w:tc>
          <w:tcPr>
            <w:tcW w:w="330" w:type="pct"/>
            <w:tcBorders>
              <w:tl2br w:val="nil"/>
              <w:tr2bl w:val="nil"/>
            </w:tcBorders>
            <w:noWrap w:val="0"/>
            <w:vAlign w:val="center"/>
          </w:tcPr>
          <w:p w14:paraId="2843F13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3C06C45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6F9854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430CBD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万古村1号废渣1-4</w:t>
            </w:r>
          </w:p>
        </w:tc>
        <w:tc>
          <w:tcPr>
            <w:tcW w:w="339" w:type="pct"/>
            <w:tcBorders>
              <w:tl2br w:val="nil"/>
              <w:tr2bl w:val="nil"/>
            </w:tcBorders>
            <w:noWrap w:val="0"/>
            <w:vAlign w:val="center"/>
          </w:tcPr>
          <w:p w14:paraId="4472E0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0530C1F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16CD1C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7.95</w:t>
            </w:r>
          </w:p>
        </w:tc>
        <w:tc>
          <w:tcPr>
            <w:tcW w:w="304" w:type="pct"/>
            <w:tcBorders>
              <w:tl2br w:val="nil"/>
              <w:tr2bl w:val="nil"/>
            </w:tcBorders>
            <w:noWrap w:val="0"/>
            <w:vAlign w:val="center"/>
          </w:tcPr>
          <w:p w14:paraId="304A1F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0.20</w:t>
            </w:r>
          </w:p>
        </w:tc>
        <w:tc>
          <w:tcPr>
            <w:tcW w:w="268" w:type="pct"/>
            <w:tcBorders>
              <w:tl2br w:val="nil"/>
              <w:tr2bl w:val="nil"/>
            </w:tcBorders>
            <w:noWrap w:val="0"/>
            <w:vAlign w:val="center"/>
          </w:tcPr>
          <w:p w14:paraId="5CBF4F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1.04</w:t>
            </w:r>
          </w:p>
        </w:tc>
        <w:tc>
          <w:tcPr>
            <w:tcW w:w="319" w:type="pct"/>
            <w:tcBorders>
              <w:tl2br w:val="nil"/>
              <w:tr2bl w:val="nil"/>
            </w:tcBorders>
            <w:noWrap w:val="0"/>
            <w:vAlign w:val="center"/>
          </w:tcPr>
          <w:p w14:paraId="3F876D1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1.06</w:t>
            </w:r>
          </w:p>
        </w:tc>
        <w:tc>
          <w:tcPr>
            <w:tcW w:w="303" w:type="pct"/>
            <w:tcBorders>
              <w:tl2br w:val="nil"/>
              <w:tr2bl w:val="nil"/>
            </w:tcBorders>
            <w:noWrap w:val="0"/>
            <w:vAlign w:val="center"/>
          </w:tcPr>
          <w:p w14:paraId="3CD08D0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1.48</w:t>
            </w:r>
          </w:p>
        </w:tc>
        <w:tc>
          <w:tcPr>
            <w:tcW w:w="278" w:type="pct"/>
            <w:tcBorders>
              <w:tl2br w:val="nil"/>
              <w:tr2bl w:val="nil"/>
            </w:tcBorders>
            <w:noWrap w:val="0"/>
            <w:vAlign w:val="center"/>
          </w:tcPr>
          <w:p w14:paraId="67C1331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3.55</w:t>
            </w:r>
          </w:p>
        </w:tc>
        <w:tc>
          <w:tcPr>
            <w:tcW w:w="285" w:type="pct"/>
            <w:tcBorders>
              <w:tl2br w:val="nil"/>
              <w:tr2bl w:val="nil"/>
            </w:tcBorders>
            <w:noWrap w:val="0"/>
            <w:vAlign w:val="center"/>
          </w:tcPr>
          <w:p w14:paraId="4DE96EA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0.0183</w:t>
            </w:r>
          </w:p>
        </w:tc>
        <w:tc>
          <w:tcPr>
            <w:tcW w:w="309" w:type="pct"/>
            <w:tcBorders>
              <w:tl2br w:val="nil"/>
              <w:tr2bl w:val="nil"/>
            </w:tcBorders>
            <w:noWrap w:val="0"/>
            <w:vAlign w:val="center"/>
          </w:tcPr>
          <w:p w14:paraId="0204A55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0.130</w:t>
            </w:r>
          </w:p>
        </w:tc>
        <w:tc>
          <w:tcPr>
            <w:tcW w:w="346" w:type="pct"/>
            <w:tcBorders>
              <w:tl2br w:val="nil"/>
              <w:tr2bl w:val="nil"/>
            </w:tcBorders>
            <w:noWrap w:val="0"/>
            <w:vAlign w:val="center"/>
          </w:tcPr>
          <w:p w14:paraId="16C0A23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0.00007</w:t>
            </w:r>
          </w:p>
        </w:tc>
        <w:tc>
          <w:tcPr>
            <w:tcW w:w="330" w:type="pct"/>
            <w:tcBorders>
              <w:tl2br w:val="nil"/>
              <w:tr2bl w:val="nil"/>
            </w:tcBorders>
            <w:noWrap w:val="0"/>
            <w:vAlign w:val="center"/>
          </w:tcPr>
          <w:p w14:paraId="4033841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0.007</w:t>
            </w:r>
          </w:p>
        </w:tc>
        <w:tc>
          <w:tcPr>
            <w:tcW w:w="391" w:type="pct"/>
            <w:tcBorders>
              <w:tl2br w:val="nil"/>
              <w:tr2bl w:val="nil"/>
            </w:tcBorders>
            <w:noWrap w:val="0"/>
            <w:vAlign w:val="center"/>
          </w:tcPr>
          <w:p w14:paraId="35A0B31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7B49AE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6B10838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万古村1号废渣1-5</w:t>
            </w:r>
          </w:p>
        </w:tc>
        <w:tc>
          <w:tcPr>
            <w:tcW w:w="339" w:type="pct"/>
            <w:tcBorders>
              <w:tl2br w:val="nil"/>
              <w:tr2bl w:val="nil"/>
            </w:tcBorders>
            <w:noWrap w:val="0"/>
            <w:vAlign w:val="center"/>
          </w:tcPr>
          <w:p w14:paraId="3196818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7E41615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05BA8A6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8.02</w:t>
            </w:r>
          </w:p>
        </w:tc>
        <w:tc>
          <w:tcPr>
            <w:tcW w:w="304" w:type="pct"/>
            <w:tcBorders>
              <w:tl2br w:val="nil"/>
              <w:tr2bl w:val="nil"/>
            </w:tcBorders>
            <w:noWrap w:val="0"/>
            <w:vAlign w:val="center"/>
          </w:tcPr>
          <w:p w14:paraId="592DBD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68" w:type="pct"/>
            <w:tcBorders>
              <w:tl2br w:val="nil"/>
              <w:tr2bl w:val="nil"/>
            </w:tcBorders>
            <w:noWrap w:val="0"/>
            <w:vAlign w:val="center"/>
          </w:tcPr>
          <w:p w14:paraId="6A9D235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0.36</w:t>
            </w:r>
          </w:p>
        </w:tc>
        <w:tc>
          <w:tcPr>
            <w:tcW w:w="319" w:type="pct"/>
            <w:tcBorders>
              <w:tl2br w:val="nil"/>
              <w:tr2bl w:val="nil"/>
            </w:tcBorders>
            <w:noWrap w:val="0"/>
            <w:vAlign w:val="center"/>
          </w:tcPr>
          <w:p w14:paraId="65621D5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38C8822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0.13</w:t>
            </w:r>
          </w:p>
        </w:tc>
        <w:tc>
          <w:tcPr>
            <w:tcW w:w="278" w:type="pct"/>
            <w:tcBorders>
              <w:tl2br w:val="nil"/>
              <w:tr2bl w:val="nil"/>
            </w:tcBorders>
            <w:noWrap w:val="0"/>
            <w:vAlign w:val="center"/>
          </w:tcPr>
          <w:p w14:paraId="104D35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4.44</w:t>
            </w:r>
          </w:p>
        </w:tc>
        <w:tc>
          <w:tcPr>
            <w:tcW w:w="285" w:type="pct"/>
            <w:tcBorders>
              <w:tl2br w:val="nil"/>
              <w:tr2bl w:val="nil"/>
            </w:tcBorders>
            <w:noWrap w:val="0"/>
            <w:vAlign w:val="center"/>
          </w:tcPr>
          <w:p w14:paraId="1C78AA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67B615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C1C1C7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0.00009</w:t>
            </w:r>
          </w:p>
        </w:tc>
        <w:tc>
          <w:tcPr>
            <w:tcW w:w="330" w:type="pct"/>
            <w:tcBorders>
              <w:tl2br w:val="nil"/>
              <w:tr2bl w:val="nil"/>
            </w:tcBorders>
            <w:noWrap w:val="0"/>
            <w:vAlign w:val="center"/>
          </w:tcPr>
          <w:p w14:paraId="428E90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08B310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0827CB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17C54B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万古村2号废渣2-2</w:t>
            </w:r>
          </w:p>
        </w:tc>
        <w:tc>
          <w:tcPr>
            <w:tcW w:w="339" w:type="pct"/>
            <w:tcBorders>
              <w:tl2br w:val="nil"/>
              <w:tr2bl w:val="nil"/>
            </w:tcBorders>
            <w:noWrap w:val="0"/>
            <w:vAlign w:val="center"/>
          </w:tcPr>
          <w:p w14:paraId="6254855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06.29</w:t>
            </w:r>
          </w:p>
        </w:tc>
        <w:tc>
          <w:tcPr>
            <w:tcW w:w="514" w:type="pct"/>
            <w:tcBorders>
              <w:tl2br w:val="nil"/>
              <w:tr2bl w:val="nil"/>
            </w:tcBorders>
            <w:noWrap w:val="0"/>
            <w:vAlign w:val="center"/>
          </w:tcPr>
          <w:p w14:paraId="5D3E5EF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7B0B664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8.81</w:t>
            </w:r>
          </w:p>
        </w:tc>
        <w:tc>
          <w:tcPr>
            <w:tcW w:w="304" w:type="pct"/>
            <w:tcBorders>
              <w:tl2br w:val="nil"/>
              <w:tr2bl w:val="nil"/>
            </w:tcBorders>
            <w:noWrap w:val="0"/>
            <w:vAlign w:val="center"/>
          </w:tcPr>
          <w:p w14:paraId="69686B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0.32</w:t>
            </w:r>
          </w:p>
        </w:tc>
        <w:tc>
          <w:tcPr>
            <w:tcW w:w="268" w:type="pct"/>
            <w:tcBorders>
              <w:tl2br w:val="nil"/>
              <w:tr2bl w:val="nil"/>
            </w:tcBorders>
            <w:noWrap w:val="0"/>
            <w:vAlign w:val="center"/>
          </w:tcPr>
          <w:p w14:paraId="231354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0.85</w:t>
            </w:r>
          </w:p>
        </w:tc>
        <w:tc>
          <w:tcPr>
            <w:tcW w:w="319" w:type="pct"/>
            <w:tcBorders>
              <w:tl2br w:val="nil"/>
              <w:tr2bl w:val="nil"/>
            </w:tcBorders>
            <w:noWrap w:val="0"/>
            <w:vAlign w:val="center"/>
          </w:tcPr>
          <w:p w14:paraId="368FF8F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37613B9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1.80</w:t>
            </w:r>
          </w:p>
        </w:tc>
        <w:tc>
          <w:tcPr>
            <w:tcW w:w="278" w:type="pct"/>
            <w:tcBorders>
              <w:tl2br w:val="nil"/>
              <w:tr2bl w:val="nil"/>
            </w:tcBorders>
            <w:noWrap w:val="0"/>
            <w:vAlign w:val="center"/>
          </w:tcPr>
          <w:p w14:paraId="733CB2A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4.03</w:t>
            </w:r>
          </w:p>
        </w:tc>
        <w:tc>
          <w:tcPr>
            <w:tcW w:w="285" w:type="pct"/>
            <w:tcBorders>
              <w:tl2br w:val="nil"/>
              <w:tr2bl w:val="nil"/>
            </w:tcBorders>
            <w:noWrap w:val="0"/>
            <w:vAlign w:val="center"/>
          </w:tcPr>
          <w:p w14:paraId="3294F09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1D23BE9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717660D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5AB3986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6D85BE1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4F8733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1CC468E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万古村2号废渣2-3</w:t>
            </w:r>
          </w:p>
        </w:tc>
        <w:tc>
          <w:tcPr>
            <w:tcW w:w="339" w:type="pct"/>
            <w:tcBorders>
              <w:tl2br w:val="nil"/>
              <w:tr2bl w:val="nil"/>
            </w:tcBorders>
            <w:noWrap w:val="0"/>
            <w:vAlign w:val="center"/>
          </w:tcPr>
          <w:p w14:paraId="1F96E58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06.29</w:t>
            </w:r>
          </w:p>
        </w:tc>
        <w:tc>
          <w:tcPr>
            <w:tcW w:w="514" w:type="pct"/>
            <w:tcBorders>
              <w:tl2br w:val="nil"/>
              <w:tr2bl w:val="nil"/>
            </w:tcBorders>
            <w:noWrap w:val="0"/>
            <w:vAlign w:val="center"/>
          </w:tcPr>
          <w:p w14:paraId="136B2BD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灰黑色、固态</w:t>
            </w:r>
          </w:p>
        </w:tc>
        <w:tc>
          <w:tcPr>
            <w:tcW w:w="288" w:type="pct"/>
            <w:tcBorders>
              <w:tl2br w:val="nil"/>
              <w:tr2bl w:val="nil"/>
            </w:tcBorders>
            <w:noWrap w:val="0"/>
            <w:vAlign w:val="center"/>
          </w:tcPr>
          <w:p w14:paraId="6EED761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7.52</w:t>
            </w:r>
          </w:p>
        </w:tc>
        <w:tc>
          <w:tcPr>
            <w:tcW w:w="304" w:type="pct"/>
            <w:tcBorders>
              <w:tl2br w:val="nil"/>
              <w:tr2bl w:val="nil"/>
            </w:tcBorders>
            <w:noWrap w:val="0"/>
            <w:vAlign w:val="center"/>
          </w:tcPr>
          <w:p w14:paraId="3136CE8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0.24</w:t>
            </w:r>
          </w:p>
        </w:tc>
        <w:tc>
          <w:tcPr>
            <w:tcW w:w="268" w:type="pct"/>
            <w:tcBorders>
              <w:tl2br w:val="nil"/>
              <w:tr2bl w:val="nil"/>
            </w:tcBorders>
            <w:noWrap w:val="0"/>
            <w:vAlign w:val="center"/>
          </w:tcPr>
          <w:p w14:paraId="0FF8F80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0.80</w:t>
            </w:r>
          </w:p>
        </w:tc>
        <w:tc>
          <w:tcPr>
            <w:tcW w:w="319" w:type="pct"/>
            <w:tcBorders>
              <w:tl2br w:val="nil"/>
              <w:tr2bl w:val="nil"/>
            </w:tcBorders>
            <w:noWrap w:val="0"/>
            <w:vAlign w:val="center"/>
          </w:tcPr>
          <w:p w14:paraId="4EFE958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0.13</w:t>
            </w:r>
          </w:p>
        </w:tc>
        <w:tc>
          <w:tcPr>
            <w:tcW w:w="303" w:type="pct"/>
            <w:tcBorders>
              <w:tl2br w:val="nil"/>
              <w:tr2bl w:val="nil"/>
            </w:tcBorders>
            <w:noWrap w:val="0"/>
            <w:vAlign w:val="center"/>
          </w:tcPr>
          <w:p w14:paraId="1F5B72F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1.98</w:t>
            </w:r>
          </w:p>
        </w:tc>
        <w:tc>
          <w:tcPr>
            <w:tcW w:w="278" w:type="pct"/>
            <w:tcBorders>
              <w:tl2br w:val="nil"/>
              <w:tr2bl w:val="nil"/>
            </w:tcBorders>
            <w:noWrap w:val="0"/>
            <w:vAlign w:val="center"/>
          </w:tcPr>
          <w:p w14:paraId="16D8143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4.00</w:t>
            </w:r>
          </w:p>
        </w:tc>
        <w:tc>
          <w:tcPr>
            <w:tcW w:w="285" w:type="pct"/>
            <w:tcBorders>
              <w:tl2br w:val="nil"/>
              <w:tr2bl w:val="nil"/>
            </w:tcBorders>
            <w:noWrap w:val="0"/>
            <w:vAlign w:val="center"/>
          </w:tcPr>
          <w:p w14:paraId="0CA0029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0.0035</w:t>
            </w:r>
          </w:p>
        </w:tc>
        <w:tc>
          <w:tcPr>
            <w:tcW w:w="309" w:type="pct"/>
            <w:tcBorders>
              <w:tl2br w:val="nil"/>
              <w:tr2bl w:val="nil"/>
            </w:tcBorders>
            <w:noWrap w:val="0"/>
            <w:vAlign w:val="center"/>
          </w:tcPr>
          <w:p w14:paraId="7A1E35A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2E0A7FE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0.00009</w:t>
            </w:r>
          </w:p>
        </w:tc>
        <w:tc>
          <w:tcPr>
            <w:tcW w:w="330" w:type="pct"/>
            <w:tcBorders>
              <w:tl2br w:val="nil"/>
              <w:tr2bl w:val="nil"/>
            </w:tcBorders>
            <w:noWrap w:val="0"/>
            <w:vAlign w:val="center"/>
          </w:tcPr>
          <w:p w14:paraId="16D2277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61BF4C0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59872B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2D104A5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万古村2号废渣2-4</w:t>
            </w:r>
          </w:p>
        </w:tc>
        <w:tc>
          <w:tcPr>
            <w:tcW w:w="339" w:type="pct"/>
            <w:tcBorders>
              <w:tl2br w:val="nil"/>
              <w:tr2bl w:val="nil"/>
            </w:tcBorders>
            <w:noWrap w:val="0"/>
            <w:vAlign w:val="center"/>
          </w:tcPr>
          <w:p w14:paraId="2497D40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0000FB2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灰黑色、固态</w:t>
            </w:r>
          </w:p>
        </w:tc>
        <w:tc>
          <w:tcPr>
            <w:tcW w:w="288" w:type="pct"/>
            <w:tcBorders>
              <w:tl2br w:val="nil"/>
              <w:tr2bl w:val="nil"/>
            </w:tcBorders>
            <w:noWrap w:val="0"/>
            <w:vAlign w:val="center"/>
          </w:tcPr>
          <w:p w14:paraId="0D4BEC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6.78</w:t>
            </w:r>
          </w:p>
        </w:tc>
        <w:tc>
          <w:tcPr>
            <w:tcW w:w="304" w:type="pct"/>
            <w:tcBorders>
              <w:tl2br w:val="nil"/>
              <w:tr2bl w:val="nil"/>
            </w:tcBorders>
            <w:noWrap w:val="0"/>
            <w:vAlign w:val="center"/>
          </w:tcPr>
          <w:p w14:paraId="629DCFA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0.41</w:t>
            </w:r>
          </w:p>
        </w:tc>
        <w:tc>
          <w:tcPr>
            <w:tcW w:w="268" w:type="pct"/>
            <w:tcBorders>
              <w:tl2br w:val="nil"/>
              <w:tr2bl w:val="nil"/>
            </w:tcBorders>
            <w:noWrap w:val="0"/>
            <w:vAlign w:val="center"/>
          </w:tcPr>
          <w:p w14:paraId="569F1B6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0.54</w:t>
            </w:r>
          </w:p>
        </w:tc>
        <w:tc>
          <w:tcPr>
            <w:tcW w:w="319" w:type="pct"/>
            <w:tcBorders>
              <w:tl2br w:val="nil"/>
              <w:tr2bl w:val="nil"/>
            </w:tcBorders>
            <w:noWrap w:val="0"/>
            <w:vAlign w:val="center"/>
          </w:tcPr>
          <w:p w14:paraId="12CED09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0.16</w:t>
            </w:r>
          </w:p>
        </w:tc>
        <w:tc>
          <w:tcPr>
            <w:tcW w:w="303" w:type="pct"/>
            <w:tcBorders>
              <w:tl2br w:val="nil"/>
              <w:tr2bl w:val="nil"/>
            </w:tcBorders>
            <w:noWrap w:val="0"/>
            <w:vAlign w:val="center"/>
          </w:tcPr>
          <w:p w14:paraId="1CDF2C1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5.34</w:t>
            </w:r>
          </w:p>
        </w:tc>
        <w:tc>
          <w:tcPr>
            <w:tcW w:w="278" w:type="pct"/>
            <w:tcBorders>
              <w:tl2br w:val="nil"/>
              <w:tr2bl w:val="nil"/>
            </w:tcBorders>
            <w:noWrap w:val="0"/>
            <w:vAlign w:val="center"/>
          </w:tcPr>
          <w:p w14:paraId="6C4938B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3.75</w:t>
            </w:r>
          </w:p>
        </w:tc>
        <w:tc>
          <w:tcPr>
            <w:tcW w:w="285" w:type="pct"/>
            <w:tcBorders>
              <w:tl2br w:val="nil"/>
              <w:tr2bl w:val="nil"/>
            </w:tcBorders>
            <w:noWrap w:val="0"/>
            <w:vAlign w:val="center"/>
          </w:tcPr>
          <w:p w14:paraId="14EA4E2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0.0021</w:t>
            </w:r>
          </w:p>
        </w:tc>
        <w:tc>
          <w:tcPr>
            <w:tcW w:w="309" w:type="pct"/>
            <w:tcBorders>
              <w:tl2br w:val="nil"/>
              <w:tr2bl w:val="nil"/>
            </w:tcBorders>
            <w:noWrap w:val="0"/>
            <w:vAlign w:val="center"/>
          </w:tcPr>
          <w:p w14:paraId="783D163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78E676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0.00004</w:t>
            </w:r>
          </w:p>
        </w:tc>
        <w:tc>
          <w:tcPr>
            <w:tcW w:w="330" w:type="pct"/>
            <w:tcBorders>
              <w:tl2br w:val="nil"/>
              <w:tr2bl w:val="nil"/>
            </w:tcBorders>
            <w:noWrap w:val="0"/>
            <w:vAlign w:val="center"/>
          </w:tcPr>
          <w:p w14:paraId="01929A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377D29A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91565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5BDEB58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万古村2号废渣2-5</w:t>
            </w:r>
          </w:p>
        </w:tc>
        <w:tc>
          <w:tcPr>
            <w:tcW w:w="339" w:type="pct"/>
            <w:tcBorders>
              <w:tl2br w:val="nil"/>
              <w:tr2bl w:val="nil"/>
            </w:tcBorders>
            <w:noWrap w:val="0"/>
            <w:vAlign w:val="center"/>
          </w:tcPr>
          <w:p w14:paraId="0AC1D45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3FD1DFD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359597C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8.18</w:t>
            </w:r>
          </w:p>
        </w:tc>
        <w:tc>
          <w:tcPr>
            <w:tcW w:w="304" w:type="pct"/>
            <w:tcBorders>
              <w:tl2br w:val="nil"/>
              <w:tr2bl w:val="nil"/>
            </w:tcBorders>
            <w:noWrap w:val="0"/>
            <w:vAlign w:val="center"/>
          </w:tcPr>
          <w:p w14:paraId="6BC7C7E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0.17</w:t>
            </w:r>
          </w:p>
        </w:tc>
        <w:tc>
          <w:tcPr>
            <w:tcW w:w="268" w:type="pct"/>
            <w:tcBorders>
              <w:tl2br w:val="nil"/>
              <w:tr2bl w:val="nil"/>
            </w:tcBorders>
            <w:noWrap w:val="0"/>
            <w:vAlign w:val="center"/>
          </w:tcPr>
          <w:p w14:paraId="7DD8A2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0.67</w:t>
            </w:r>
          </w:p>
        </w:tc>
        <w:tc>
          <w:tcPr>
            <w:tcW w:w="319" w:type="pct"/>
            <w:tcBorders>
              <w:tl2br w:val="nil"/>
              <w:tr2bl w:val="nil"/>
            </w:tcBorders>
            <w:noWrap w:val="0"/>
            <w:vAlign w:val="center"/>
          </w:tcPr>
          <w:p w14:paraId="36FC4C7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0.11</w:t>
            </w:r>
          </w:p>
        </w:tc>
        <w:tc>
          <w:tcPr>
            <w:tcW w:w="303" w:type="pct"/>
            <w:tcBorders>
              <w:tl2br w:val="nil"/>
              <w:tr2bl w:val="nil"/>
            </w:tcBorders>
            <w:noWrap w:val="0"/>
            <w:vAlign w:val="center"/>
          </w:tcPr>
          <w:p w14:paraId="1D3E506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6.66</w:t>
            </w:r>
          </w:p>
        </w:tc>
        <w:tc>
          <w:tcPr>
            <w:tcW w:w="278" w:type="pct"/>
            <w:tcBorders>
              <w:tl2br w:val="nil"/>
              <w:tr2bl w:val="nil"/>
            </w:tcBorders>
            <w:noWrap w:val="0"/>
            <w:vAlign w:val="center"/>
          </w:tcPr>
          <w:p w14:paraId="3F2D008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1.14</w:t>
            </w:r>
          </w:p>
        </w:tc>
        <w:tc>
          <w:tcPr>
            <w:tcW w:w="285" w:type="pct"/>
            <w:tcBorders>
              <w:tl2br w:val="nil"/>
              <w:tr2bl w:val="nil"/>
            </w:tcBorders>
            <w:noWrap w:val="0"/>
            <w:vAlign w:val="center"/>
          </w:tcPr>
          <w:p w14:paraId="1BDC74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08BEE7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40835C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50B2517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47183DA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76416C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2264CD9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万古村2号废渣2-6</w:t>
            </w:r>
          </w:p>
        </w:tc>
        <w:tc>
          <w:tcPr>
            <w:tcW w:w="339" w:type="pct"/>
            <w:tcBorders>
              <w:tl2br w:val="nil"/>
              <w:tr2bl w:val="nil"/>
            </w:tcBorders>
            <w:noWrap w:val="0"/>
            <w:vAlign w:val="center"/>
          </w:tcPr>
          <w:p w14:paraId="66BC8B7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22243D7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76F6D59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7.14</w:t>
            </w:r>
          </w:p>
        </w:tc>
        <w:tc>
          <w:tcPr>
            <w:tcW w:w="304" w:type="pct"/>
            <w:tcBorders>
              <w:tl2br w:val="nil"/>
              <w:tr2bl w:val="nil"/>
            </w:tcBorders>
            <w:noWrap w:val="0"/>
            <w:vAlign w:val="center"/>
          </w:tcPr>
          <w:p w14:paraId="437AE83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0.12</w:t>
            </w:r>
          </w:p>
        </w:tc>
        <w:tc>
          <w:tcPr>
            <w:tcW w:w="268" w:type="pct"/>
            <w:tcBorders>
              <w:tl2br w:val="nil"/>
              <w:tr2bl w:val="nil"/>
            </w:tcBorders>
            <w:noWrap w:val="0"/>
            <w:vAlign w:val="center"/>
          </w:tcPr>
          <w:p w14:paraId="53E83A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0.97</w:t>
            </w:r>
          </w:p>
        </w:tc>
        <w:tc>
          <w:tcPr>
            <w:tcW w:w="319" w:type="pct"/>
            <w:tcBorders>
              <w:tl2br w:val="nil"/>
              <w:tr2bl w:val="nil"/>
            </w:tcBorders>
            <w:noWrap w:val="0"/>
            <w:vAlign w:val="center"/>
          </w:tcPr>
          <w:p w14:paraId="07A109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0.12</w:t>
            </w:r>
          </w:p>
        </w:tc>
        <w:tc>
          <w:tcPr>
            <w:tcW w:w="303" w:type="pct"/>
            <w:tcBorders>
              <w:tl2br w:val="nil"/>
              <w:tr2bl w:val="nil"/>
            </w:tcBorders>
            <w:noWrap w:val="0"/>
            <w:vAlign w:val="center"/>
          </w:tcPr>
          <w:p w14:paraId="3722FF4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1.97</w:t>
            </w:r>
          </w:p>
        </w:tc>
        <w:tc>
          <w:tcPr>
            <w:tcW w:w="278" w:type="pct"/>
            <w:tcBorders>
              <w:tl2br w:val="nil"/>
              <w:tr2bl w:val="nil"/>
            </w:tcBorders>
            <w:noWrap w:val="0"/>
            <w:vAlign w:val="center"/>
          </w:tcPr>
          <w:p w14:paraId="5CCC425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2.05</w:t>
            </w:r>
          </w:p>
        </w:tc>
        <w:tc>
          <w:tcPr>
            <w:tcW w:w="285" w:type="pct"/>
            <w:tcBorders>
              <w:tl2br w:val="nil"/>
              <w:tr2bl w:val="nil"/>
            </w:tcBorders>
            <w:noWrap w:val="0"/>
            <w:vAlign w:val="center"/>
          </w:tcPr>
          <w:p w14:paraId="0DE8B36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0.0012</w:t>
            </w:r>
          </w:p>
        </w:tc>
        <w:tc>
          <w:tcPr>
            <w:tcW w:w="309" w:type="pct"/>
            <w:tcBorders>
              <w:tl2br w:val="nil"/>
              <w:tr2bl w:val="nil"/>
            </w:tcBorders>
            <w:noWrap w:val="0"/>
            <w:vAlign w:val="center"/>
          </w:tcPr>
          <w:p w14:paraId="4450D0E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0E66386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0.00004</w:t>
            </w:r>
          </w:p>
        </w:tc>
        <w:tc>
          <w:tcPr>
            <w:tcW w:w="330" w:type="pct"/>
            <w:tcBorders>
              <w:tl2br w:val="nil"/>
              <w:tr2bl w:val="nil"/>
            </w:tcBorders>
            <w:noWrap w:val="0"/>
            <w:vAlign w:val="center"/>
          </w:tcPr>
          <w:p w14:paraId="7A964A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541A9A5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204E4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18C0EF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万古村2号废渣2-7</w:t>
            </w:r>
          </w:p>
        </w:tc>
        <w:tc>
          <w:tcPr>
            <w:tcW w:w="339" w:type="pct"/>
            <w:tcBorders>
              <w:tl2br w:val="nil"/>
              <w:tr2bl w:val="nil"/>
            </w:tcBorders>
            <w:noWrap w:val="0"/>
            <w:vAlign w:val="center"/>
          </w:tcPr>
          <w:p w14:paraId="0499937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06.29</w:t>
            </w:r>
          </w:p>
        </w:tc>
        <w:tc>
          <w:tcPr>
            <w:tcW w:w="514" w:type="pct"/>
            <w:tcBorders>
              <w:tl2br w:val="nil"/>
              <w:tr2bl w:val="nil"/>
            </w:tcBorders>
            <w:noWrap w:val="0"/>
            <w:vAlign w:val="center"/>
          </w:tcPr>
          <w:p w14:paraId="7325B96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39C477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6.58</w:t>
            </w:r>
          </w:p>
        </w:tc>
        <w:tc>
          <w:tcPr>
            <w:tcW w:w="304" w:type="pct"/>
            <w:tcBorders>
              <w:tl2br w:val="nil"/>
              <w:tr2bl w:val="nil"/>
            </w:tcBorders>
            <w:noWrap w:val="0"/>
            <w:vAlign w:val="center"/>
          </w:tcPr>
          <w:p w14:paraId="7DFAD79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0.10</w:t>
            </w:r>
          </w:p>
        </w:tc>
        <w:tc>
          <w:tcPr>
            <w:tcW w:w="268" w:type="pct"/>
            <w:tcBorders>
              <w:tl2br w:val="nil"/>
              <w:tr2bl w:val="nil"/>
            </w:tcBorders>
            <w:noWrap w:val="0"/>
            <w:vAlign w:val="center"/>
          </w:tcPr>
          <w:p w14:paraId="53108A9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0.19</w:t>
            </w:r>
          </w:p>
        </w:tc>
        <w:tc>
          <w:tcPr>
            <w:tcW w:w="319" w:type="pct"/>
            <w:tcBorders>
              <w:tl2br w:val="nil"/>
              <w:tr2bl w:val="nil"/>
            </w:tcBorders>
            <w:noWrap w:val="0"/>
            <w:vAlign w:val="center"/>
          </w:tcPr>
          <w:p w14:paraId="6F3D939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0.11</w:t>
            </w:r>
          </w:p>
        </w:tc>
        <w:tc>
          <w:tcPr>
            <w:tcW w:w="303" w:type="pct"/>
            <w:tcBorders>
              <w:tl2br w:val="nil"/>
              <w:tr2bl w:val="nil"/>
            </w:tcBorders>
            <w:noWrap w:val="0"/>
            <w:vAlign w:val="center"/>
          </w:tcPr>
          <w:p w14:paraId="4820461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5.61</w:t>
            </w:r>
          </w:p>
        </w:tc>
        <w:tc>
          <w:tcPr>
            <w:tcW w:w="278" w:type="pct"/>
            <w:tcBorders>
              <w:tl2br w:val="nil"/>
              <w:tr2bl w:val="nil"/>
            </w:tcBorders>
            <w:noWrap w:val="0"/>
            <w:vAlign w:val="center"/>
          </w:tcPr>
          <w:p w14:paraId="523DB1A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1.74</w:t>
            </w:r>
          </w:p>
        </w:tc>
        <w:tc>
          <w:tcPr>
            <w:tcW w:w="285" w:type="pct"/>
            <w:tcBorders>
              <w:tl2br w:val="nil"/>
              <w:tr2bl w:val="nil"/>
            </w:tcBorders>
            <w:noWrap w:val="0"/>
            <w:vAlign w:val="center"/>
          </w:tcPr>
          <w:p w14:paraId="77706C9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0.0021</w:t>
            </w:r>
          </w:p>
        </w:tc>
        <w:tc>
          <w:tcPr>
            <w:tcW w:w="309" w:type="pct"/>
            <w:tcBorders>
              <w:tl2br w:val="nil"/>
              <w:tr2bl w:val="nil"/>
            </w:tcBorders>
            <w:noWrap w:val="0"/>
            <w:vAlign w:val="center"/>
          </w:tcPr>
          <w:p w14:paraId="12F0D5B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12CBBAF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0.00007</w:t>
            </w:r>
          </w:p>
        </w:tc>
        <w:tc>
          <w:tcPr>
            <w:tcW w:w="330" w:type="pct"/>
            <w:tcBorders>
              <w:tl2br w:val="nil"/>
              <w:tr2bl w:val="nil"/>
            </w:tcBorders>
            <w:noWrap w:val="0"/>
            <w:vAlign w:val="center"/>
          </w:tcPr>
          <w:p w14:paraId="3679BD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751D32B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481E5A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7B37F0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万古村2号废渣2-8</w:t>
            </w:r>
          </w:p>
        </w:tc>
        <w:tc>
          <w:tcPr>
            <w:tcW w:w="339" w:type="pct"/>
            <w:tcBorders>
              <w:tl2br w:val="nil"/>
              <w:tr2bl w:val="nil"/>
            </w:tcBorders>
            <w:noWrap w:val="0"/>
            <w:vAlign w:val="center"/>
          </w:tcPr>
          <w:p w14:paraId="348ECE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4FE1B3A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1A4653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8.20</w:t>
            </w:r>
          </w:p>
        </w:tc>
        <w:tc>
          <w:tcPr>
            <w:tcW w:w="304" w:type="pct"/>
            <w:tcBorders>
              <w:tl2br w:val="nil"/>
              <w:tr2bl w:val="nil"/>
            </w:tcBorders>
            <w:noWrap w:val="0"/>
            <w:vAlign w:val="center"/>
          </w:tcPr>
          <w:p w14:paraId="4C4ADD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0.12</w:t>
            </w:r>
          </w:p>
        </w:tc>
        <w:tc>
          <w:tcPr>
            <w:tcW w:w="268" w:type="pct"/>
            <w:tcBorders>
              <w:tl2br w:val="nil"/>
              <w:tr2bl w:val="nil"/>
            </w:tcBorders>
            <w:noWrap w:val="0"/>
            <w:vAlign w:val="center"/>
          </w:tcPr>
          <w:p w14:paraId="677385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9" w:type="pct"/>
            <w:tcBorders>
              <w:tl2br w:val="nil"/>
              <w:tr2bl w:val="nil"/>
            </w:tcBorders>
            <w:noWrap w:val="0"/>
            <w:vAlign w:val="center"/>
          </w:tcPr>
          <w:p w14:paraId="385B5D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46811E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0.52</w:t>
            </w:r>
          </w:p>
        </w:tc>
        <w:tc>
          <w:tcPr>
            <w:tcW w:w="278" w:type="pct"/>
            <w:tcBorders>
              <w:tl2br w:val="nil"/>
              <w:tr2bl w:val="nil"/>
            </w:tcBorders>
            <w:noWrap w:val="0"/>
            <w:vAlign w:val="center"/>
          </w:tcPr>
          <w:p w14:paraId="41726B3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3.07</w:t>
            </w:r>
          </w:p>
        </w:tc>
        <w:tc>
          <w:tcPr>
            <w:tcW w:w="285" w:type="pct"/>
            <w:tcBorders>
              <w:tl2br w:val="nil"/>
              <w:tr2bl w:val="nil"/>
            </w:tcBorders>
            <w:noWrap w:val="0"/>
            <w:vAlign w:val="center"/>
          </w:tcPr>
          <w:p w14:paraId="57C25A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44C58E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52AC28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10000A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35ABD9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A3285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78FEBE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万古村2号废渣2-9</w:t>
            </w:r>
          </w:p>
        </w:tc>
        <w:tc>
          <w:tcPr>
            <w:tcW w:w="339" w:type="pct"/>
            <w:tcBorders>
              <w:tl2br w:val="nil"/>
              <w:tr2bl w:val="nil"/>
            </w:tcBorders>
            <w:noWrap w:val="0"/>
            <w:vAlign w:val="center"/>
          </w:tcPr>
          <w:p w14:paraId="57825CF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06.29</w:t>
            </w:r>
          </w:p>
        </w:tc>
        <w:tc>
          <w:tcPr>
            <w:tcW w:w="514" w:type="pct"/>
            <w:tcBorders>
              <w:tl2br w:val="nil"/>
              <w:tr2bl w:val="nil"/>
            </w:tcBorders>
            <w:noWrap w:val="0"/>
            <w:vAlign w:val="center"/>
          </w:tcPr>
          <w:p w14:paraId="6E15EF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1EC8A3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8.52</w:t>
            </w:r>
          </w:p>
        </w:tc>
        <w:tc>
          <w:tcPr>
            <w:tcW w:w="304" w:type="pct"/>
            <w:tcBorders>
              <w:tl2br w:val="nil"/>
              <w:tr2bl w:val="nil"/>
            </w:tcBorders>
            <w:noWrap w:val="0"/>
            <w:vAlign w:val="center"/>
          </w:tcPr>
          <w:p w14:paraId="407B7EE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0.22</w:t>
            </w:r>
          </w:p>
        </w:tc>
        <w:tc>
          <w:tcPr>
            <w:tcW w:w="268" w:type="pct"/>
            <w:tcBorders>
              <w:tl2br w:val="nil"/>
              <w:tr2bl w:val="nil"/>
            </w:tcBorders>
            <w:noWrap w:val="0"/>
            <w:vAlign w:val="center"/>
          </w:tcPr>
          <w:p w14:paraId="6065A6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0.26</w:t>
            </w:r>
          </w:p>
        </w:tc>
        <w:tc>
          <w:tcPr>
            <w:tcW w:w="319" w:type="pct"/>
            <w:tcBorders>
              <w:tl2br w:val="nil"/>
              <w:tr2bl w:val="nil"/>
            </w:tcBorders>
            <w:noWrap w:val="0"/>
            <w:vAlign w:val="center"/>
          </w:tcPr>
          <w:p w14:paraId="696AD0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210BED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0.40</w:t>
            </w:r>
          </w:p>
        </w:tc>
        <w:tc>
          <w:tcPr>
            <w:tcW w:w="278" w:type="pct"/>
            <w:tcBorders>
              <w:tl2br w:val="nil"/>
              <w:tr2bl w:val="nil"/>
            </w:tcBorders>
            <w:noWrap w:val="0"/>
            <w:vAlign w:val="center"/>
          </w:tcPr>
          <w:p w14:paraId="50B24C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2.41</w:t>
            </w:r>
          </w:p>
        </w:tc>
        <w:tc>
          <w:tcPr>
            <w:tcW w:w="285" w:type="pct"/>
            <w:tcBorders>
              <w:tl2br w:val="nil"/>
              <w:tr2bl w:val="nil"/>
            </w:tcBorders>
            <w:noWrap w:val="0"/>
            <w:vAlign w:val="center"/>
          </w:tcPr>
          <w:p w14:paraId="6F5AD0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42FC823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554DF6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0.00003</w:t>
            </w:r>
          </w:p>
        </w:tc>
        <w:tc>
          <w:tcPr>
            <w:tcW w:w="330" w:type="pct"/>
            <w:tcBorders>
              <w:tl2br w:val="nil"/>
              <w:tr2bl w:val="nil"/>
            </w:tcBorders>
            <w:noWrap w:val="0"/>
            <w:vAlign w:val="center"/>
          </w:tcPr>
          <w:p w14:paraId="48B9AA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157127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6E4ED3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66FEB13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万古村2号废渣2-10</w:t>
            </w:r>
          </w:p>
        </w:tc>
        <w:tc>
          <w:tcPr>
            <w:tcW w:w="339" w:type="pct"/>
            <w:tcBorders>
              <w:tl2br w:val="nil"/>
              <w:tr2bl w:val="nil"/>
            </w:tcBorders>
            <w:noWrap w:val="0"/>
            <w:vAlign w:val="center"/>
          </w:tcPr>
          <w:p w14:paraId="3B31E43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38940A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7786DD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8.27</w:t>
            </w:r>
          </w:p>
        </w:tc>
        <w:tc>
          <w:tcPr>
            <w:tcW w:w="304" w:type="pct"/>
            <w:tcBorders>
              <w:tl2br w:val="nil"/>
              <w:tr2bl w:val="nil"/>
            </w:tcBorders>
            <w:noWrap w:val="0"/>
            <w:vAlign w:val="center"/>
          </w:tcPr>
          <w:p w14:paraId="771EBA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0.16</w:t>
            </w:r>
          </w:p>
        </w:tc>
        <w:tc>
          <w:tcPr>
            <w:tcW w:w="268" w:type="pct"/>
            <w:tcBorders>
              <w:tl2br w:val="nil"/>
              <w:tr2bl w:val="nil"/>
            </w:tcBorders>
            <w:noWrap w:val="0"/>
            <w:vAlign w:val="center"/>
          </w:tcPr>
          <w:p w14:paraId="7C73BA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0.72</w:t>
            </w:r>
          </w:p>
        </w:tc>
        <w:tc>
          <w:tcPr>
            <w:tcW w:w="319" w:type="pct"/>
            <w:tcBorders>
              <w:tl2br w:val="nil"/>
              <w:tr2bl w:val="nil"/>
            </w:tcBorders>
            <w:noWrap w:val="0"/>
            <w:vAlign w:val="center"/>
          </w:tcPr>
          <w:p w14:paraId="2A78B0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0E7A2E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0.70</w:t>
            </w:r>
          </w:p>
        </w:tc>
        <w:tc>
          <w:tcPr>
            <w:tcW w:w="278" w:type="pct"/>
            <w:tcBorders>
              <w:tl2br w:val="nil"/>
              <w:tr2bl w:val="nil"/>
            </w:tcBorders>
            <w:noWrap w:val="0"/>
            <w:vAlign w:val="center"/>
          </w:tcPr>
          <w:p w14:paraId="03CBE6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3.23</w:t>
            </w:r>
          </w:p>
        </w:tc>
        <w:tc>
          <w:tcPr>
            <w:tcW w:w="285" w:type="pct"/>
            <w:tcBorders>
              <w:tl2br w:val="nil"/>
              <w:tr2bl w:val="nil"/>
            </w:tcBorders>
            <w:noWrap w:val="0"/>
            <w:vAlign w:val="center"/>
          </w:tcPr>
          <w:p w14:paraId="30C9F5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540C82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5DF829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0.00008</w:t>
            </w:r>
          </w:p>
        </w:tc>
        <w:tc>
          <w:tcPr>
            <w:tcW w:w="330" w:type="pct"/>
            <w:tcBorders>
              <w:tl2br w:val="nil"/>
              <w:tr2bl w:val="nil"/>
            </w:tcBorders>
            <w:noWrap w:val="0"/>
            <w:vAlign w:val="center"/>
          </w:tcPr>
          <w:p w14:paraId="64E27A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156625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A9520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4B5D30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万古村2号废渣2-12</w:t>
            </w:r>
          </w:p>
        </w:tc>
        <w:tc>
          <w:tcPr>
            <w:tcW w:w="339" w:type="pct"/>
            <w:tcBorders>
              <w:tl2br w:val="nil"/>
              <w:tr2bl w:val="nil"/>
            </w:tcBorders>
            <w:noWrap w:val="0"/>
            <w:vAlign w:val="center"/>
          </w:tcPr>
          <w:p w14:paraId="617C27F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2CAC61B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3CFBE2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7.60</w:t>
            </w:r>
          </w:p>
        </w:tc>
        <w:tc>
          <w:tcPr>
            <w:tcW w:w="304" w:type="pct"/>
            <w:tcBorders>
              <w:tl2br w:val="nil"/>
              <w:tr2bl w:val="nil"/>
            </w:tcBorders>
            <w:noWrap w:val="0"/>
            <w:vAlign w:val="center"/>
          </w:tcPr>
          <w:p w14:paraId="18C05D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0.17</w:t>
            </w:r>
          </w:p>
        </w:tc>
        <w:tc>
          <w:tcPr>
            <w:tcW w:w="268" w:type="pct"/>
            <w:tcBorders>
              <w:tl2br w:val="nil"/>
              <w:tr2bl w:val="nil"/>
            </w:tcBorders>
            <w:noWrap w:val="0"/>
            <w:vAlign w:val="center"/>
          </w:tcPr>
          <w:p w14:paraId="5E7C05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0.50</w:t>
            </w:r>
          </w:p>
        </w:tc>
        <w:tc>
          <w:tcPr>
            <w:tcW w:w="319" w:type="pct"/>
            <w:tcBorders>
              <w:tl2br w:val="nil"/>
              <w:tr2bl w:val="nil"/>
            </w:tcBorders>
            <w:noWrap w:val="0"/>
            <w:vAlign w:val="center"/>
          </w:tcPr>
          <w:p w14:paraId="7E3E02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18BC71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0.98</w:t>
            </w:r>
          </w:p>
        </w:tc>
        <w:tc>
          <w:tcPr>
            <w:tcW w:w="278" w:type="pct"/>
            <w:tcBorders>
              <w:tl2br w:val="nil"/>
              <w:tr2bl w:val="nil"/>
            </w:tcBorders>
            <w:noWrap w:val="0"/>
            <w:vAlign w:val="center"/>
          </w:tcPr>
          <w:p w14:paraId="52A96B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2.04</w:t>
            </w:r>
          </w:p>
        </w:tc>
        <w:tc>
          <w:tcPr>
            <w:tcW w:w="285" w:type="pct"/>
            <w:tcBorders>
              <w:tl2br w:val="nil"/>
              <w:tr2bl w:val="nil"/>
            </w:tcBorders>
            <w:noWrap w:val="0"/>
            <w:vAlign w:val="center"/>
          </w:tcPr>
          <w:p w14:paraId="660FA6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7C6048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6C7DF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354586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48FA94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5E8166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076D62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万古村2号废渣2-13</w:t>
            </w:r>
          </w:p>
        </w:tc>
        <w:tc>
          <w:tcPr>
            <w:tcW w:w="339" w:type="pct"/>
            <w:tcBorders>
              <w:tl2br w:val="nil"/>
              <w:tr2bl w:val="nil"/>
            </w:tcBorders>
            <w:noWrap w:val="0"/>
            <w:vAlign w:val="center"/>
          </w:tcPr>
          <w:p w14:paraId="2B2199F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514" w:type="pct"/>
            <w:tcBorders>
              <w:tl2br w:val="nil"/>
              <w:tr2bl w:val="nil"/>
            </w:tcBorders>
            <w:noWrap w:val="0"/>
            <w:vAlign w:val="center"/>
          </w:tcPr>
          <w:p w14:paraId="61AC4C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123B7D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7.59</w:t>
            </w:r>
          </w:p>
        </w:tc>
        <w:tc>
          <w:tcPr>
            <w:tcW w:w="304" w:type="pct"/>
            <w:tcBorders>
              <w:tl2br w:val="nil"/>
              <w:tr2bl w:val="nil"/>
            </w:tcBorders>
            <w:noWrap w:val="0"/>
            <w:vAlign w:val="center"/>
          </w:tcPr>
          <w:p w14:paraId="0D7CA7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0.23</w:t>
            </w:r>
          </w:p>
        </w:tc>
        <w:tc>
          <w:tcPr>
            <w:tcW w:w="268" w:type="pct"/>
            <w:tcBorders>
              <w:tl2br w:val="nil"/>
              <w:tr2bl w:val="nil"/>
            </w:tcBorders>
            <w:noWrap w:val="0"/>
            <w:vAlign w:val="center"/>
          </w:tcPr>
          <w:p w14:paraId="413CE8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0.53</w:t>
            </w:r>
          </w:p>
        </w:tc>
        <w:tc>
          <w:tcPr>
            <w:tcW w:w="319" w:type="pct"/>
            <w:tcBorders>
              <w:tl2br w:val="nil"/>
              <w:tr2bl w:val="nil"/>
            </w:tcBorders>
            <w:noWrap w:val="0"/>
            <w:vAlign w:val="center"/>
          </w:tcPr>
          <w:p w14:paraId="059D0B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0.41</w:t>
            </w:r>
          </w:p>
        </w:tc>
        <w:tc>
          <w:tcPr>
            <w:tcW w:w="303" w:type="pct"/>
            <w:tcBorders>
              <w:tl2br w:val="nil"/>
              <w:tr2bl w:val="nil"/>
            </w:tcBorders>
            <w:noWrap w:val="0"/>
            <w:vAlign w:val="center"/>
          </w:tcPr>
          <w:p w14:paraId="4111C6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3.72</w:t>
            </w:r>
          </w:p>
        </w:tc>
        <w:tc>
          <w:tcPr>
            <w:tcW w:w="278" w:type="pct"/>
            <w:tcBorders>
              <w:tl2br w:val="nil"/>
              <w:tr2bl w:val="nil"/>
            </w:tcBorders>
            <w:noWrap w:val="0"/>
            <w:vAlign w:val="center"/>
          </w:tcPr>
          <w:p w14:paraId="6698C7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2.57</w:t>
            </w:r>
          </w:p>
        </w:tc>
        <w:tc>
          <w:tcPr>
            <w:tcW w:w="285" w:type="pct"/>
            <w:tcBorders>
              <w:tl2br w:val="nil"/>
              <w:tr2bl w:val="nil"/>
            </w:tcBorders>
            <w:noWrap w:val="0"/>
            <w:vAlign w:val="center"/>
          </w:tcPr>
          <w:p w14:paraId="7F84B5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0.0013</w:t>
            </w:r>
          </w:p>
        </w:tc>
        <w:tc>
          <w:tcPr>
            <w:tcW w:w="309" w:type="pct"/>
            <w:tcBorders>
              <w:tl2br w:val="nil"/>
              <w:tr2bl w:val="nil"/>
            </w:tcBorders>
            <w:noWrap w:val="0"/>
            <w:vAlign w:val="center"/>
          </w:tcPr>
          <w:p w14:paraId="2856CF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0.0291</w:t>
            </w:r>
          </w:p>
        </w:tc>
        <w:tc>
          <w:tcPr>
            <w:tcW w:w="346" w:type="pct"/>
            <w:tcBorders>
              <w:tl2br w:val="nil"/>
              <w:tr2bl w:val="nil"/>
            </w:tcBorders>
            <w:noWrap w:val="0"/>
            <w:vAlign w:val="center"/>
          </w:tcPr>
          <w:p w14:paraId="1B71AD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20F7CD9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10B8FC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278066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0B0211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万古村2号废渣2-14</w:t>
            </w:r>
          </w:p>
        </w:tc>
        <w:tc>
          <w:tcPr>
            <w:tcW w:w="339" w:type="pct"/>
            <w:tcBorders>
              <w:tl2br w:val="nil"/>
              <w:tr2bl w:val="nil"/>
            </w:tcBorders>
            <w:noWrap w:val="0"/>
            <w:vAlign w:val="center"/>
          </w:tcPr>
          <w:p w14:paraId="6B9CBC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3848FF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624B2F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7.59</w:t>
            </w:r>
          </w:p>
        </w:tc>
        <w:tc>
          <w:tcPr>
            <w:tcW w:w="304" w:type="pct"/>
            <w:tcBorders>
              <w:tl2br w:val="nil"/>
              <w:tr2bl w:val="nil"/>
            </w:tcBorders>
            <w:noWrap w:val="0"/>
            <w:vAlign w:val="center"/>
          </w:tcPr>
          <w:p w14:paraId="5D6F5F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0.30</w:t>
            </w:r>
          </w:p>
        </w:tc>
        <w:tc>
          <w:tcPr>
            <w:tcW w:w="268" w:type="pct"/>
            <w:tcBorders>
              <w:tl2br w:val="nil"/>
              <w:tr2bl w:val="nil"/>
            </w:tcBorders>
            <w:noWrap w:val="0"/>
            <w:vAlign w:val="center"/>
          </w:tcPr>
          <w:p w14:paraId="4730E9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0.88</w:t>
            </w:r>
          </w:p>
        </w:tc>
        <w:tc>
          <w:tcPr>
            <w:tcW w:w="319" w:type="pct"/>
            <w:tcBorders>
              <w:tl2br w:val="nil"/>
              <w:tr2bl w:val="nil"/>
            </w:tcBorders>
            <w:noWrap w:val="0"/>
            <w:vAlign w:val="center"/>
          </w:tcPr>
          <w:p w14:paraId="4D2887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0.76</w:t>
            </w:r>
          </w:p>
        </w:tc>
        <w:tc>
          <w:tcPr>
            <w:tcW w:w="303" w:type="pct"/>
            <w:tcBorders>
              <w:tl2br w:val="nil"/>
              <w:tr2bl w:val="nil"/>
            </w:tcBorders>
            <w:noWrap w:val="0"/>
            <w:vAlign w:val="center"/>
          </w:tcPr>
          <w:p w14:paraId="529FD6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4.01</w:t>
            </w:r>
          </w:p>
        </w:tc>
        <w:tc>
          <w:tcPr>
            <w:tcW w:w="278" w:type="pct"/>
            <w:tcBorders>
              <w:tl2br w:val="nil"/>
              <w:tr2bl w:val="nil"/>
            </w:tcBorders>
            <w:noWrap w:val="0"/>
            <w:vAlign w:val="center"/>
          </w:tcPr>
          <w:p w14:paraId="5276A7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1.18</w:t>
            </w:r>
          </w:p>
        </w:tc>
        <w:tc>
          <w:tcPr>
            <w:tcW w:w="285" w:type="pct"/>
            <w:tcBorders>
              <w:tl2br w:val="nil"/>
              <w:tr2bl w:val="nil"/>
            </w:tcBorders>
            <w:noWrap w:val="0"/>
            <w:vAlign w:val="center"/>
          </w:tcPr>
          <w:p w14:paraId="1265EF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0.0138</w:t>
            </w:r>
          </w:p>
        </w:tc>
        <w:tc>
          <w:tcPr>
            <w:tcW w:w="309" w:type="pct"/>
            <w:tcBorders>
              <w:tl2br w:val="nil"/>
              <w:tr2bl w:val="nil"/>
            </w:tcBorders>
            <w:noWrap w:val="0"/>
            <w:vAlign w:val="center"/>
          </w:tcPr>
          <w:p w14:paraId="515458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0.131</w:t>
            </w:r>
          </w:p>
        </w:tc>
        <w:tc>
          <w:tcPr>
            <w:tcW w:w="346" w:type="pct"/>
            <w:tcBorders>
              <w:tl2br w:val="nil"/>
              <w:tr2bl w:val="nil"/>
            </w:tcBorders>
            <w:noWrap w:val="0"/>
            <w:vAlign w:val="center"/>
          </w:tcPr>
          <w:p w14:paraId="5BC667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310A88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51C865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215B55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2EB73F3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万古村2号废渣2-15</w:t>
            </w:r>
          </w:p>
        </w:tc>
        <w:tc>
          <w:tcPr>
            <w:tcW w:w="339" w:type="pct"/>
            <w:tcBorders>
              <w:tl2br w:val="nil"/>
              <w:tr2bl w:val="nil"/>
            </w:tcBorders>
            <w:noWrap w:val="0"/>
            <w:vAlign w:val="center"/>
          </w:tcPr>
          <w:p w14:paraId="6A8BE65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05F171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3C36780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7.93</w:t>
            </w:r>
          </w:p>
        </w:tc>
        <w:tc>
          <w:tcPr>
            <w:tcW w:w="304" w:type="pct"/>
            <w:tcBorders>
              <w:tl2br w:val="nil"/>
              <w:tr2bl w:val="nil"/>
            </w:tcBorders>
            <w:noWrap w:val="0"/>
            <w:vAlign w:val="center"/>
          </w:tcPr>
          <w:p w14:paraId="41B576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0.37</w:t>
            </w:r>
          </w:p>
        </w:tc>
        <w:tc>
          <w:tcPr>
            <w:tcW w:w="268" w:type="pct"/>
            <w:tcBorders>
              <w:tl2br w:val="nil"/>
              <w:tr2bl w:val="nil"/>
            </w:tcBorders>
            <w:noWrap w:val="0"/>
            <w:vAlign w:val="center"/>
          </w:tcPr>
          <w:p w14:paraId="20A5CB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0.55</w:t>
            </w:r>
          </w:p>
        </w:tc>
        <w:tc>
          <w:tcPr>
            <w:tcW w:w="319" w:type="pct"/>
            <w:tcBorders>
              <w:tl2br w:val="nil"/>
              <w:tr2bl w:val="nil"/>
            </w:tcBorders>
            <w:noWrap w:val="0"/>
            <w:vAlign w:val="center"/>
          </w:tcPr>
          <w:p w14:paraId="4492FA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20D776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0.67</w:t>
            </w:r>
          </w:p>
        </w:tc>
        <w:tc>
          <w:tcPr>
            <w:tcW w:w="278" w:type="pct"/>
            <w:tcBorders>
              <w:tl2br w:val="nil"/>
              <w:tr2bl w:val="nil"/>
            </w:tcBorders>
            <w:noWrap w:val="0"/>
            <w:vAlign w:val="center"/>
          </w:tcPr>
          <w:p w14:paraId="6D248C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3.26</w:t>
            </w:r>
          </w:p>
        </w:tc>
        <w:tc>
          <w:tcPr>
            <w:tcW w:w="285" w:type="pct"/>
            <w:tcBorders>
              <w:tl2br w:val="nil"/>
              <w:tr2bl w:val="nil"/>
            </w:tcBorders>
            <w:noWrap w:val="0"/>
            <w:vAlign w:val="center"/>
          </w:tcPr>
          <w:p w14:paraId="227CA8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0A37F7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101227A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0.00008</w:t>
            </w:r>
          </w:p>
        </w:tc>
        <w:tc>
          <w:tcPr>
            <w:tcW w:w="330" w:type="pct"/>
            <w:tcBorders>
              <w:tl2br w:val="nil"/>
              <w:tr2bl w:val="nil"/>
            </w:tcBorders>
            <w:noWrap w:val="0"/>
            <w:vAlign w:val="center"/>
          </w:tcPr>
          <w:p w14:paraId="43D065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34ED63F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52507F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322EEEE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万古村2号废渣2-16</w:t>
            </w:r>
          </w:p>
        </w:tc>
        <w:tc>
          <w:tcPr>
            <w:tcW w:w="339" w:type="pct"/>
            <w:tcBorders>
              <w:tl2br w:val="nil"/>
              <w:tr2bl w:val="nil"/>
            </w:tcBorders>
            <w:noWrap w:val="0"/>
            <w:vAlign w:val="center"/>
          </w:tcPr>
          <w:p w14:paraId="5B48216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136243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670DAA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7.36</w:t>
            </w:r>
          </w:p>
        </w:tc>
        <w:tc>
          <w:tcPr>
            <w:tcW w:w="304" w:type="pct"/>
            <w:tcBorders>
              <w:tl2br w:val="nil"/>
              <w:tr2bl w:val="nil"/>
            </w:tcBorders>
            <w:noWrap w:val="0"/>
            <w:vAlign w:val="center"/>
          </w:tcPr>
          <w:p w14:paraId="1929E0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0.33</w:t>
            </w:r>
          </w:p>
        </w:tc>
        <w:tc>
          <w:tcPr>
            <w:tcW w:w="268" w:type="pct"/>
            <w:tcBorders>
              <w:tl2br w:val="nil"/>
              <w:tr2bl w:val="nil"/>
            </w:tcBorders>
            <w:noWrap w:val="0"/>
            <w:vAlign w:val="center"/>
          </w:tcPr>
          <w:p w14:paraId="40A79F0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0.79</w:t>
            </w:r>
          </w:p>
        </w:tc>
        <w:tc>
          <w:tcPr>
            <w:tcW w:w="319" w:type="pct"/>
            <w:tcBorders>
              <w:tl2br w:val="nil"/>
              <w:tr2bl w:val="nil"/>
            </w:tcBorders>
            <w:noWrap w:val="0"/>
            <w:vAlign w:val="center"/>
          </w:tcPr>
          <w:p w14:paraId="7F790B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0.09</w:t>
            </w:r>
          </w:p>
        </w:tc>
        <w:tc>
          <w:tcPr>
            <w:tcW w:w="303" w:type="pct"/>
            <w:tcBorders>
              <w:tl2br w:val="nil"/>
              <w:tr2bl w:val="nil"/>
            </w:tcBorders>
            <w:noWrap w:val="0"/>
            <w:vAlign w:val="center"/>
          </w:tcPr>
          <w:p w14:paraId="5B238E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4.95</w:t>
            </w:r>
          </w:p>
        </w:tc>
        <w:tc>
          <w:tcPr>
            <w:tcW w:w="278" w:type="pct"/>
            <w:tcBorders>
              <w:tl2br w:val="nil"/>
              <w:tr2bl w:val="nil"/>
            </w:tcBorders>
            <w:noWrap w:val="0"/>
            <w:vAlign w:val="center"/>
          </w:tcPr>
          <w:p w14:paraId="3CF042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2.27</w:t>
            </w:r>
          </w:p>
        </w:tc>
        <w:tc>
          <w:tcPr>
            <w:tcW w:w="285" w:type="pct"/>
            <w:tcBorders>
              <w:tl2br w:val="nil"/>
              <w:tr2bl w:val="nil"/>
            </w:tcBorders>
            <w:noWrap w:val="0"/>
            <w:vAlign w:val="center"/>
          </w:tcPr>
          <w:p w14:paraId="4B6952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3A5491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0D8759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0.00006</w:t>
            </w:r>
          </w:p>
        </w:tc>
        <w:tc>
          <w:tcPr>
            <w:tcW w:w="330" w:type="pct"/>
            <w:tcBorders>
              <w:tl2br w:val="nil"/>
              <w:tr2bl w:val="nil"/>
            </w:tcBorders>
            <w:noWrap w:val="0"/>
            <w:vAlign w:val="center"/>
          </w:tcPr>
          <w:p w14:paraId="12018A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656EAD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73BBD2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662B8C6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万古村2号废渣2-17</w:t>
            </w:r>
          </w:p>
        </w:tc>
        <w:tc>
          <w:tcPr>
            <w:tcW w:w="339" w:type="pct"/>
            <w:tcBorders>
              <w:tl2br w:val="nil"/>
              <w:tr2bl w:val="nil"/>
            </w:tcBorders>
            <w:noWrap w:val="0"/>
            <w:vAlign w:val="center"/>
          </w:tcPr>
          <w:p w14:paraId="25DE78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3D35A0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031B5C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7.64</w:t>
            </w:r>
          </w:p>
        </w:tc>
        <w:tc>
          <w:tcPr>
            <w:tcW w:w="304" w:type="pct"/>
            <w:tcBorders>
              <w:tl2br w:val="nil"/>
              <w:tr2bl w:val="nil"/>
            </w:tcBorders>
            <w:noWrap w:val="0"/>
            <w:vAlign w:val="center"/>
          </w:tcPr>
          <w:p w14:paraId="2F7B4E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68" w:type="pct"/>
            <w:tcBorders>
              <w:tl2br w:val="nil"/>
              <w:tr2bl w:val="nil"/>
            </w:tcBorders>
            <w:noWrap w:val="0"/>
            <w:vAlign w:val="center"/>
          </w:tcPr>
          <w:p w14:paraId="318682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0.89</w:t>
            </w:r>
          </w:p>
        </w:tc>
        <w:tc>
          <w:tcPr>
            <w:tcW w:w="319" w:type="pct"/>
            <w:tcBorders>
              <w:tl2br w:val="nil"/>
              <w:tr2bl w:val="nil"/>
            </w:tcBorders>
            <w:noWrap w:val="0"/>
            <w:vAlign w:val="center"/>
          </w:tcPr>
          <w:p w14:paraId="451BBD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0.09</w:t>
            </w:r>
          </w:p>
        </w:tc>
        <w:tc>
          <w:tcPr>
            <w:tcW w:w="303" w:type="pct"/>
            <w:tcBorders>
              <w:tl2br w:val="nil"/>
              <w:tr2bl w:val="nil"/>
            </w:tcBorders>
            <w:noWrap w:val="0"/>
            <w:vAlign w:val="center"/>
          </w:tcPr>
          <w:p w14:paraId="6BAE4B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0.92</w:t>
            </w:r>
          </w:p>
        </w:tc>
        <w:tc>
          <w:tcPr>
            <w:tcW w:w="278" w:type="pct"/>
            <w:tcBorders>
              <w:tl2br w:val="nil"/>
              <w:tr2bl w:val="nil"/>
            </w:tcBorders>
            <w:noWrap w:val="0"/>
            <w:vAlign w:val="center"/>
          </w:tcPr>
          <w:p w14:paraId="576AB0D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1.42</w:t>
            </w:r>
          </w:p>
        </w:tc>
        <w:tc>
          <w:tcPr>
            <w:tcW w:w="285" w:type="pct"/>
            <w:tcBorders>
              <w:tl2br w:val="nil"/>
              <w:tr2bl w:val="nil"/>
            </w:tcBorders>
            <w:noWrap w:val="0"/>
            <w:vAlign w:val="center"/>
          </w:tcPr>
          <w:p w14:paraId="12E1F8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38D857A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75C826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0.00004</w:t>
            </w:r>
          </w:p>
        </w:tc>
        <w:tc>
          <w:tcPr>
            <w:tcW w:w="330" w:type="pct"/>
            <w:tcBorders>
              <w:tl2br w:val="nil"/>
              <w:tr2bl w:val="nil"/>
            </w:tcBorders>
            <w:noWrap w:val="0"/>
            <w:vAlign w:val="center"/>
          </w:tcPr>
          <w:p w14:paraId="6B333B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0BB187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21B46B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38BBB2C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万古村2号废渣2-18</w:t>
            </w:r>
          </w:p>
        </w:tc>
        <w:tc>
          <w:tcPr>
            <w:tcW w:w="339" w:type="pct"/>
            <w:tcBorders>
              <w:tl2br w:val="nil"/>
              <w:tr2bl w:val="nil"/>
            </w:tcBorders>
            <w:noWrap w:val="0"/>
            <w:vAlign w:val="center"/>
          </w:tcPr>
          <w:p w14:paraId="41EF8D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5AD4A6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347FFB7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8.00</w:t>
            </w:r>
          </w:p>
        </w:tc>
        <w:tc>
          <w:tcPr>
            <w:tcW w:w="304" w:type="pct"/>
            <w:tcBorders>
              <w:tl2br w:val="nil"/>
              <w:tr2bl w:val="nil"/>
            </w:tcBorders>
            <w:noWrap w:val="0"/>
            <w:vAlign w:val="center"/>
          </w:tcPr>
          <w:p w14:paraId="30D2BA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0.12</w:t>
            </w:r>
          </w:p>
        </w:tc>
        <w:tc>
          <w:tcPr>
            <w:tcW w:w="268" w:type="pct"/>
            <w:tcBorders>
              <w:tl2br w:val="nil"/>
              <w:tr2bl w:val="nil"/>
            </w:tcBorders>
            <w:noWrap w:val="0"/>
            <w:vAlign w:val="center"/>
          </w:tcPr>
          <w:p w14:paraId="7E116A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0.68</w:t>
            </w:r>
          </w:p>
        </w:tc>
        <w:tc>
          <w:tcPr>
            <w:tcW w:w="319" w:type="pct"/>
            <w:tcBorders>
              <w:tl2br w:val="nil"/>
              <w:tr2bl w:val="nil"/>
            </w:tcBorders>
            <w:noWrap w:val="0"/>
            <w:vAlign w:val="center"/>
          </w:tcPr>
          <w:p w14:paraId="5E807A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0.28</w:t>
            </w:r>
          </w:p>
        </w:tc>
        <w:tc>
          <w:tcPr>
            <w:tcW w:w="303" w:type="pct"/>
            <w:tcBorders>
              <w:tl2br w:val="nil"/>
              <w:tr2bl w:val="nil"/>
            </w:tcBorders>
            <w:noWrap w:val="0"/>
            <w:vAlign w:val="center"/>
          </w:tcPr>
          <w:p w14:paraId="76CE24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0.78</w:t>
            </w:r>
          </w:p>
        </w:tc>
        <w:tc>
          <w:tcPr>
            <w:tcW w:w="278" w:type="pct"/>
            <w:tcBorders>
              <w:tl2br w:val="nil"/>
              <w:tr2bl w:val="nil"/>
            </w:tcBorders>
            <w:noWrap w:val="0"/>
            <w:vAlign w:val="center"/>
          </w:tcPr>
          <w:p w14:paraId="6960A7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3.95</w:t>
            </w:r>
          </w:p>
        </w:tc>
        <w:tc>
          <w:tcPr>
            <w:tcW w:w="285" w:type="pct"/>
            <w:tcBorders>
              <w:tl2br w:val="nil"/>
              <w:tr2bl w:val="nil"/>
            </w:tcBorders>
            <w:noWrap w:val="0"/>
            <w:vAlign w:val="center"/>
          </w:tcPr>
          <w:p w14:paraId="44F4E0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0.0018</w:t>
            </w:r>
          </w:p>
        </w:tc>
        <w:tc>
          <w:tcPr>
            <w:tcW w:w="309" w:type="pct"/>
            <w:tcBorders>
              <w:tl2br w:val="nil"/>
              <w:tr2bl w:val="nil"/>
            </w:tcBorders>
            <w:noWrap w:val="0"/>
            <w:vAlign w:val="center"/>
          </w:tcPr>
          <w:p w14:paraId="42989F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0.0318</w:t>
            </w:r>
          </w:p>
        </w:tc>
        <w:tc>
          <w:tcPr>
            <w:tcW w:w="346" w:type="pct"/>
            <w:tcBorders>
              <w:tl2br w:val="nil"/>
              <w:tr2bl w:val="nil"/>
            </w:tcBorders>
            <w:noWrap w:val="0"/>
            <w:vAlign w:val="center"/>
          </w:tcPr>
          <w:p w14:paraId="6EE9AD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63DE63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56A076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295BC8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2DFD87C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万古村2号废渣2-19</w:t>
            </w:r>
          </w:p>
        </w:tc>
        <w:tc>
          <w:tcPr>
            <w:tcW w:w="339" w:type="pct"/>
            <w:tcBorders>
              <w:tl2br w:val="nil"/>
              <w:tr2bl w:val="nil"/>
            </w:tcBorders>
            <w:noWrap w:val="0"/>
            <w:vAlign w:val="center"/>
          </w:tcPr>
          <w:p w14:paraId="549D85E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514" w:type="pct"/>
            <w:tcBorders>
              <w:tl2br w:val="nil"/>
              <w:tr2bl w:val="nil"/>
            </w:tcBorders>
            <w:noWrap w:val="0"/>
            <w:vAlign w:val="center"/>
          </w:tcPr>
          <w:p w14:paraId="3DE40D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4E5924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8.42</w:t>
            </w:r>
          </w:p>
        </w:tc>
        <w:tc>
          <w:tcPr>
            <w:tcW w:w="304" w:type="pct"/>
            <w:tcBorders>
              <w:tl2br w:val="nil"/>
              <w:tr2bl w:val="nil"/>
            </w:tcBorders>
            <w:noWrap w:val="0"/>
            <w:vAlign w:val="center"/>
          </w:tcPr>
          <w:p w14:paraId="23C533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0.32</w:t>
            </w:r>
          </w:p>
        </w:tc>
        <w:tc>
          <w:tcPr>
            <w:tcW w:w="268" w:type="pct"/>
            <w:tcBorders>
              <w:tl2br w:val="nil"/>
              <w:tr2bl w:val="nil"/>
            </w:tcBorders>
            <w:noWrap w:val="0"/>
            <w:vAlign w:val="center"/>
          </w:tcPr>
          <w:p w14:paraId="2D9F253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0.05</w:t>
            </w:r>
          </w:p>
        </w:tc>
        <w:tc>
          <w:tcPr>
            <w:tcW w:w="319" w:type="pct"/>
            <w:tcBorders>
              <w:tl2br w:val="nil"/>
              <w:tr2bl w:val="nil"/>
            </w:tcBorders>
            <w:noWrap w:val="0"/>
            <w:vAlign w:val="center"/>
          </w:tcPr>
          <w:p w14:paraId="2ED9C6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7ECBA3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w:t>
            </w:r>
          </w:p>
        </w:tc>
        <w:tc>
          <w:tcPr>
            <w:tcW w:w="278" w:type="pct"/>
            <w:tcBorders>
              <w:tl2br w:val="nil"/>
              <w:tr2bl w:val="nil"/>
            </w:tcBorders>
            <w:noWrap w:val="0"/>
            <w:vAlign w:val="center"/>
          </w:tcPr>
          <w:p w14:paraId="4FA024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1.56</w:t>
            </w:r>
          </w:p>
        </w:tc>
        <w:tc>
          <w:tcPr>
            <w:tcW w:w="285" w:type="pct"/>
            <w:tcBorders>
              <w:tl2br w:val="nil"/>
              <w:tr2bl w:val="nil"/>
            </w:tcBorders>
            <w:noWrap w:val="0"/>
            <w:vAlign w:val="center"/>
          </w:tcPr>
          <w:p w14:paraId="72CF6C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750F107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F5340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0.00006</w:t>
            </w:r>
          </w:p>
        </w:tc>
        <w:tc>
          <w:tcPr>
            <w:tcW w:w="330" w:type="pct"/>
            <w:tcBorders>
              <w:tl2br w:val="nil"/>
              <w:tr2bl w:val="nil"/>
            </w:tcBorders>
            <w:noWrap w:val="0"/>
            <w:vAlign w:val="center"/>
          </w:tcPr>
          <w:p w14:paraId="39BD0A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28EF4E5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4601B2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6B7FA8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万古水库废渣点3B-1</w:t>
            </w:r>
          </w:p>
        </w:tc>
        <w:tc>
          <w:tcPr>
            <w:tcW w:w="339" w:type="pct"/>
            <w:tcBorders>
              <w:tl2br w:val="nil"/>
              <w:tr2bl w:val="nil"/>
            </w:tcBorders>
            <w:noWrap w:val="0"/>
            <w:vAlign w:val="center"/>
          </w:tcPr>
          <w:p w14:paraId="142C90A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06.30</w:t>
            </w:r>
          </w:p>
        </w:tc>
        <w:tc>
          <w:tcPr>
            <w:tcW w:w="514" w:type="pct"/>
            <w:tcBorders>
              <w:tl2br w:val="nil"/>
              <w:tr2bl w:val="nil"/>
            </w:tcBorders>
            <w:noWrap w:val="0"/>
            <w:vAlign w:val="center"/>
          </w:tcPr>
          <w:p w14:paraId="0583934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6F7727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7.70</w:t>
            </w:r>
          </w:p>
        </w:tc>
        <w:tc>
          <w:tcPr>
            <w:tcW w:w="304" w:type="pct"/>
            <w:tcBorders>
              <w:tl2br w:val="nil"/>
              <w:tr2bl w:val="nil"/>
            </w:tcBorders>
            <w:noWrap w:val="0"/>
            <w:vAlign w:val="center"/>
          </w:tcPr>
          <w:p w14:paraId="2294418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0.41</w:t>
            </w:r>
          </w:p>
        </w:tc>
        <w:tc>
          <w:tcPr>
            <w:tcW w:w="268" w:type="pct"/>
            <w:tcBorders>
              <w:tl2br w:val="nil"/>
              <w:tr2bl w:val="nil"/>
            </w:tcBorders>
            <w:noWrap w:val="0"/>
            <w:vAlign w:val="center"/>
          </w:tcPr>
          <w:p w14:paraId="5D8D4F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0.77</w:t>
            </w:r>
          </w:p>
        </w:tc>
        <w:tc>
          <w:tcPr>
            <w:tcW w:w="319" w:type="pct"/>
            <w:tcBorders>
              <w:tl2br w:val="nil"/>
              <w:tr2bl w:val="nil"/>
            </w:tcBorders>
            <w:noWrap w:val="0"/>
            <w:vAlign w:val="center"/>
          </w:tcPr>
          <w:p w14:paraId="6E1E242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0.93</w:t>
            </w:r>
          </w:p>
        </w:tc>
        <w:tc>
          <w:tcPr>
            <w:tcW w:w="303" w:type="pct"/>
            <w:tcBorders>
              <w:tl2br w:val="nil"/>
              <w:tr2bl w:val="nil"/>
            </w:tcBorders>
            <w:noWrap w:val="0"/>
            <w:vAlign w:val="center"/>
          </w:tcPr>
          <w:p w14:paraId="0D156E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2.67</w:t>
            </w:r>
          </w:p>
        </w:tc>
        <w:tc>
          <w:tcPr>
            <w:tcW w:w="278" w:type="pct"/>
            <w:tcBorders>
              <w:tl2br w:val="nil"/>
              <w:tr2bl w:val="nil"/>
            </w:tcBorders>
            <w:noWrap w:val="0"/>
            <w:vAlign w:val="center"/>
          </w:tcPr>
          <w:p w14:paraId="3CB5DB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3.29</w:t>
            </w:r>
          </w:p>
        </w:tc>
        <w:tc>
          <w:tcPr>
            <w:tcW w:w="285" w:type="pct"/>
            <w:tcBorders>
              <w:tl2br w:val="nil"/>
              <w:tr2bl w:val="nil"/>
            </w:tcBorders>
            <w:noWrap w:val="0"/>
            <w:vAlign w:val="center"/>
          </w:tcPr>
          <w:p w14:paraId="3B9866F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0.0027</w:t>
            </w:r>
          </w:p>
        </w:tc>
        <w:tc>
          <w:tcPr>
            <w:tcW w:w="309" w:type="pct"/>
            <w:tcBorders>
              <w:tl2br w:val="nil"/>
              <w:tr2bl w:val="nil"/>
            </w:tcBorders>
            <w:noWrap w:val="0"/>
            <w:vAlign w:val="center"/>
          </w:tcPr>
          <w:p w14:paraId="373F4C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0.0784</w:t>
            </w:r>
          </w:p>
        </w:tc>
        <w:tc>
          <w:tcPr>
            <w:tcW w:w="346" w:type="pct"/>
            <w:tcBorders>
              <w:tl2br w:val="nil"/>
              <w:tr2bl w:val="nil"/>
            </w:tcBorders>
            <w:noWrap w:val="0"/>
            <w:vAlign w:val="center"/>
          </w:tcPr>
          <w:p w14:paraId="711DFD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0.00003</w:t>
            </w:r>
          </w:p>
        </w:tc>
        <w:tc>
          <w:tcPr>
            <w:tcW w:w="330" w:type="pct"/>
            <w:tcBorders>
              <w:tl2br w:val="nil"/>
              <w:tr2bl w:val="nil"/>
            </w:tcBorders>
            <w:noWrap w:val="0"/>
            <w:vAlign w:val="center"/>
          </w:tcPr>
          <w:p w14:paraId="59DEB70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0.009</w:t>
            </w:r>
          </w:p>
        </w:tc>
        <w:tc>
          <w:tcPr>
            <w:tcW w:w="391" w:type="pct"/>
            <w:tcBorders>
              <w:tl2br w:val="nil"/>
              <w:tr2bl w:val="nil"/>
            </w:tcBorders>
            <w:noWrap w:val="0"/>
            <w:vAlign w:val="center"/>
          </w:tcPr>
          <w:p w14:paraId="212B88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75472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371842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万古水库废渣点3B-2</w:t>
            </w:r>
          </w:p>
        </w:tc>
        <w:tc>
          <w:tcPr>
            <w:tcW w:w="339" w:type="pct"/>
            <w:tcBorders>
              <w:tl2br w:val="nil"/>
              <w:tr2bl w:val="nil"/>
            </w:tcBorders>
            <w:noWrap w:val="0"/>
            <w:vAlign w:val="center"/>
          </w:tcPr>
          <w:p w14:paraId="4235181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1F07F2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6AD1A0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7.60</w:t>
            </w:r>
          </w:p>
        </w:tc>
        <w:tc>
          <w:tcPr>
            <w:tcW w:w="304" w:type="pct"/>
            <w:tcBorders>
              <w:tl2br w:val="nil"/>
              <w:tr2bl w:val="nil"/>
            </w:tcBorders>
            <w:noWrap w:val="0"/>
            <w:vAlign w:val="center"/>
          </w:tcPr>
          <w:p w14:paraId="082FA3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0.34</w:t>
            </w:r>
          </w:p>
        </w:tc>
        <w:tc>
          <w:tcPr>
            <w:tcW w:w="268" w:type="pct"/>
            <w:tcBorders>
              <w:tl2br w:val="nil"/>
              <w:tr2bl w:val="nil"/>
            </w:tcBorders>
            <w:noWrap w:val="0"/>
            <w:vAlign w:val="center"/>
          </w:tcPr>
          <w:p w14:paraId="2A5205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0.96</w:t>
            </w:r>
          </w:p>
        </w:tc>
        <w:tc>
          <w:tcPr>
            <w:tcW w:w="319" w:type="pct"/>
            <w:tcBorders>
              <w:tl2br w:val="nil"/>
              <w:tr2bl w:val="nil"/>
            </w:tcBorders>
            <w:noWrap w:val="0"/>
            <w:vAlign w:val="center"/>
          </w:tcPr>
          <w:p w14:paraId="3B6C9B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5F06DD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1.84</w:t>
            </w:r>
          </w:p>
        </w:tc>
        <w:tc>
          <w:tcPr>
            <w:tcW w:w="278" w:type="pct"/>
            <w:tcBorders>
              <w:tl2br w:val="nil"/>
              <w:tr2bl w:val="nil"/>
            </w:tcBorders>
            <w:noWrap w:val="0"/>
            <w:vAlign w:val="center"/>
          </w:tcPr>
          <w:p w14:paraId="2D9AF1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3.45</w:t>
            </w:r>
          </w:p>
        </w:tc>
        <w:tc>
          <w:tcPr>
            <w:tcW w:w="285" w:type="pct"/>
            <w:tcBorders>
              <w:tl2br w:val="nil"/>
              <w:tr2bl w:val="nil"/>
            </w:tcBorders>
            <w:noWrap w:val="0"/>
            <w:vAlign w:val="center"/>
          </w:tcPr>
          <w:p w14:paraId="2B4CA6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0.0014</w:t>
            </w:r>
          </w:p>
        </w:tc>
        <w:tc>
          <w:tcPr>
            <w:tcW w:w="309" w:type="pct"/>
            <w:tcBorders>
              <w:tl2br w:val="nil"/>
              <w:tr2bl w:val="nil"/>
            </w:tcBorders>
            <w:noWrap w:val="0"/>
            <w:vAlign w:val="center"/>
          </w:tcPr>
          <w:p w14:paraId="25A322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24C94E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0.00006</w:t>
            </w:r>
          </w:p>
        </w:tc>
        <w:tc>
          <w:tcPr>
            <w:tcW w:w="330" w:type="pct"/>
            <w:tcBorders>
              <w:tl2br w:val="nil"/>
              <w:tr2bl w:val="nil"/>
            </w:tcBorders>
            <w:noWrap w:val="0"/>
            <w:vAlign w:val="center"/>
          </w:tcPr>
          <w:p w14:paraId="0FDC1B8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607B8F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6BC079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32FD1B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万古水库废渣点3B-3</w:t>
            </w:r>
          </w:p>
        </w:tc>
        <w:tc>
          <w:tcPr>
            <w:tcW w:w="339" w:type="pct"/>
            <w:tcBorders>
              <w:tl2br w:val="nil"/>
              <w:tr2bl w:val="nil"/>
            </w:tcBorders>
            <w:noWrap w:val="0"/>
            <w:vAlign w:val="center"/>
          </w:tcPr>
          <w:p w14:paraId="6192BE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06.30</w:t>
            </w:r>
          </w:p>
        </w:tc>
        <w:tc>
          <w:tcPr>
            <w:tcW w:w="514" w:type="pct"/>
            <w:tcBorders>
              <w:tl2br w:val="nil"/>
              <w:tr2bl w:val="nil"/>
            </w:tcBorders>
            <w:noWrap w:val="0"/>
            <w:vAlign w:val="center"/>
          </w:tcPr>
          <w:p w14:paraId="2A2E28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23864A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7.80</w:t>
            </w:r>
          </w:p>
        </w:tc>
        <w:tc>
          <w:tcPr>
            <w:tcW w:w="304" w:type="pct"/>
            <w:tcBorders>
              <w:tl2br w:val="nil"/>
              <w:tr2bl w:val="nil"/>
            </w:tcBorders>
            <w:noWrap w:val="0"/>
            <w:vAlign w:val="center"/>
          </w:tcPr>
          <w:p w14:paraId="528B78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0.29</w:t>
            </w:r>
          </w:p>
        </w:tc>
        <w:tc>
          <w:tcPr>
            <w:tcW w:w="268" w:type="pct"/>
            <w:tcBorders>
              <w:tl2br w:val="nil"/>
              <w:tr2bl w:val="nil"/>
            </w:tcBorders>
            <w:noWrap w:val="0"/>
            <w:vAlign w:val="center"/>
          </w:tcPr>
          <w:p w14:paraId="0E1CEA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0.71</w:t>
            </w:r>
          </w:p>
        </w:tc>
        <w:tc>
          <w:tcPr>
            <w:tcW w:w="319" w:type="pct"/>
            <w:tcBorders>
              <w:tl2br w:val="nil"/>
              <w:tr2bl w:val="nil"/>
            </w:tcBorders>
            <w:noWrap w:val="0"/>
            <w:vAlign w:val="center"/>
          </w:tcPr>
          <w:p w14:paraId="158D82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3870F9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1.86</w:t>
            </w:r>
          </w:p>
        </w:tc>
        <w:tc>
          <w:tcPr>
            <w:tcW w:w="278" w:type="pct"/>
            <w:tcBorders>
              <w:tl2br w:val="nil"/>
              <w:tr2bl w:val="nil"/>
            </w:tcBorders>
            <w:noWrap w:val="0"/>
            <w:vAlign w:val="center"/>
          </w:tcPr>
          <w:p w14:paraId="3E474D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2.03</w:t>
            </w:r>
          </w:p>
        </w:tc>
        <w:tc>
          <w:tcPr>
            <w:tcW w:w="285" w:type="pct"/>
            <w:tcBorders>
              <w:tl2br w:val="nil"/>
              <w:tr2bl w:val="nil"/>
            </w:tcBorders>
            <w:noWrap w:val="0"/>
            <w:vAlign w:val="center"/>
          </w:tcPr>
          <w:p w14:paraId="6739A0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0.0029</w:t>
            </w:r>
          </w:p>
        </w:tc>
        <w:tc>
          <w:tcPr>
            <w:tcW w:w="309" w:type="pct"/>
            <w:tcBorders>
              <w:tl2br w:val="nil"/>
              <w:tr2bl w:val="nil"/>
            </w:tcBorders>
            <w:noWrap w:val="0"/>
            <w:vAlign w:val="center"/>
          </w:tcPr>
          <w:p w14:paraId="78DF07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0DCE49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1A9D0F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218BE4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4A651A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7C2571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万古水库废渣点3B-4</w:t>
            </w:r>
          </w:p>
        </w:tc>
        <w:tc>
          <w:tcPr>
            <w:tcW w:w="339" w:type="pct"/>
            <w:tcBorders>
              <w:tl2br w:val="nil"/>
              <w:tr2bl w:val="nil"/>
            </w:tcBorders>
            <w:noWrap w:val="0"/>
            <w:vAlign w:val="center"/>
          </w:tcPr>
          <w:p w14:paraId="7C472D1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7572C71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711FD5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6.64</w:t>
            </w:r>
          </w:p>
        </w:tc>
        <w:tc>
          <w:tcPr>
            <w:tcW w:w="304" w:type="pct"/>
            <w:tcBorders>
              <w:tl2br w:val="nil"/>
              <w:tr2bl w:val="nil"/>
            </w:tcBorders>
            <w:noWrap w:val="0"/>
            <w:vAlign w:val="center"/>
          </w:tcPr>
          <w:p w14:paraId="46906F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0.24</w:t>
            </w:r>
          </w:p>
        </w:tc>
        <w:tc>
          <w:tcPr>
            <w:tcW w:w="268" w:type="pct"/>
            <w:tcBorders>
              <w:tl2br w:val="nil"/>
              <w:tr2bl w:val="nil"/>
            </w:tcBorders>
            <w:noWrap w:val="0"/>
            <w:vAlign w:val="center"/>
          </w:tcPr>
          <w:p w14:paraId="3968E7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0.14</w:t>
            </w:r>
          </w:p>
        </w:tc>
        <w:tc>
          <w:tcPr>
            <w:tcW w:w="319" w:type="pct"/>
            <w:tcBorders>
              <w:tl2br w:val="nil"/>
              <w:tr2bl w:val="nil"/>
            </w:tcBorders>
            <w:noWrap w:val="0"/>
            <w:vAlign w:val="center"/>
          </w:tcPr>
          <w:p w14:paraId="74E1B3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0.21</w:t>
            </w:r>
          </w:p>
        </w:tc>
        <w:tc>
          <w:tcPr>
            <w:tcW w:w="303" w:type="pct"/>
            <w:tcBorders>
              <w:tl2br w:val="nil"/>
              <w:tr2bl w:val="nil"/>
            </w:tcBorders>
            <w:noWrap w:val="0"/>
            <w:vAlign w:val="center"/>
          </w:tcPr>
          <w:p w14:paraId="3CE903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4.05</w:t>
            </w:r>
          </w:p>
        </w:tc>
        <w:tc>
          <w:tcPr>
            <w:tcW w:w="278" w:type="pct"/>
            <w:tcBorders>
              <w:tl2br w:val="nil"/>
              <w:tr2bl w:val="nil"/>
            </w:tcBorders>
            <w:noWrap w:val="0"/>
            <w:vAlign w:val="center"/>
          </w:tcPr>
          <w:p w14:paraId="63DBB8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1.64</w:t>
            </w:r>
          </w:p>
        </w:tc>
        <w:tc>
          <w:tcPr>
            <w:tcW w:w="285" w:type="pct"/>
            <w:tcBorders>
              <w:tl2br w:val="nil"/>
              <w:tr2bl w:val="nil"/>
            </w:tcBorders>
            <w:noWrap w:val="0"/>
            <w:vAlign w:val="center"/>
          </w:tcPr>
          <w:p w14:paraId="3409B6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0.0018</w:t>
            </w:r>
          </w:p>
        </w:tc>
        <w:tc>
          <w:tcPr>
            <w:tcW w:w="309" w:type="pct"/>
            <w:tcBorders>
              <w:tl2br w:val="nil"/>
              <w:tr2bl w:val="nil"/>
            </w:tcBorders>
            <w:noWrap w:val="0"/>
            <w:vAlign w:val="center"/>
          </w:tcPr>
          <w:p w14:paraId="2432B8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0.0582</w:t>
            </w:r>
          </w:p>
        </w:tc>
        <w:tc>
          <w:tcPr>
            <w:tcW w:w="346" w:type="pct"/>
            <w:tcBorders>
              <w:tl2br w:val="nil"/>
              <w:tr2bl w:val="nil"/>
            </w:tcBorders>
            <w:noWrap w:val="0"/>
            <w:vAlign w:val="center"/>
          </w:tcPr>
          <w:p w14:paraId="291FA2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0.00006</w:t>
            </w:r>
          </w:p>
        </w:tc>
        <w:tc>
          <w:tcPr>
            <w:tcW w:w="330" w:type="pct"/>
            <w:tcBorders>
              <w:tl2br w:val="nil"/>
              <w:tr2bl w:val="nil"/>
            </w:tcBorders>
            <w:noWrap w:val="0"/>
            <w:vAlign w:val="center"/>
          </w:tcPr>
          <w:p w14:paraId="559F2F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6F9BAB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001E07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16C704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万古水库废渣点3A-1</w:t>
            </w:r>
          </w:p>
        </w:tc>
        <w:tc>
          <w:tcPr>
            <w:tcW w:w="339" w:type="pct"/>
            <w:tcBorders>
              <w:tl2br w:val="nil"/>
              <w:tr2bl w:val="nil"/>
            </w:tcBorders>
            <w:noWrap w:val="0"/>
            <w:vAlign w:val="center"/>
          </w:tcPr>
          <w:p w14:paraId="06AC42E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381BDD2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1608EA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7.46</w:t>
            </w:r>
          </w:p>
        </w:tc>
        <w:tc>
          <w:tcPr>
            <w:tcW w:w="304" w:type="pct"/>
            <w:tcBorders>
              <w:tl2br w:val="nil"/>
              <w:tr2bl w:val="nil"/>
            </w:tcBorders>
            <w:noWrap w:val="0"/>
            <w:vAlign w:val="center"/>
          </w:tcPr>
          <w:p w14:paraId="09D331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0.20</w:t>
            </w:r>
          </w:p>
        </w:tc>
        <w:tc>
          <w:tcPr>
            <w:tcW w:w="268" w:type="pct"/>
            <w:tcBorders>
              <w:tl2br w:val="nil"/>
              <w:tr2bl w:val="nil"/>
            </w:tcBorders>
            <w:noWrap w:val="0"/>
            <w:vAlign w:val="center"/>
          </w:tcPr>
          <w:p w14:paraId="136CE9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0.30</w:t>
            </w:r>
          </w:p>
        </w:tc>
        <w:tc>
          <w:tcPr>
            <w:tcW w:w="319" w:type="pct"/>
            <w:tcBorders>
              <w:tl2br w:val="nil"/>
              <w:tr2bl w:val="nil"/>
            </w:tcBorders>
            <w:noWrap w:val="0"/>
            <w:vAlign w:val="center"/>
          </w:tcPr>
          <w:p w14:paraId="61722A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0.31</w:t>
            </w:r>
          </w:p>
        </w:tc>
        <w:tc>
          <w:tcPr>
            <w:tcW w:w="303" w:type="pct"/>
            <w:tcBorders>
              <w:tl2br w:val="nil"/>
              <w:tr2bl w:val="nil"/>
            </w:tcBorders>
            <w:noWrap w:val="0"/>
            <w:vAlign w:val="center"/>
          </w:tcPr>
          <w:p w14:paraId="6D378E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13.5</w:t>
            </w:r>
          </w:p>
        </w:tc>
        <w:tc>
          <w:tcPr>
            <w:tcW w:w="278" w:type="pct"/>
            <w:tcBorders>
              <w:tl2br w:val="nil"/>
              <w:tr2bl w:val="nil"/>
            </w:tcBorders>
            <w:noWrap w:val="0"/>
            <w:vAlign w:val="center"/>
          </w:tcPr>
          <w:p w14:paraId="26455A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1.66</w:t>
            </w:r>
          </w:p>
        </w:tc>
        <w:tc>
          <w:tcPr>
            <w:tcW w:w="285" w:type="pct"/>
            <w:tcBorders>
              <w:tl2br w:val="nil"/>
              <w:tr2bl w:val="nil"/>
            </w:tcBorders>
            <w:noWrap w:val="0"/>
            <w:vAlign w:val="center"/>
          </w:tcPr>
          <w:p w14:paraId="1A7169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0.0097</w:t>
            </w:r>
          </w:p>
        </w:tc>
        <w:tc>
          <w:tcPr>
            <w:tcW w:w="309" w:type="pct"/>
            <w:tcBorders>
              <w:tl2br w:val="nil"/>
              <w:tr2bl w:val="nil"/>
            </w:tcBorders>
            <w:noWrap w:val="0"/>
            <w:vAlign w:val="center"/>
          </w:tcPr>
          <w:p w14:paraId="379C77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0.130</w:t>
            </w:r>
          </w:p>
        </w:tc>
        <w:tc>
          <w:tcPr>
            <w:tcW w:w="346" w:type="pct"/>
            <w:tcBorders>
              <w:tl2br w:val="nil"/>
              <w:tr2bl w:val="nil"/>
            </w:tcBorders>
            <w:noWrap w:val="0"/>
            <w:vAlign w:val="center"/>
          </w:tcPr>
          <w:p w14:paraId="375C37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0.00004</w:t>
            </w:r>
          </w:p>
        </w:tc>
        <w:tc>
          <w:tcPr>
            <w:tcW w:w="330" w:type="pct"/>
            <w:tcBorders>
              <w:tl2br w:val="nil"/>
              <w:tr2bl w:val="nil"/>
            </w:tcBorders>
            <w:noWrap w:val="0"/>
            <w:vAlign w:val="center"/>
          </w:tcPr>
          <w:p w14:paraId="298EB5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0.005</w:t>
            </w:r>
          </w:p>
        </w:tc>
        <w:tc>
          <w:tcPr>
            <w:tcW w:w="391" w:type="pct"/>
            <w:tcBorders>
              <w:tl2br w:val="nil"/>
              <w:tr2bl w:val="nil"/>
            </w:tcBorders>
            <w:noWrap w:val="0"/>
            <w:vAlign w:val="center"/>
          </w:tcPr>
          <w:p w14:paraId="3A1B10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71E123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690681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万古水库废渣点3A-2</w:t>
            </w:r>
          </w:p>
        </w:tc>
        <w:tc>
          <w:tcPr>
            <w:tcW w:w="339" w:type="pct"/>
            <w:tcBorders>
              <w:tl2br w:val="nil"/>
              <w:tr2bl w:val="nil"/>
            </w:tcBorders>
            <w:noWrap w:val="0"/>
            <w:vAlign w:val="center"/>
          </w:tcPr>
          <w:p w14:paraId="31194B1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4C342C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3644CC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8.12</w:t>
            </w:r>
          </w:p>
        </w:tc>
        <w:tc>
          <w:tcPr>
            <w:tcW w:w="304" w:type="pct"/>
            <w:tcBorders>
              <w:tl2br w:val="nil"/>
              <w:tr2bl w:val="nil"/>
            </w:tcBorders>
            <w:noWrap w:val="0"/>
            <w:vAlign w:val="center"/>
          </w:tcPr>
          <w:p w14:paraId="10C8AB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0.21</w:t>
            </w:r>
          </w:p>
        </w:tc>
        <w:tc>
          <w:tcPr>
            <w:tcW w:w="268" w:type="pct"/>
            <w:tcBorders>
              <w:tl2br w:val="nil"/>
              <w:tr2bl w:val="nil"/>
            </w:tcBorders>
            <w:noWrap w:val="0"/>
            <w:vAlign w:val="center"/>
          </w:tcPr>
          <w:p w14:paraId="24716D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0.64</w:t>
            </w:r>
          </w:p>
        </w:tc>
        <w:tc>
          <w:tcPr>
            <w:tcW w:w="319" w:type="pct"/>
            <w:tcBorders>
              <w:tl2br w:val="nil"/>
              <w:tr2bl w:val="nil"/>
            </w:tcBorders>
            <w:noWrap w:val="0"/>
            <w:vAlign w:val="center"/>
          </w:tcPr>
          <w:p w14:paraId="1B1E63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0.02</w:t>
            </w:r>
          </w:p>
        </w:tc>
        <w:tc>
          <w:tcPr>
            <w:tcW w:w="303" w:type="pct"/>
            <w:tcBorders>
              <w:tl2br w:val="nil"/>
              <w:tr2bl w:val="nil"/>
            </w:tcBorders>
            <w:noWrap w:val="0"/>
            <w:vAlign w:val="center"/>
          </w:tcPr>
          <w:p w14:paraId="76173B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1.44</w:t>
            </w:r>
          </w:p>
        </w:tc>
        <w:tc>
          <w:tcPr>
            <w:tcW w:w="278" w:type="pct"/>
            <w:tcBorders>
              <w:tl2br w:val="nil"/>
              <w:tr2bl w:val="nil"/>
            </w:tcBorders>
            <w:noWrap w:val="0"/>
            <w:vAlign w:val="center"/>
          </w:tcPr>
          <w:p w14:paraId="22E8D8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1.23</w:t>
            </w:r>
          </w:p>
        </w:tc>
        <w:tc>
          <w:tcPr>
            <w:tcW w:w="285" w:type="pct"/>
            <w:tcBorders>
              <w:tl2br w:val="nil"/>
              <w:tr2bl w:val="nil"/>
            </w:tcBorders>
            <w:noWrap w:val="0"/>
            <w:vAlign w:val="center"/>
          </w:tcPr>
          <w:p w14:paraId="6B6052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0.0034</w:t>
            </w:r>
          </w:p>
        </w:tc>
        <w:tc>
          <w:tcPr>
            <w:tcW w:w="309" w:type="pct"/>
            <w:tcBorders>
              <w:tl2br w:val="nil"/>
              <w:tr2bl w:val="nil"/>
            </w:tcBorders>
            <w:noWrap w:val="0"/>
            <w:vAlign w:val="center"/>
          </w:tcPr>
          <w:p w14:paraId="6B657E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AC692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0.00005</w:t>
            </w:r>
          </w:p>
        </w:tc>
        <w:tc>
          <w:tcPr>
            <w:tcW w:w="330" w:type="pct"/>
            <w:tcBorders>
              <w:tl2br w:val="nil"/>
              <w:tr2bl w:val="nil"/>
            </w:tcBorders>
            <w:noWrap w:val="0"/>
            <w:vAlign w:val="center"/>
          </w:tcPr>
          <w:p w14:paraId="423DC7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392587A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0B1B4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55A084A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万古水库废渣点3A-3</w:t>
            </w:r>
          </w:p>
        </w:tc>
        <w:tc>
          <w:tcPr>
            <w:tcW w:w="339" w:type="pct"/>
            <w:tcBorders>
              <w:tl2br w:val="nil"/>
              <w:tr2bl w:val="nil"/>
            </w:tcBorders>
            <w:noWrap w:val="0"/>
            <w:vAlign w:val="center"/>
          </w:tcPr>
          <w:p w14:paraId="3A4A4D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06.30</w:t>
            </w:r>
          </w:p>
        </w:tc>
        <w:tc>
          <w:tcPr>
            <w:tcW w:w="514" w:type="pct"/>
            <w:tcBorders>
              <w:tl2br w:val="nil"/>
              <w:tr2bl w:val="nil"/>
            </w:tcBorders>
            <w:noWrap w:val="0"/>
            <w:vAlign w:val="center"/>
          </w:tcPr>
          <w:p w14:paraId="596C15E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66115A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8.71</w:t>
            </w:r>
          </w:p>
        </w:tc>
        <w:tc>
          <w:tcPr>
            <w:tcW w:w="304" w:type="pct"/>
            <w:tcBorders>
              <w:tl2br w:val="nil"/>
              <w:tr2bl w:val="nil"/>
            </w:tcBorders>
            <w:noWrap w:val="0"/>
            <w:vAlign w:val="center"/>
          </w:tcPr>
          <w:p w14:paraId="6B8E93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0.30</w:t>
            </w:r>
          </w:p>
        </w:tc>
        <w:tc>
          <w:tcPr>
            <w:tcW w:w="268" w:type="pct"/>
            <w:tcBorders>
              <w:tl2br w:val="nil"/>
              <w:tr2bl w:val="nil"/>
            </w:tcBorders>
            <w:noWrap w:val="0"/>
            <w:vAlign w:val="center"/>
          </w:tcPr>
          <w:p w14:paraId="50B013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0.72</w:t>
            </w:r>
          </w:p>
        </w:tc>
        <w:tc>
          <w:tcPr>
            <w:tcW w:w="319" w:type="pct"/>
            <w:tcBorders>
              <w:tl2br w:val="nil"/>
              <w:tr2bl w:val="nil"/>
            </w:tcBorders>
            <w:noWrap w:val="0"/>
            <w:vAlign w:val="center"/>
          </w:tcPr>
          <w:p w14:paraId="3DE878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0.36</w:t>
            </w:r>
          </w:p>
        </w:tc>
        <w:tc>
          <w:tcPr>
            <w:tcW w:w="303" w:type="pct"/>
            <w:tcBorders>
              <w:tl2br w:val="nil"/>
              <w:tr2bl w:val="nil"/>
            </w:tcBorders>
            <w:noWrap w:val="0"/>
            <w:vAlign w:val="center"/>
          </w:tcPr>
          <w:p w14:paraId="5CFE15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1.66</w:t>
            </w:r>
          </w:p>
        </w:tc>
        <w:tc>
          <w:tcPr>
            <w:tcW w:w="278" w:type="pct"/>
            <w:tcBorders>
              <w:tl2br w:val="nil"/>
              <w:tr2bl w:val="nil"/>
            </w:tcBorders>
            <w:noWrap w:val="0"/>
            <w:vAlign w:val="center"/>
          </w:tcPr>
          <w:p w14:paraId="787097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0.471</w:t>
            </w:r>
          </w:p>
        </w:tc>
        <w:tc>
          <w:tcPr>
            <w:tcW w:w="285" w:type="pct"/>
            <w:tcBorders>
              <w:tl2br w:val="nil"/>
              <w:tr2bl w:val="nil"/>
            </w:tcBorders>
            <w:noWrap w:val="0"/>
            <w:vAlign w:val="center"/>
          </w:tcPr>
          <w:p w14:paraId="7362BF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0.0015</w:t>
            </w:r>
          </w:p>
        </w:tc>
        <w:tc>
          <w:tcPr>
            <w:tcW w:w="309" w:type="pct"/>
            <w:tcBorders>
              <w:tl2br w:val="nil"/>
              <w:tr2bl w:val="nil"/>
            </w:tcBorders>
            <w:noWrap w:val="0"/>
            <w:vAlign w:val="center"/>
          </w:tcPr>
          <w:p w14:paraId="7B7E69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0.032</w:t>
            </w:r>
          </w:p>
        </w:tc>
        <w:tc>
          <w:tcPr>
            <w:tcW w:w="346" w:type="pct"/>
            <w:tcBorders>
              <w:tl2br w:val="nil"/>
              <w:tr2bl w:val="nil"/>
            </w:tcBorders>
            <w:noWrap w:val="0"/>
            <w:vAlign w:val="center"/>
          </w:tcPr>
          <w:p w14:paraId="43F484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0.00006</w:t>
            </w:r>
          </w:p>
        </w:tc>
        <w:tc>
          <w:tcPr>
            <w:tcW w:w="330" w:type="pct"/>
            <w:tcBorders>
              <w:tl2br w:val="nil"/>
              <w:tr2bl w:val="nil"/>
            </w:tcBorders>
            <w:noWrap w:val="0"/>
            <w:vAlign w:val="center"/>
          </w:tcPr>
          <w:p w14:paraId="78F8C4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1F0B8A7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E9831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2898A5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万古水库废渣点3A-4</w:t>
            </w:r>
          </w:p>
        </w:tc>
        <w:tc>
          <w:tcPr>
            <w:tcW w:w="339" w:type="pct"/>
            <w:tcBorders>
              <w:tl2br w:val="nil"/>
              <w:tr2bl w:val="nil"/>
            </w:tcBorders>
            <w:noWrap w:val="0"/>
            <w:vAlign w:val="center"/>
          </w:tcPr>
          <w:p w14:paraId="54C86A6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7A71E12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1F0C86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7.72</w:t>
            </w:r>
          </w:p>
        </w:tc>
        <w:tc>
          <w:tcPr>
            <w:tcW w:w="304" w:type="pct"/>
            <w:tcBorders>
              <w:tl2br w:val="nil"/>
              <w:tr2bl w:val="nil"/>
            </w:tcBorders>
            <w:noWrap w:val="0"/>
            <w:vAlign w:val="center"/>
          </w:tcPr>
          <w:p w14:paraId="2002B5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0.39</w:t>
            </w:r>
          </w:p>
        </w:tc>
        <w:tc>
          <w:tcPr>
            <w:tcW w:w="268" w:type="pct"/>
            <w:tcBorders>
              <w:tl2br w:val="nil"/>
              <w:tr2bl w:val="nil"/>
            </w:tcBorders>
            <w:noWrap w:val="0"/>
            <w:vAlign w:val="center"/>
          </w:tcPr>
          <w:p w14:paraId="4A271A1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0.58</w:t>
            </w:r>
          </w:p>
        </w:tc>
        <w:tc>
          <w:tcPr>
            <w:tcW w:w="319" w:type="pct"/>
            <w:tcBorders>
              <w:tl2br w:val="nil"/>
              <w:tr2bl w:val="nil"/>
            </w:tcBorders>
            <w:noWrap w:val="0"/>
            <w:vAlign w:val="center"/>
          </w:tcPr>
          <w:p w14:paraId="1A549F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45867C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0.51</w:t>
            </w:r>
          </w:p>
        </w:tc>
        <w:tc>
          <w:tcPr>
            <w:tcW w:w="278" w:type="pct"/>
            <w:tcBorders>
              <w:tl2br w:val="nil"/>
              <w:tr2bl w:val="nil"/>
            </w:tcBorders>
            <w:noWrap w:val="0"/>
            <w:vAlign w:val="center"/>
          </w:tcPr>
          <w:p w14:paraId="7FABDF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0.607</w:t>
            </w:r>
          </w:p>
        </w:tc>
        <w:tc>
          <w:tcPr>
            <w:tcW w:w="285" w:type="pct"/>
            <w:tcBorders>
              <w:tl2br w:val="nil"/>
              <w:tr2bl w:val="nil"/>
            </w:tcBorders>
            <w:noWrap w:val="0"/>
            <w:vAlign w:val="center"/>
          </w:tcPr>
          <w:p w14:paraId="192B7C0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0.0012</w:t>
            </w:r>
          </w:p>
        </w:tc>
        <w:tc>
          <w:tcPr>
            <w:tcW w:w="309" w:type="pct"/>
            <w:tcBorders>
              <w:tl2br w:val="nil"/>
              <w:tr2bl w:val="nil"/>
            </w:tcBorders>
            <w:noWrap w:val="0"/>
            <w:vAlign w:val="center"/>
          </w:tcPr>
          <w:p w14:paraId="3A7BF8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AC47C8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30" w:type="pct"/>
            <w:tcBorders>
              <w:tl2br w:val="nil"/>
              <w:tr2bl w:val="nil"/>
            </w:tcBorders>
            <w:noWrap w:val="0"/>
            <w:vAlign w:val="center"/>
          </w:tcPr>
          <w:p w14:paraId="56BE93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118325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0253AA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794DEC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万古水库废渣点3A-5</w:t>
            </w:r>
          </w:p>
        </w:tc>
        <w:tc>
          <w:tcPr>
            <w:tcW w:w="339" w:type="pct"/>
            <w:tcBorders>
              <w:tl2br w:val="nil"/>
              <w:tr2bl w:val="nil"/>
            </w:tcBorders>
            <w:noWrap w:val="0"/>
            <w:vAlign w:val="center"/>
          </w:tcPr>
          <w:p w14:paraId="12BE022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18110D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401877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8.86</w:t>
            </w:r>
          </w:p>
        </w:tc>
        <w:tc>
          <w:tcPr>
            <w:tcW w:w="304" w:type="pct"/>
            <w:tcBorders>
              <w:tl2br w:val="nil"/>
              <w:tr2bl w:val="nil"/>
            </w:tcBorders>
            <w:noWrap w:val="0"/>
            <w:vAlign w:val="center"/>
          </w:tcPr>
          <w:p w14:paraId="575F42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0.34</w:t>
            </w:r>
          </w:p>
        </w:tc>
        <w:tc>
          <w:tcPr>
            <w:tcW w:w="268" w:type="pct"/>
            <w:tcBorders>
              <w:tl2br w:val="nil"/>
              <w:tr2bl w:val="nil"/>
            </w:tcBorders>
            <w:noWrap w:val="0"/>
            <w:vAlign w:val="center"/>
          </w:tcPr>
          <w:p w14:paraId="15A585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0.05</w:t>
            </w:r>
          </w:p>
        </w:tc>
        <w:tc>
          <w:tcPr>
            <w:tcW w:w="319" w:type="pct"/>
            <w:tcBorders>
              <w:tl2br w:val="nil"/>
              <w:tr2bl w:val="nil"/>
            </w:tcBorders>
            <w:noWrap w:val="0"/>
            <w:vAlign w:val="center"/>
          </w:tcPr>
          <w:p w14:paraId="072203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78FEDC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8" w:type="pct"/>
            <w:tcBorders>
              <w:tl2br w:val="nil"/>
              <w:tr2bl w:val="nil"/>
            </w:tcBorders>
            <w:noWrap w:val="0"/>
            <w:vAlign w:val="center"/>
          </w:tcPr>
          <w:p w14:paraId="26B1B7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1.68</w:t>
            </w:r>
          </w:p>
        </w:tc>
        <w:tc>
          <w:tcPr>
            <w:tcW w:w="285" w:type="pct"/>
            <w:tcBorders>
              <w:tl2br w:val="nil"/>
              <w:tr2bl w:val="nil"/>
            </w:tcBorders>
            <w:noWrap w:val="0"/>
            <w:vAlign w:val="center"/>
          </w:tcPr>
          <w:p w14:paraId="6A5DDB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54A695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79F078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0.00004</w:t>
            </w:r>
          </w:p>
        </w:tc>
        <w:tc>
          <w:tcPr>
            <w:tcW w:w="330" w:type="pct"/>
            <w:tcBorders>
              <w:tl2br w:val="nil"/>
              <w:tr2bl w:val="nil"/>
            </w:tcBorders>
            <w:noWrap w:val="0"/>
            <w:vAlign w:val="center"/>
          </w:tcPr>
          <w:p w14:paraId="2A95DE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156BB4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259E5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617821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万古水库废渣点3A-6</w:t>
            </w:r>
          </w:p>
        </w:tc>
        <w:tc>
          <w:tcPr>
            <w:tcW w:w="339" w:type="pct"/>
            <w:tcBorders>
              <w:tl2br w:val="nil"/>
              <w:tr2bl w:val="nil"/>
            </w:tcBorders>
            <w:noWrap w:val="0"/>
            <w:vAlign w:val="center"/>
          </w:tcPr>
          <w:p w14:paraId="4AB2B09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06.30</w:t>
            </w:r>
          </w:p>
        </w:tc>
        <w:tc>
          <w:tcPr>
            <w:tcW w:w="514" w:type="pct"/>
            <w:tcBorders>
              <w:tl2br w:val="nil"/>
              <w:tr2bl w:val="nil"/>
            </w:tcBorders>
            <w:noWrap w:val="0"/>
            <w:vAlign w:val="center"/>
          </w:tcPr>
          <w:p w14:paraId="338466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88" w:type="pct"/>
            <w:tcBorders>
              <w:tl2br w:val="nil"/>
              <w:tr2bl w:val="nil"/>
            </w:tcBorders>
            <w:noWrap w:val="0"/>
            <w:vAlign w:val="center"/>
          </w:tcPr>
          <w:p w14:paraId="2DF902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7.28</w:t>
            </w:r>
          </w:p>
        </w:tc>
        <w:tc>
          <w:tcPr>
            <w:tcW w:w="304" w:type="pct"/>
            <w:tcBorders>
              <w:tl2br w:val="nil"/>
              <w:tr2bl w:val="nil"/>
            </w:tcBorders>
            <w:noWrap w:val="0"/>
            <w:vAlign w:val="center"/>
          </w:tcPr>
          <w:p w14:paraId="40E7F6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0.26</w:t>
            </w:r>
          </w:p>
        </w:tc>
        <w:tc>
          <w:tcPr>
            <w:tcW w:w="268" w:type="pct"/>
            <w:tcBorders>
              <w:tl2br w:val="nil"/>
              <w:tr2bl w:val="nil"/>
            </w:tcBorders>
            <w:noWrap w:val="0"/>
            <w:vAlign w:val="center"/>
          </w:tcPr>
          <w:p w14:paraId="5FC877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1.00</w:t>
            </w:r>
          </w:p>
        </w:tc>
        <w:tc>
          <w:tcPr>
            <w:tcW w:w="319" w:type="pct"/>
            <w:tcBorders>
              <w:tl2br w:val="nil"/>
              <w:tr2bl w:val="nil"/>
            </w:tcBorders>
            <w:noWrap w:val="0"/>
            <w:vAlign w:val="center"/>
          </w:tcPr>
          <w:p w14:paraId="667F3B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0.34</w:t>
            </w:r>
          </w:p>
        </w:tc>
        <w:tc>
          <w:tcPr>
            <w:tcW w:w="303" w:type="pct"/>
            <w:tcBorders>
              <w:tl2br w:val="nil"/>
              <w:tr2bl w:val="nil"/>
            </w:tcBorders>
            <w:noWrap w:val="0"/>
            <w:vAlign w:val="center"/>
          </w:tcPr>
          <w:p w14:paraId="7F00CF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1.71</w:t>
            </w:r>
          </w:p>
        </w:tc>
        <w:tc>
          <w:tcPr>
            <w:tcW w:w="278" w:type="pct"/>
            <w:tcBorders>
              <w:tl2br w:val="nil"/>
              <w:tr2bl w:val="nil"/>
            </w:tcBorders>
            <w:noWrap w:val="0"/>
            <w:vAlign w:val="center"/>
          </w:tcPr>
          <w:p w14:paraId="2A47F7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3.29</w:t>
            </w:r>
          </w:p>
        </w:tc>
        <w:tc>
          <w:tcPr>
            <w:tcW w:w="285" w:type="pct"/>
            <w:tcBorders>
              <w:tl2br w:val="nil"/>
              <w:tr2bl w:val="nil"/>
            </w:tcBorders>
            <w:noWrap w:val="0"/>
            <w:vAlign w:val="center"/>
          </w:tcPr>
          <w:p w14:paraId="52B9624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9" w:type="pct"/>
            <w:tcBorders>
              <w:tl2br w:val="nil"/>
              <w:tr2bl w:val="nil"/>
            </w:tcBorders>
            <w:noWrap w:val="0"/>
            <w:vAlign w:val="center"/>
          </w:tcPr>
          <w:p w14:paraId="372B43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46" w:type="pct"/>
            <w:tcBorders>
              <w:tl2br w:val="nil"/>
              <w:tr2bl w:val="nil"/>
            </w:tcBorders>
            <w:noWrap w:val="0"/>
            <w:vAlign w:val="center"/>
          </w:tcPr>
          <w:p w14:paraId="4E1223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0.00008</w:t>
            </w:r>
          </w:p>
        </w:tc>
        <w:tc>
          <w:tcPr>
            <w:tcW w:w="330" w:type="pct"/>
            <w:tcBorders>
              <w:tl2br w:val="nil"/>
              <w:tr2bl w:val="nil"/>
            </w:tcBorders>
            <w:noWrap w:val="0"/>
            <w:vAlign w:val="center"/>
          </w:tcPr>
          <w:p w14:paraId="3F9FD1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91" w:type="pct"/>
            <w:tcBorders>
              <w:tl2br w:val="nil"/>
              <w:tr2bl w:val="nil"/>
            </w:tcBorders>
            <w:noWrap w:val="0"/>
            <w:vAlign w:val="center"/>
          </w:tcPr>
          <w:p w14:paraId="32A666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51F989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719" w:type="pct"/>
            <w:tcBorders>
              <w:tl2br w:val="nil"/>
              <w:tr2bl w:val="nil"/>
            </w:tcBorders>
            <w:noWrap w:val="0"/>
            <w:vAlign w:val="center"/>
          </w:tcPr>
          <w:p w14:paraId="3FD71C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万古水库废渣点3A-3B间过渡点</w:t>
            </w:r>
          </w:p>
        </w:tc>
        <w:tc>
          <w:tcPr>
            <w:tcW w:w="339" w:type="pct"/>
            <w:tcBorders>
              <w:tl2br w:val="nil"/>
              <w:tr2bl w:val="nil"/>
            </w:tcBorders>
            <w:noWrap w:val="0"/>
            <w:vAlign w:val="center"/>
          </w:tcPr>
          <w:p w14:paraId="34C8B20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2022.06.30</w:t>
            </w:r>
          </w:p>
        </w:tc>
        <w:tc>
          <w:tcPr>
            <w:tcW w:w="514" w:type="pct"/>
            <w:tcBorders>
              <w:tl2br w:val="nil"/>
              <w:tr2bl w:val="nil"/>
            </w:tcBorders>
            <w:noWrap w:val="0"/>
            <w:vAlign w:val="center"/>
          </w:tcPr>
          <w:p w14:paraId="19C3371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88" w:type="pct"/>
            <w:tcBorders>
              <w:tl2br w:val="nil"/>
              <w:tr2bl w:val="nil"/>
            </w:tcBorders>
            <w:noWrap w:val="0"/>
            <w:vAlign w:val="center"/>
          </w:tcPr>
          <w:p w14:paraId="430006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6.52</w:t>
            </w:r>
          </w:p>
        </w:tc>
        <w:tc>
          <w:tcPr>
            <w:tcW w:w="304" w:type="pct"/>
            <w:tcBorders>
              <w:tl2br w:val="nil"/>
              <w:tr2bl w:val="nil"/>
            </w:tcBorders>
            <w:noWrap w:val="0"/>
            <w:vAlign w:val="center"/>
          </w:tcPr>
          <w:p w14:paraId="279DDC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0.18</w:t>
            </w:r>
          </w:p>
        </w:tc>
        <w:tc>
          <w:tcPr>
            <w:tcW w:w="268" w:type="pct"/>
            <w:tcBorders>
              <w:tl2br w:val="nil"/>
              <w:tr2bl w:val="nil"/>
            </w:tcBorders>
            <w:noWrap w:val="0"/>
            <w:vAlign w:val="center"/>
          </w:tcPr>
          <w:p w14:paraId="3DD397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0.21</w:t>
            </w:r>
          </w:p>
        </w:tc>
        <w:tc>
          <w:tcPr>
            <w:tcW w:w="319" w:type="pct"/>
            <w:tcBorders>
              <w:tl2br w:val="nil"/>
              <w:tr2bl w:val="nil"/>
            </w:tcBorders>
            <w:noWrap w:val="0"/>
            <w:vAlign w:val="center"/>
          </w:tcPr>
          <w:p w14:paraId="2DFAD0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0.72</w:t>
            </w:r>
          </w:p>
        </w:tc>
        <w:tc>
          <w:tcPr>
            <w:tcW w:w="303" w:type="pct"/>
            <w:tcBorders>
              <w:tl2br w:val="nil"/>
              <w:tr2bl w:val="nil"/>
            </w:tcBorders>
            <w:noWrap w:val="0"/>
            <w:vAlign w:val="center"/>
          </w:tcPr>
          <w:p w14:paraId="1B9B31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1.82</w:t>
            </w:r>
          </w:p>
        </w:tc>
        <w:tc>
          <w:tcPr>
            <w:tcW w:w="278" w:type="pct"/>
            <w:tcBorders>
              <w:tl2br w:val="nil"/>
              <w:tr2bl w:val="nil"/>
            </w:tcBorders>
            <w:noWrap w:val="0"/>
            <w:vAlign w:val="center"/>
          </w:tcPr>
          <w:p w14:paraId="31A712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1.39</w:t>
            </w:r>
          </w:p>
        </w:tc>
        <w:tc>
          <w:tcPr>
            <w:tcW w:w="285" w:type="pct"/>
            <w:tcBorders>
              <w:tl2br w:val="nil"/>
              <w:tr2bl w:val="nil"/>
            </w:tcBorders>
            <w:noWrap w:val="0"/>
            <w:vAlign w:val="center"/>
          </w:tcPr>
          <w:p w14:paraId="67683F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0.0074</w:t>
            </w:r>
          </w:p>
        </w:tc>
        <w:tc>
          <w:tcPr>
            <w:tcW w:w="309" w:type="pct"/>
            <w:tcBorders>
              <w:tl2br w:val="nil"/>
              <w:tr2bl w:val="nil"/>
            </w:tcBorders>
            <w:noWrap w:val="0"/>
            <w:vAlign w:val="center"/>
          </w:tcPr>
          <w:p w14:paraId="7E46620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0.157</w:t>
            </w:r>
          </w:p>
        </w:tc>
        <w:tc>
          <w:tcPr>
            <w:tcW w:w="346" w:type="pct"/>
            <w:tcBorders>
              <w:tl2br w:val="nil"/>
              <w:tr2bl w:val="nil"/>
            </w:tcBorders>
            <w:noWrap w:val="0"/>
            <w:vAlign w:val="center"/>
          </w:tcPr>
          <w:p w14:paraId="0B8AF3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0.00004</w:t>
            </w:r>
          </w:p>
        </w:tc>
        <w:tc>
          <w:tcPr>
            <w:tcW w:w="330" w:type="pct"/>
            <w:tcBorders>
              <w:tl2br w:val="nil"/>
              <w:tr2bl w:val="nil"/>
            </w:tcBorders>
            <w:noWrap w:val="0"/>
            <w:vAlign w:val="center"/>
          </w:tcPr>
          <w:p w14:paraId="67B7E5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0.011</w:t>
            </w:r>
          </w:p>
        </w:tc>
        <w:tc>
          <w:tcPr>
            <w:tcW w:w="391" w:type="pct"/>
            <w:tcBorders>
              <w:tl2br w:val="nil"/>
              <w:tr2bl w:val="nil"/>
            </w:tcBorders>
            <w:noWrap w:val="0"/>
            <w:vAlign w:val="center"/>
          </w:tcPr>
          <w:p w14:paraId="4ED3CC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053D2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573" w:type="pct"/>
            <w:gridSpan w:val="3"/>
            <w:tcBorders>
              <w:tl2br w:val="nil"/>
              <w:tr2bl w:val="nil"/>
            </w:tcBorders>
            <w:noWrap w:val="0"/>
            <w:vAlign w:val="center"/>
          </w:tcPr>
          <w:p w14:paraId="11DA3B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限值</w:t>
            </w:r>
          </w:p>
        </w:tc>
        <w:tc>
          <w:tcPr>
            <w:tcW w:w="288" w:type="pct"/>
            <w:tcBorders>
              <w:tl2br w:val="nil"/>
              <w:tr2bl w:val="nil"/>
            </w:tcBorders>
            <w:noWrap w:val="0"/>
            <w:vAlign w:val="center"/>
          </w:tcPr>
          <w:p w14:paraId="4A38B4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w:t>
            </w:r>
          </w:p>
        </w:tc>
        <w:tc>
          <w:tcPr>
            <w:tcW w:w="304" w:type="pct"/>
            <w:tcBorders>
              <w:tl2br w:val="nil"/>
              <w:tr2bl w:val="nil"/>
            </w:tcBorders>
            <w:noWrap w:val="0"/>
            <w:vAlign w:val="center"/>
          </w:tcPr>
          <w:p w14:paraId="5E9415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15</w:t>
            </w:r>
          </w:p>
        </w:tc>
        <w:tc>
          <w:tcPr>
            <w:tcW w:w="268" w:type="pct"/>
            <w:tcBorders>
              <w:tl2br w:val="nil"/>
              <w:tr2bl w:val="nil"/>
            </w:tcBorders>
            <w:noWrap w:val="0"/>
            <w:vAlign w:val="center"/>
          </w:tcPr>
          <w:p w14:paraId="36580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5</w:t>
            </w:r>
          </w:p>
        </w:tc>
        <w:tc>
          <w:tcPr>
            <w:tcW w:w="319" w:type="pct"/>
            <w:tcBorders>
              <w:tl2br w:val="nil"/>
              <w:tr2bl w:val="nil"/>
            </w:tcBorders>
            <w:noWrap w:val="0"/>
            <w:vAlign w:val="center"/>
          </w:tcPr>
          <w:p w14:paraId="7B59DE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100</w:t>
            </w:r>
          </w:p>
        </w:tc>
        <w:tc>
          <w:tcPr>
            <w:tcW w:w="303" w:type="pct"/>
            <w:tcBorders>
              <w:tl2br w:val="nil"/>
              <w:tr2bl w:val="nil"/>
            </w:tcBorders>
            <w:noWrap w:val="0"/>
            <w:vAlign w:val="center"/>
          </w:tcPr>
          <w:p w14:paraId="1EFF0D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100</w:t>
            </w:r>
          </w:p>
        </w:tc>
        <w:tc>
          <w:tcPr>
            <w:tcW w:w="278" w:type="pct"/>
            <w:tcBorders>
              <w:tl2br w:val="nil"/>
              <w:tr2bl w:val="nil"/>
            </w:tcBorders>
            <w:noWrap w:val="0"/>
            <w:vAlign w:val="center"/>
          </w:tcPr>
          <w:p w14:paraId="60B905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5</w:t>
            </w:r>
          </w:p>
        </w:tc>
        <w:tc>
          <w:tcPr>
            <w:tcW w:w="285" w:type="pct"/>
            <w:tcBorders>
              <w:tl2br w:val="nil"/>
              <w:tr2bl w:val="nil"/>
            </w:tcBorders>
            <w:noWrap w:val="0"/>
            <w:vAlign w:val="center"/>
          </w:tcPr>
          <w:p w14:paraId="1E0666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w:t>
            </w:r>
          </w:p>
        </w:tc>
        <w:tc>
          <w:tcPr>
            <w:tcW w:w="309" w:type="pct"/>
            <w:tcBorders>
              <w:tl2br w:val="nil"/>
              <w:tr2bl w:val="nil"/>
            </w:tcBorders>
            <w:noWrap w:val="0"/>
            <w:vAlign w:val="center"/>
          </w:tcPr>
          <w:p w14:paraId="2A5C6F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5</w:t>
            </w:r>
          </w:p>
        </w:tc>
        <w:tc>
          <w:tcPr>
            <w:tcW w:w="346" w:type="pct"/>
            <w:tcBorders>
              <w:tl2br w:val="nil"/>
              <w:tr2bl w:val="nil"/>
            </w:tcBorders>
            <w:noWrap w:val="0"/>
            <w:vAlign w:val="center"/>
          </w:tcPr>
          <w:p w14:paraId="0DDB0C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0.1</w:t>
            </w:r>
          </w:p>
        </w:tc>
        <w:tc>
          <w:tcPr>
            <w:tcW w:w="330" w:type="pct"/>
            <w:tcBorders>
              <w:tl2br w:val="nil"/>
              <w:tr2bl w:val="nil"/>
            </w:tcBorders>
            <w:noWrap w:val="0"/>
            <w:vAlign w:val="center"/>
          </w:tcPr>
          <w:p w14:paraId="17817E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5</w:t>
            </w:r>
          </w:p>
        </w:tc>
        <w:tc>
          <w:tcPr>
            <w:tcW w:w="391" w:type="pct"/>
            <w:tcBorders>
              <w:tl2br w:val="nil"/>
              <w:tr2bl w:val="nil"/>
            </w:tcBorders>
            <w:noWrap w:val="0"/>
            <w:vAlign w:val="center"/>
          </w:tcPr>
          <w:p w14:paraId="6A93FE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5</w:t>
            </w:r>
          </w:p>
        </w:tc>
      </w:tr>
      <w:tr w14:paraId="1C7B90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14"/>
            <w:tcBorders>
              <w:tl2br w:val="nil"/>
              <w:tr2bl w:val="nil"/>
            </w:tcBorders>
            <w:noWrap w:val="0"/>
            <w:vAlign w:val="center"/>
          </w:tcPr>
          <w:p w14:paraId="263DEA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eastAsia" w:ascii="Times New Roman" w:hAnsi="宋体" w:eastAsia="宋体" w:cs="宋体"/>
                <w:b/>
                <w:bCs/>
                <w:snapToGrid w:val="0"/>
                <w:color w:val="000000"/>
                <w:kern w:val="0"/>
                <w:sz w:val="21"/>
                <w:szCs w:val="21"/>
                <w:highlight w:val="none"/>
                <w:vertAlign w:val="baseline"/>
                <w:lang w:val="en-US" w:eastAsia="zh-CN" w:bidi="ar-SA"/>
              </w:rPr>
              <w:t>注：“ND”表示未检出。</w:t>
            </w:r>
          </w:p>
        </w:tc>
      </w:tr>
    </w:tbl>
    <w:p w14:paraId="07B95D05">
      <w:pPr>
        <w:bidi w:val="0"/>
        <w:rPr>
          <w:rFonts w:hint="default"/>
          <w:sz w:val="24"/>
          <w:szCs w:val="24"/>
          <w:lang w:val="en-US" w:eastAsia="zh-CN"/>
        </w:rPr>
      </w:pPr>
      <w:r>
        <w:rPr>
          <w:rFonts w:hint="default"/>
          <w:sz w:val="24"/>
          <w:szCs w:val="24"/>
          <w:lang w:val="en-US" w:eastAsia="zh-CN"/>
        </w:rPr>
        <w:t>由</w:t>
      </w:r>
      <w:r>
        <w:rPr>
          <w:rFonts w:hint="eastAsia"/>
          <w:sz w:val="24"/>
          <w:szCs w:val="24"/>
          <w:lang w:val="en-US" w:eastAsia="zh-CN"/>
        </w:rPr>
        <w:t>上表</w:t>
      </w:r>
      <w:r>
        <w:rPr>
          <w:rFonts w:hint="default"/>
          <w:sz w:val="24"/>
          <w:szCs w:val="24"/>
          <w:lang w:val="en-US" w:eastAsia="zh-CN"/>
        </w:rPr>
        <w:t>可知：</w:t>
      </w:r>
      <w:r>
        <w:rPr>
          <w:rFonts w:hint="eastAsia"/>
          <w:sz w:val="24"/>
          <w:szCs w:val="24"/>
          <w:lang w:val="en-US" w:eastAsia="zh-CN"/>
        </w:rPr>
        <w:t>万古村1#废渣堆</w:t>
      </w:r>
      <w:r>
        <w:rPr>
          <w:rFonts w:hint="eastAsia"/>
          <w:sz w:val="24"/>
          <w:szCs w:val="24"/>
          <w:lang w:eastAsia="zh-CN"/>
        </w:rPr>
        <w:t>、</w:t>
      </w:r>
      <w:r>
        <w:rPr>
          <w:rFonts w:hint="eastAsia"/>
          <w:sz w:val="24"/>
          <w:szCs w:val="24"/>
        </w:rPr>
        <w:t>2#废渣堆</w:t>
      </w:r>
      <w:r>
        <w:rPr>
          <w:rFonts w:hint="eastAsia"/>
          <w:sz w:val="24"/>
          <w:szCs w:val="24"/>
          <w:lang w:eastAsia="zh-CN"/>
        </w:rPr>
        <w:t>、</w:t>
      </w:r>
      <w:r>
        <w:rPr>
          <w:rFonts w:hint="eastAsia"/>
          <w:sz w:val="24"/>
          <w:szCs w:val="24"/>
          <w:lang w:val="en-US" w:eastAsia="zh-CN"/>
        </w:rPr>
        <w:t>万古水库</w:t>
      </w:r>
      <w:r>
        <w:rPr>
          <w:rFonts w:hint="eastAsia"/>
          <w:sz w:val="24"/>
          <w:szCs w:val="24"/>
        </w:rPr>
        <w:t>废渣堆</w:t>
      </w:r>
      <w:r>
        <w:rPr>
          <w:rFonts w:hint="eastAsia"/>
          <w:sz w:val="24"/>
          <w:szCs w:val="24"/>
          <w:lang w:val="en-US" w:eastAsia="zh-CN"/>
        </w:rPr>
        <w:t>3A、3B号点</w:t>
      </w:r>
      <w:r>
        <w:rPr>
          <w:rFonts w:hint="eastAsia"/>
          <w:sz w:val="24"/>
          <w:szCs w:val="24"/>
        </w:rPr>
        <w:t>的遗留废渣</w:t>
      </w:r>
      <w:r>
        <w:rPr>
          <w:sz w:val="24"/>
          <w:szCs w:val="24"/>
        </w:rPr>
        <w:t>浸出液中</w:t>
      </w:r>
      <w:r>
        <w:rPr>
          <w:rFonts w:hint="eastAsia"/>
          <w:sz w:val="24"/>
          <w:szCs w:val="24"/>
        </w:rPr>
        <w:t>总</w:t>
      </w:r>
      <w:r>
        <w:rPr>
          <w:sz w:val="24"/>
          <w:szCs w:val="24"/>
        </w:rPr>
        <w:t>砷、总铬、</w:t>
      </w:r>
      <w:r>
        <w:rPr>
          <w:rFonts w:hint="eastAsia"/>
          <w:sz w:val="24"/>
          <w:szCs w:val="24"/>
        </w:rPr>
        <w:t>总</w:t>
      </w:r>
      <w:r>
        <w:rPr>
          <w:sz w:val="24"/>
          <w:szCs w:val="24"/>
        </w:rPr>
        <w:t>镍、</w:t>
      </w:r>
      <w:r>
        <w:rPr>
          <w:rFonts w:hint="eastAsia"/>
          <w:sz w:val="24"/>
          <w:szCs w:val="24"/>
        </w:rPr>
        <w:t>总</w:t>
      </w:r>
      <w:r>
        <w:rPr>
          <w:sz w:val="24"/>
          <w:szCs w:val="24"/>
        </w:rPr>
        <w:t>铜、</w:t>
      </w:r>
      <w:r>
        <w:rPr>
          <w:rFonts w:hint="eastAsia"/>
          <w:sz w:val="24"/>
          <w:szCs w:val="24"/>
        </w:rPr>
        <w:t>总</w:t>
      </w:r>
      <w:r>
        <w:rPr>
          <w:sz w:val="24"/>
          <w:szCs w:val="24"/>
        </w:rPr>
        <w:t>锌、</w:t>
      </w:r>
      <w:r>
        <w:rPr>
          <w:rFonts w:hint="eastAsia"/>
          <w:sz w:val="24"/>
          <w:szCs w:val="24"/>
        </w:rPr>
        <w:t>总</w:t>
      </w:r>
      <w:r>
        <w:rPr>
          <w:sz w:val="24"/>
          <w:szCs w:val="24"/>
        </w:rPr>
        <w:t>镉、</w:t>
      </w:r>
      <w:r>
        <w:rPr>
          <w:rFonts w:hint="eastAsia"/>
          <w:sz w:val="24"/>
          <w:szCs w:val="24"/>
        </w:rPr>
        <w:t>总</w:t>
      </w:r>
      <w:r>
        <w:rPr>
          <w:sz w:val="24"/>
          <w:szCs w:val="24"/>
        </w:rPr>
        <w:t>铅、</w:t>
      </w:r>
      <w:r>
        <w:rPr>
          <w:rFonts w:hint="eastAsia"/>
          <w:sz w:val="24"/>
          <w:szCs w:val="24"/>
        </w:rPr>
        <w:t>总</w:t>
      </w:r>
      <w:r>
        <w:rPr>
          <w:sz w:val="24"/>
          <w:szCs w:val="24"/>
        </w:rPr>
        <w:t>汞、六价铬、氰化物的浓度均低于《危险废物鉴别标准</w:t>
      </w:r>
      <w:r>
        <w:rPr>
          <w:rFonts w:hint="eastAsia"/>
          <w:sz w:val="24"/>
          <w:szCs w:val="24"/>
        </w:rPr>
        <w:t xml:space="preserve"> </w:t>
      </w:r>
      <w:r>
        <w:rPr>
          <w:rFonts w:hint="eastAsia"/>
          <w:sz w:val="24"/>
          <w:szCs w:val="24"/>
          <w:lang w:val="en-US" w:eastAsia="zh-CN"/>
        </w:rPr>
        <w:t xml:space="preserve"> </w:t>
      </w:r>
      <w:r>
        <w:rPr>
          <w:sz w:val="24"/>
          <w:szCs w:val="24"/>
        </w:rPr>
        <w:t>浸出毒性鉴别》（GB5085.3-2007）表1的浓度限值</w:t>
      </w:r>
      <w:r>
        <w:rPr>
          <w:rFonts w:hint="eastAsia"/>
          <w:sz w:val="24"/>
          <w:szCs w:val="24"/>
        </w:rPr>
        <w:t>。因此，</w:t>
      </w:r>
      <w:r>
        <w:rPr>
          <w:rFonts w:hint="eastAsia"/>
          <w:sz w:val="24"/>
          <w:szCs w:val="24"/>
          <w:lang w:val="en-US" w:eastAsia="zh-CN"/>
        </w:rPr>
        <w:t>万古村1#废渣堆</w:t>
      </w:r>
      <w:r>
        <w:rPr>
          <w:rFonts w:hint="eastAsia"/>
          <w:sz w:val="24"/>
          <w:szCs w:val="24"/>
          <w:lang w:eastAsia="zh-CN"/>
        </w:rPr>
        <w:t>、</w:t>
      </w:r>
      <w:r>
        <w:rPr>
          <w:rFonts w:hint="eastAsia"/>
          <w:sz w:val="24"/>
          <w:szCs w:val="24"/>
        </w:rPr>
        <w:t>2#废渣堆</w:t>
      </w:r>
      <w:r>
        <w:rPr>
          <w:rFonts w:hint="eastAsia"/>
          <w:sz w:val="24"/>
          <w:szCs w:val="24"/>
          <w:lang w:eastAsia="zh-CN"/>
        </w:rPr>
        <w:t>、</w:t>
      </w:r>
      <w:r>
        <w:rPr>
          <w:rFonts w:hint="eastAsia"/>
          <w:sz w:val="24"/>
          <w:szCs w:val="24"/>
          <w:lang w:val="en-US" w:eastAsia="zh-CN"/>
        </w:rPr>
        <w:t>万古水库</w:t>
      </w:r>
      <w:r>
        <w:rPr>
          <w:rFonts w:hint="eastAsia"/>
          <w:sz w:val="24"/>
          <w:szCs w:val="24"/>
        </w:rPr>
        <w:t>废渣堆</w:t>
      </w:r>
      <w:r>
        <w:rPr>
          <w:rFonts w:hint="eastAsia"/>
          <w:sz w:val="24"/>
          <w:szCs w:val="24"/>
          <w:lang w:val="en-US" w:eastAsia="zh-CN"/>
        </w:rPr>
        <w:t>3A、3B号点</w:t>
      </w:r>
      <w:r>
        <w:rPr>
          <w:rFonts w:hint="eastAsia"/>
          <w:sz w:val="24"/>
          <w:szCs w:val="24"/>
        </w:rPr>
        <w:t>的遗留废渣不具有浸出毒性，同时根据污染状况调查报告结论，本项目万古村1#废渣堆、2#废渣堆、万古水库废渣堆3A、3B号点的遗留废渣</w:t>
      </w:r>
      <w:r>
        <w:rPr>
          <w:sz w:val="24"/>
          <w:szCs w:val="24"/>
        </w:rPr>
        <w:t>不</w:t>
      </w:r>
      <w:r>
        <w:rPr>
          <w:rFonts w:hint="eastAsia"/>
          <w:sz w:val="24"/>
          <w:szCs w:val="24"/>
        </w:rPr>
        <w:t>属于危险废物</w:t>
      </w:r>
      <w:r>
        <w:rPr>
          <w:rFonts w:hint="default"/>
          <w:sz w:val="24"/>
          <w:szCs w:val="24"/>
          <w:lang w:val="en-US" w:eastAsia="zh-CN"/>
        </w:rPr>
        <w:t>。</w:t>
      </w:r>
    </w:p>
    <w:p w14:paraId="056E0895">
      <w:pPr>
        <w:bidi w:val="0"/>
        <w:rPr>
          <w:rFonts w:hint="eastAsia"/>
          <w:sz w:val="24"/>
          <w:szCs w:val="24"/>
          <w:lang w:val="en-US" w:eastAsia="zh-CN"/>
        </w:rPr>
      </w:pPr>
      <w:r>
        <w:rPr>
          <w:rFonts w:hint="eastAsia"/>
          <w:sz w:val="24"/>
          <w:szCs w:val="24"/>
          <w:lang w:val="en-US" w:eastAsia="zh-CN"/>
        </w:rPr>
        <w:t>各渣堆分区一般固废判定检测情况见表3.1-9。</w:t>
      </w:r>
    </w:p>
    <w:p w14:paraId="21A30448">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表3.1-9  固体废物（废渣）检测结果（水浸）    单位：mg/L，pH无量纲</w:t>
      </w:r>
    </w:p>
    <w:tbl>
      <w:tblPr>
        <w:tblStyle w:val="111"/>
        <w:tblW w:w="522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969"/>
        <w:gridCol w:w="1215"/>
        <w:gridCol w:w="1373"/>
        <w:gridCol w:w="780"/>
        <w:gridCol w:w="871"/>
        <w:gridCol w:w="809"/>
        <w:gridCol w:w="868"/>
        <w:gridCol w:w="841"/>
        <w:gridCol w:w="1069"/>
        <w:gridCol w:w="906"/>
        <w:gridCol w:w="885"/>
        <w:gridCol w:w="906"/>
        <w:gridCol w:w="757"/>
        <w:gridCol w:w="1359"/>
      </w:tblGrid>
      <w:tr w14:paraId="36D847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vMerge w:val="restart"/>
            <w:tcBorders>
              <w:tl2br w:val="nil"/>
              <w:tr2bl w:val="nil"/>
            </w:tcBorders>
            <w:noWrap w:val="0"/>
            <w:vAlign w:val="center"/>
          </w:tcPr>
          <w:p w14:paraId="37F18D2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采样点位</w:t>
            </w:r>
          </w:p>
        </w:tc>
        <w:tc>
          <w:tcPr>
            <w:tcW w:w="416" w:type="pct"/>
            <w:vMerge w:val="restart"/>
            <w:tcBorders>
              <w:tl2br w:val="nil"/>
              <w:tr2bl w:val="nil"/>
            </w:tcBorders>
            <w:noWrap w:val="0"/>
            <w:vAlign w:val="center"/>
          </w:tcPr>
          <w:p w14:paraId="35C656C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采样日期</w:t>
            </w:r>
          </w:p>
        </w:tc>
        <w:tc>
          <w:tcPr>
            <w:tcW w:w="469" w:type="pct"/>
            <w:vMerge w:val="restart"/>
            <w:tcBorders>
              <w:tl2br w:val="nil"/>
              <w:tr2bl w:val="nil"/>
            </w:tcBorders>
            <w:noWrap w:val="0"/>
            <w:vAlign w:val="center"/>
          </w:tcPr>
          <w:p w14:paraId="4BBA769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样品状态</w:t>
            </w:r>
          </w:p>
        </w:tc>
        <w:tc>
          <w:tcPr>
            <w:tcW w:w="3439" w:type="pct"/>
            <w:gridSpan w:val="11"/>
            <w:tcBorders>
              <w:tl2br w:val="nil"/>
              <w:tr2bl w:val="nil"/>
            </w:tcBorders>
            <w:noWrap w:val="0"/>
            <w:vAlign w:val="center"/>
          </w:tcPr>
          <w:p w14:paraId="21624E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检测项目及检测结果</w:t>
            </w:r>
          </w:p>
        </w:tc>
      </w:tr>
      <w:tr w14:paraId="2498CF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vMerge w:val="continue"/>
            <w:tcBorders>
              <w:tl2br w:val="nil"/>
              <w:tr2bl w:val="nil"/>
            </w:tcBorders>
            <w:noWrap w:val="0"/>
            <w:vAlign w:val="center"/>
          </w:tcPr>
          <w:p w14:paraId="69D070F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Arial" w:cs="Times New Roman"/>
                <w:snapToGrid w:val="0"/>
                <w:color w:val="000000"/>
                <w:spacing w:val="0"/>
                <w:kern w:val="0"/>
                <w:sz w:val="21"/>
                <w:szCs w:val="21"/>
                <w:lang w:eastAsia="en-US"/>
              </w:rPr>
            </w:pPr>
          </w:p>
        </w:tc>
        <w:tc>
          <w:tcPr>
            <w:tcW w:w="416" w:type="pct"/>
            <w:vMerge w:val="continue"/>
            <w:tcBorders>
              <w:tl2br w:val="nil"/>
              <w:tr2bl w:val="nil"/>
            </w:tcBorders>
            <w:noWrap w:val="0"/>
            <w:vAlign w:val="center"/>
          </w:tcPr>
          <w:p w14:paraId="3089AC6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Arial" w:cs="Times New Roman"/>
                <w:b/>
                <w:bCs/>
                <w:snapToGrid w:val="0"/>
                <w:color w:val="000000"/>
                <w:spacing w:val="0"/>
                <w:kern w:val="0"/>
                <w:sz w:val="21"/>
                <w:szCs w:val="21"/>
                <w:lang w:eastAsia="en-US"/>
              </w:rPr>
            </w:pPr>
          </w:p>
        </w:tc>
        <w:tc>
          <w:tcPr>
            <w:tcW w:w="469" w:type="pct"/>
            <w:vMerge w:val="continue"/>
            <w:tcBorders>
              <w:tl2br w:val="nil"/>
              <w:tr2bl w:val="nil"/>
            </w:tcBorders>
            <w:noWrap w:val="0"/>
            <w:vAlign w:val="center"/>
          </w:tcPr>
          <w:p w14:paraId="506B5E3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Arial" w:cs="Times New Roman"/>
                <w:b/>
                <w:bCs/>
                <w:snapToGrid w:val="0"/>
                <w:color w:val="000000"/>
                <w:spacing w:val="0"/>
                <w:kern w:val="0"/>
                <w:sz w:val="21"/>
                <w:szCs w:val="21"/>
                <w:lang w:eastAsia="en-US"/>
              </w:rPr>
            </w:pPr>
          </w:p>
        </w:tc>
        <w:tc>
          <w:tcPr>
            <w:tcW w:w="267" w:type="pct"/>
            <w:tcBorders>
              <w:tl2br w:val="nil"/>
              <w:tr2bl w:val="nil"/>
            </w:tcBorders>
            <w:noWrap w:val="0"/>
            <w:vAlign w:val="center"/>
          </w:tcPr>
          <w:p w14:paraId="23FE441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pH值</w:t>
            </w:r>
          </w:p>
        </w:tc>
        <w:tc>
          <w:tcPr>
            <w:tcW w:w="298" w:type="pct"/>
            <w:tcBorders>
              <w:tl2br w:val="nil"/>
              <w:tr2bl w:val="nil"/>
            </w:tcBorders>
            <w:noWrap w:val="0"/>
            <w:vAlign w:val="center"/>
          </w:tcPr>
          <w:p w14:paraId="511104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总铬</w:t>
            </w:r>
          </w:p>
        </w:tc>
        <w:tc>
          <w:tcPr>
            <w:tcW w:w="277" w:type="pct"/>
            <w:tcBorders>
              <w:tl2br w:val="nil"/>
              <w:tr2bl w:val="nil"/>
            </w:tcBorders>
            <w:noWrap w:val="0"/>
            <w:vAlign w:val="center"/>
          </w:tcPr>
          <w:p w14:paraId="4260D9C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总镍</w:t>
            </w:r>
          </w:p>
        </w:tc>
        <w:tc>
          <w:tcPr>
            <w:tcW w:w="297" w:type="pct"/>
            <w:tcBorders>
              <w:tl2br w:val="nil"/>
              <w:tr2bl w:val="nil"/>
            </w:tcBorders>
            <w:noWrap w:val="0"/>
            <w:vAlign w:val="center"/>
          </w:tcPr>
          <w:p w14:paraId="477C00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总铜</w:t>
            </w:r>
          </w:p>
        </w:tc>
        <w:tc>
          <w:tcPr>
            <w:tcW w:w="288" w:type="pct"/>
            <w:tcBorders>
              <w:tl2br w:val="nil"/>
              <w:tr2bl w:val="nil"/>
            </w:tcBorders>
            <w:noWrap w:val="0"/>
            <w:vAlign w:val="center"/>
          </w:tcPr>
          <w:p w14:paraId="3472784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总锌</w:t>
            </w:r>
          </w:p>
        </w:tc>
        <w:tc>
          <w:tcPr>
            <w:tcW w:w="366" w:type="pct"/>
            <w:tcBorders>
              <w:tl2br w:val="nil"/>
              <w:tr2bl w:val="nil"/>
            </w:tcBorders>
            <w:noWrap w:val="0"/>
            <w:vAlign w:val="center"/>
          </w:tcPr>
          <w:p w14:paraId="5B307A9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总砷</w:t>
            </w:r>
          </w:p>
        </w:tc>
        <w:tc>
          <w:tcPr>
            <w:tcW w:w="310" w:type="pct"/>
            <w:tcBorders>
              <w:tl2br w:val="nil"/>
              <w:tr2bl w:val="nil"/>
            </w:tcBorders>
            <w:noWrap w:val="0"/>
            <w:vAlign w:val="center"/>
          </w:tcPr>
          <w:p w14:paraId="3EEBB1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总镉</w:t>
            </w:r>
          </w:p>
        </w:tc>
        <w:tc>
          <w:tcPr>
            <w:tcW w:w="303" w:type="pct"/>
            <w:tcBorders>
              <w:tl2br w:val="nil"/>
              <w:tr2bl w:val="nil"/>
            </w:tcBorders>
            <w:noWrap w:val="0"/>
            <w:vAlign w:val="center"/>
          </w:tcPr>
          <w:p w14:paraId="4D3FEB3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总铅</w:t>
            </w:r>
          </w:p>
        </w:tc>
        <w:tc>
          <w:tcPr>
            <w:tcW w:w="310" w:type="pct"/>
            <w:tcBorders>
              <w:tl2br w:val="nil"/>
              <w:tr2bl w:val="nil"/>
            </w:tcBorders>
            <w:noWrap w:val="0"/>
            <w:vAlign w:val="center"/>
          </w:tcPr>
          <w:p w14:paraId="45911A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总汞</w:t>
            </w:r>
          </w:p>
        </w:tc>
        <w:tc>
          <w:tcPr>
            <w:tcW w:w="259" w:type="pct"/>
            <w:tcBorders>
              <w:tl2br w:val="nil"/>
              <w:tr2bl w:val="nil"/>
            </w:tcBorders>
            <w:noWrap w:val="0"/>
            <w:vAlign w:val="center"/>
          </w:tcPr>
          <w:p w14:paraId="45E880A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六价铬</w:t>
            </w:r>
          </w:p>
        </w:tc>
        <w:tc>
          <w:tcPr>
            <w:tcW w:w="460" w:type="pct"/>
            <w:tcBorders>
              <w:tl2br w:val="nil"/>
              <w:tr2bl w:val="nil"/>
            </w:tcBorders>
            <w:noWrap w:val="0"/>
            <w:vAlign w:val="center"/>
          </w:tcPr>
          <w:p w14:paraId="35060A8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氰化物</w:t>
            </w:r>
          </w:p>
        </w:tc>
      </w:tr>
      <w:tr w14:paraId="64659E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E81614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万古村1号废渣1-1</w:t>
            </w:r>
          </w:p>
        </w:tc>
        <w:tc>
          <w:tcPr>
            <w:tcW w:w="416" w:type="pct"/>
            <w:tcBorders>
              <w:tl2br w:val="nil"/>
              <w:tr2bl w:val="nil"/>
            </w:tcBorders>
            <w:noWrap w:val="0"/>
            <w:vAlign w:val="center"/>
          </w:tcPr>
          <w:p w14:paraId="06D1292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469" w:type="pct"/>
            <w:tcBorders>
              <w:tl2br w:val="nil"/>
              <w:tr2bl w:val="nil"/>
            </w:tcBorders>
            <w:noWrap w:val="0"/>
            <w:vAlign w:val="center"/>
          </w:tcPr>
          <w:p w14:paraId="47C4C96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67" w:type="pct"/>
            <w:tcBorders>
              <w:tl2br w:val="nil"/>
              <w:tr2bl w:val="nil"/>
            </w:tcBorders>
            <w:noWrap w:val="0"/>
            <w:vAlign w:val="center"/>
          </w:tcPr>
          <w:p w14:paraId="3E4AE46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6.80</w:t>
            </w:r>
          </w:p>
        </w:tc>
        <w:tc>
          <w:tcPr>
            <w:tcW w:w="298" w:type="pct"/>
            <w:tcBorders>
              <w:tl2br w:val="nil"/>
              <w:tr2bl w:val="nil"/>
            </w:tcBorders>
            <w:noWrap w:val="0"/>
            <w:vAlign w:val="center"/>
          </w:tcPr>
          <w:p w14:paraId="4E1D505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4A4DED9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5D579EC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7A831DA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0.06</w:t>
            </w:r>
          </w:p>
        </w:tc>
        <w:tc>
          <w:tcPr>
            <w:tcW w:w="366" w:type="pct"/>
            <w:tcBorders>
              <w:tl2br w:val="nil"/>
              <w:tr2bl w:val="nil"/>
            </w:tcBorders>
            <w:noWrap w:val="0"/>
            <w:vAlign w:val="center"/>
          </w:tcPr>
          <w:p w14:paraId="6ECAFB6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0.674</w:t>
            </w:r>
          </w:p>
        </w:tc>
        <w:tc>
          <w:tcPr>
            <w:tcW w:w="310" w:type="pct"/>
            <w:tcBorders>
              <w:tl2br w:val="nil"/>
              <w:tr2bl w:val="nil"/>
            </w:tcBorders>
            <w:noWrap w:val="0"/>
            <w:vAlign w:val="center"/>
          </w:tcPr>
          <w:p w14:paraId="0849D2B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291FBBF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0C3CD0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601C44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04EE2D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6998A0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6C77AB1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万古村1号废渣1-2</w:t>
            </w:r>
          </w:p>
        </w:tc>
        <w:tc>
          <w:tcPr>
            <w:tcW w:w="416" w:type="pct"/>
            <w:tcBorders>
              <w:tl2br w:val="nil"/>
              <w:tr2bl w:val="nil"/>
            </w:tcBorders>
            <w:noWrap w:val="0"/>
            <w:vAlign w:val="center"/>
          </w:tcPr>
          <w:p w14:paraId="01B6267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469" w:type="pct"/>
            <w:tcBorders>
              <w:tl2br w:val="nil"/>
              <w:tr2bl w:val="nil"/>
            </w:tcBorders>
            <w:noWrap w:val="0"/>
            <w:vAlign w:val="center"/>
          </w:tcPr>
          <w:p w14:paraId="20A48C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67" w:type="pct"/>
            <w:tcBorders>
              <w:tl2br w:val="nil"/>
              <w:tr2bl w:val="nil"/>
            </w:tcBorders>
            <w:noWrap w:val="0"/>
            <w:vAlign w:val="center"/>
          </w:tcPr>
          <w:p w14:paraId="54C3BA6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7.55</w:t>
            </w:r>
          </w:p>
        </w:tc>
        <w:tc>
          <w:tcPr>
            <w:tcW w:w="298" w:type="pct"/>
            <w:tcBorders>
              <w:tl2br w:val="nil"/>
              <w:tr2bl w:val="nil"/>
            </w:tcBorders>
            <w:noWrap w:val="0"/>
            <w:vAlign w:val="center"/>
          </w:tcPr>
          <w:p w14:paraId="672D52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213B58A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6C72C2F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0.07</w:t>
            </w:r>
          </w:p>
        </w:tc>
        <w:tc>
          <w:tcPr>
            <w:tcW w:w="288" w:type="pct"/>
            <w:tcBorders>
              <w:tl2br w:val="nil"/>
              <w:tr2bl w:val="nil"/>
            </w:tcBorders>
            <w:noWrap w:val="0"/>
            <w:vAlign w:val="center"/>
          </w:tcPr>
          <w:p w14:paraId="483AC8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0.22</w:t>
            </w:r>
          </w:p>
        </w:tc>
        <w:tc>
          <w:tcPr>
            <w:tcW w:w="366" w:type="pct"/>
            <w:tcBorders>
              <w:tl2br w:val="nil"/>
              <w:tr2bl w:val="nil"/>
            </w:tcBorders>
            <w:noWrap w:val="0"/>
            <w:vAlign w:val="center"/>
          </w:tcPr>
          <w:p w14:paraId="33EA613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0.327</w:t>
            </w:r>
          </w:p>
        </w:tc>
        <w:tc>
          <w:tcPr>
            <w:tcW w:w="310" w:type="pct"/>
            <w:tcBorders>
              <w:tl2br w:val="nil"/>
              <w:tr2bl w:val="nil"/>
            </w:tcBorders>
            <w:noWrap w:val="0"/>
            <w:vAlign w:val="center"/>
          </w:tcPr>
          <w:p w14:paraId="6B988A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26E60DD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763665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0.00002</w:t>
            </w:r>
          </w:p>
        </w:tc>
        <w:tc>
          <w:tcPr>
            <w:tcW w:w="259" w:type="pct"/>
            <w:tcBorders>
              <w:tl2br w:val="nil"/>
              <w:tr2bl w:val="nil"/>
            </w:tcBorders>
            <w:noWrap w:val="0"/>
            <w:vAlign w:val="center"/>
          </w:tcPr>
          <w:p w14:paraId="0BE0549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4AEBB09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2CCAFA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F2030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万古村1号废渣1-3</w:t>
            </w:r>
          </w:p>
        </w:tc>
        <w:tc>
          <w:tcPr>
            <w:tcW w:w="416" w:type="pct"/>
            <w:tcBorders>
              <w:tl2br w:val="nil"/>
              <w:tr2bl w:val="nil"/>
            </w:tcBorders>
            <w:noWrap w:val="0"/>
            <w:vAlign w:val="center"/>
          </w:tcPr>
          <w:p w14:paraId="544B354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469" w:type="pct"/>
            <w:tcBorders>
              <w:tl2br w:val="nil"/>
              <w:tr2bl w:val="nil"/>
            </w:tcBorders>
            <w:noWrap w:val="0"/>
            <w:vAlign w:val="center"/>
          </w:tcPr>
          <w:p w14:paraId="694BF2D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67" w:type="pct"/>
            <w:tcBorders>
              <w:tl2br w:val="nil"/>
              <w:tr2bl w:val="nil"/>
            </w:tcBorders>
            <w:noWrap w:val="0"/>
            <w:vAlign w:val="center"/>
          </w:tcPr>
          <w:p w14:paraId="05AF778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7.25</w:t>
            </w:r>
          </w:p>
        </w:tc>
        <w:tc>
          <w:tcPr>
            <w:tcW w:w="298" w:type="pct"/>
            <w:tcBorders>
              <w:tl2br w:val="nil"/>
              <w:tr2bl w:val="nil"/>
            </w:tcBorders>
            <w:noWrap w:val="0"/>
            <w:vAlign w:val="center"/>
          </w:tcPr>
          <w:p w14:paraId="13D605B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5EC76B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1D1AE33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44FF606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0.07</w:t>
            </w:r>
          </w:p>
        </w:tc>
        <w:tc>
          <w:tcPr>
            <w:tcW w:w="366" w:type="pct"/>
            <w:tcBorders>
              <w:tl2br w:val="nil"/>
              <w:tr2bl w:val="nil"/>
            </w:tcBorders>
            <w:noWrap w:val="0"/>
            <w:vAlign w:val="center"/>
          </w:tcPr>
          <w:p w14:paraId="3B0F380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0.893</w:t>
            </w:r>
          </w:p>
        </w:tc>
        <w:tc>
          <w:tcPr>
            <w:tcW w:w="310" w:type="pct"/>
            <w:tcBorders>
              <w:tl2br w:val="nil"/>
              <w:tr2bl w:val="nil"/>
            </w:tcBorders>
            <w:noWrap w:val="0"/>
            <w:vAlign w:val="center"/>
          </w:tcPr>
          <w:p w14:paraId="1022499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495B23B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482104E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058238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10D5434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501EFB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5CF140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万古村1号废渣1-4</w:t>
            </w:r>
          </w:p>
        </w:tc>
        <w:tc>
          <w:tcPr>
            <w:tcW w:w="416" w:type="pct"/>
            <w:tcBorders>
              <w:tl2br w:val="nil"/>
              <w:tr2bl w:val="nil"/>
            </w:tcBorders>
            <w:noWrap w:val="0"/>
            <w:vAlign w:val="center"/>
          </w:tcPr>
          <w:p w14:paraId="3704B8B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2022.06.28</w:t>
            </w:r>
          </w:p>
        </w:tc>
        <w:tc>
          <w:tcPr>
            <w:tcW w:w="469" w:type="pct"/>
            <w:tcBorders>
              <w:tl2br w:val="nil"/>
              <w:tr2bl w:val="nil"/>
            </w:tcBorders>
            <w:noWrap w:val="0"/>
            <w:vAlign w:val="center"/>
          </w:tcPr>
          <w:p w14:paraId="23BB64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67" w:type="pct"/>
            <w:tcBorders>
              <w:tl2br w:val="nil"/>
              <w:tr2bl w:val="nil"/>
            </w:tcBorders>
            <w:noWrap w:val="0"/>
            <w:vAlign w:val="center"/>
          </w:tcPr>
          <w:p w14:paraId="283CB89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7.95</w:t>
            </w:r>
          </w:p>
        </w:tc>
        <w:tc>
          <w:tcPr>
            <w:tcW w:w="298" w:type="pct"/>
            <w:tcBorders>
              <w:tl2br w:val="nil"/>
              <w:tr2bl w:val="nil"/>
            </w:tcBorders>
            <w:noWrap w:val="0"/>
            <w:vAlign w:val="center"/>
          </w:tcPr>
          <w:p w14:paraId="272F1A6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261150B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7D60D6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0.09</w:t>
            </w:r>
          </w:p>
        </w:tc>
        <w:tc>
          <w:tcPr>
            <w:tcW w:w="288" w:type="pct"/>
            <w:tcBorders>
              <w:tl2br w:val="nil"/>
              <w:tr2bl w:val="nil"/>
            </w:tcBorders>
            <w:noWrap w:val="0"/>
            <w:vAlign w:val="center"/>
          </w:tcPr>
          <w:p w14:paraId="3B9ED64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0.06</w:t>
            </w:r>
          </w:p>
        </w:tc>
        <w:tc>
          <w:tcPr>
            <w:tcW w:w="366" w:type="pct"/>
            <w:tcBorders>
              <w:tl2br w:val="nil"/>
              <w:tr2bl w:val="nil"/>
            </w:tcBorders>
            <w:noWrap w:val="0"/>
            <w:vAlign w:val="center"/>
          </w:tcPr>
          <w:p w14:paraId="074306F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0.787</w:t>
            </w:r>
          </w:p>
        </w:tc>
        <w:tc>
          <w:tcPr>
            <w:tcW w:w="310" w:type="pct"/>
            <w:tcBorders>
              <w:tl2br w:val="nil"/>
              <w:tr2bl w:val="nil"/>
            </w:tcBorders>
            <w:noWrap w:val="0"/>
            <w:vAlign w:val="center"/>
          </w:tcPr>
          <w:p w14:paraId="1CD5430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5227CA9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3D9817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100AAD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212E56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3676BF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05F853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万古村1号废渣1-5</w:t>
            </w:r>
          </w:p>
        </w:tc>
        <w:tc>
          <w:tcPr>
            <w:tcW w:w="416" w:type="pct"/>
            <w:tcBorders>
              <w:tl2br w:val="nil"/>
              <w:tr2bl w:val="nil"/>
            </w:tcBorders>
            <w:noWrap w:val="0"/>
            <w:vAlign w:val="center"/>
          </w:tcPr>
          <w:p w14:paraId="03FCB0C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06.28</w:t>
            </w:r>
          </w:p>
        </w:tc>
        <w:tc>
          <w:tcPr>
            <w:tcW w:w="469" w:type="pct"/>
            <w:tcBorders>
              <w:tl2br w:val="nil"/>
              <w:tr2bl w:val="nil"/>
            </w:tcBorders>
            <w:noWrap w:val="0"/>
            <w:vAlign w:val="center"/>
          </w:tcPr>
          <w:p w14:paraId="726C4D0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67" w:type="pct"/>
            <w:tcBorders>
              <w:tl2br w:val="nil"/>
              <w:tr2bl w:val="nil"/>
            </w:tcBorders>
            <w:noWrap w:val="0"/>
            <w:vAlign w:val="center"/>
          </w:tcPr>
          <w:p w14:paraId="424FF67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8.02</w:t>
            </w:r>
          </w:p>
        </w:tc>
        <w:tc>
          <w:tcPr>
            <w:tcW w:w="298" w:type="pct"/>
            <w:tcBorders>
              <w:tl2br w:val="nil"/>
              <w:tr2bl w:val="nil"/>
            </w:tcBorders>
            <w:noWrap w:val="0"/>
            <w:vAlign w:val="center"/>
          </w:tcPr>
          <w:p w14:paraId="47EB322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1B14CB6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48B53B5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7BC9AB4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66" w:type="pct"/>
            <w:tcBorders>
              <w:tl2br w:val="nil"/>
              <w:tr2bl w:val="nil"/>
            </w:tcBorders>
            <w:noWrap w:val="0"/>
            <w:vAlign w:val="center"/>
          </w:tcPr>
          <w:p w14:paraId="290766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0.766</w:t>
            </w:r>
          </w:p>
        </w:tc>
        <w:tc>
          <w:tcPr>
            <w:tcW w:w="310" w:type="pct"/>
            <w:tcBorders>
              <w:tl2br w:val="nil"/>
              <w:tr2bl w:val="nil"/>
            </w:tcBorders>
            <w:noWrap w:val="0"/>
            <w:vAlign w:val="center"/>
          </w:tcPr>
          <w:p w14:paraId="4852B7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465F217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7F96BAA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0.00002</w:t>
            </w:r>
          </w:p>
        </w:tc>
        <w:tc>
          <w:tcPr>
            <w:tcW w:w="259" w:type="pct"/>
            <w:tcBorders>
              <w:tl2br w:val="nil"/>
              <w:tr2bl w:val="nil"/>
            </w:tcBorders>
            <w:noWrap w:val="0"/>
            <w:vAlign w:val="center"/>
          </w:tcPr>
          <w:p w14:paraId="3F08A2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187B9F1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C9798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B518A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万古村2号废渣2-2</w:t>
            </w:r>
          </w:p>
        </w:tc>
        <w:tc>
          <w:tcPr>
            <w:tcW w:w="416" w:type="pct"/>
            <w:tcBorders>
              <w:tl2br w:val="nil"/>
              <w:tr2bl w:val="nil"/>
            </w:tcBorders>
            <w:noWrap w:val="0"/>
            <w:vAlign w:val="center"/>
          </w:tcPr>
          <w:p w14:paraId="46C9985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469" w:type="pct"/>
            <w:tcBorders>
              <w:tl2br w:val="nil"/>
              <w:tr2bl w:val="nil"/>
            </w:tcBorders>
            <w:noWrap w:val="0"/>
            <w:vAlign w:val="center"/>
          </w:tcPr>
          <w:p w14:paraId="2B12231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67" w:type="pct"/>
            <w:tcBorders>
              <w:tl2br w:val="nil"/>
              <w:tr2bl w:val="nil"/>
            </w:tcBorders>
            <w:noWrap w:val="0"/>
            <w:vAlign w:val="center"/>
          </w:tcPr>
          <w:p w14:paraId="48AFD2F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8.81</w:t>
            </w:r>
          </w:p>
        </w:tc>
        <w:tc>
          <w:tcPr>
            <w:tcW w:w="298" w:type="pct"/>
            <w:tcBorders>
              <w:tl2br w:val="nil"/>
              <w:tr2bl w:val="nil"/>
            </w:tcBorders>
            <w:noWrap w:val="0"/>
            <w:vAlign w:val="center"/>
          </w:tcPr>
          <w:p w14:paraId="46208FB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6C683E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500978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0ACD9C8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0.07</w:t>
            </w:r>
          </w:p>
        </w:tc>
        <w:tc>
          <w:tcPr>
            <w:tcW w:w="366" w:type="pct"/>
            <w:tcBorders>
              <w:tl2br w:val="nil"/>
              <w:tr2bl w:val="nil"/>
            </w:tcBorders>
            <w:noWrap w:val="0"/>
            <w:vAlign w:val="center"/>
          </w:tcPr>
          <w:p w14:paraId="109BC9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0.645</w:t>
            </w:r>
          </w:p>
        </w:tc>
        <w:tc>
          <w:tcPr>
            <w:tcW w:w="310" w:type="pct"/>
            <w:tcBorders>
              <w:tl2br w:val="nil"/>
              <w:tr2bl w:val="nil"/>
            </w:tcBorders>
            <w:noWrap w:val="0"/>
            <w:vAlign w:val="center"/>
          </w:tcPr>
          <w:p w14:paraId="52BA456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3DB8FA3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40226F6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4419A18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106516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22648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464747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万古村2号废渣2-3</w:t>
            </w:r>
          </w:p>
        </w:tc>
        <w:tc>
          <w:tcPr>
            <w:tcW w:w="416" w:type="pct"/>
            <w:tcBorders>
              <w:tl2br w:val="nil"/>
              <w:tr2bl w:val="nil"/>
            </w:tcBorders>
            <w:noWrap w:val="0"/>
            <w:vAlign w:val="center"/>
          </w:tcPr>
          <w:p w14:paraId="5AEE1CF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469" w:type="pct"/>
            <w:tcBorders>
              <w:tl2br w:val="nil"/>
              <w:tr2bl w:val="nil"/>
            </w:tcBorders>
            <w:noWrap w:val="0"/>
            <w:vAlign w:val="center"/>
          </w:tcPr>
          <w:p w14:paraId="7E0AA2F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灰黑色、固态</w:t>
            </w:r>
          </w:p>
        </w:tc>
        <w:tc>
          <w:tcPr>
            <w:tcW w:w="267" w:type="pct"/>
            <w:tcBorders>
              <w:tl2br w:val="nil"/>
              <w:tr2bl w:val="nil"/>
            </w:tcBorders>
            <w:noWrap w:val="0"/>
            <w:vAlign w:val="center"/>
          </w:tcPr>
          <w:p w14:paraId="2E91A3A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7.52</w:t>
            </w:r>
          </w:p>
        </w:tc>
        <w:tc>
          <w:tcPr>
            <w:tcW w:w="298" w:type="pct"/>
            <w:tcBorders>
              <w:tl2br w:val="nil"/>
              <w:tr2bl w:val="nil"/>
            </w:tcBorders>
            <w:noWrap w:val="0"/>
            <w:vAlign w:val="center"/>
          </w:tcPr>
          <w:p w14:paraId="07825A6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3FCCAAB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49171C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185AE59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0.18</w:t>
            </w:r>
          </w:p>
        </w:tc>
        <w:tc>
          <w:tcPr>
            <w:tcW w:w="366" w:type="pct"/>
            <w:tcBorders>
              <w:tl2br w:val="nil"/>
              <w:tr2bl w:val="nil"/>
            </w:tcBorders>
            <w:noWrap w:val="0"/>
            <w:vAlign w:val="center"/>
          </w:tcPr>
          <w:p w14:paraId="79277E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1.56</w:t>
            </w:r>
          </w:p>
        </w:tc>
        <w:tc>
          <w:tcPr>
            <w:tcW w:w="310" w:type="pct"/>
            <w:tcBorders>
              <w:tl2br w:val="nil"/>
              <w:tr2bl w:val="nil"/>
            </w:tcBorders>
            <w:noWrap w:val="0"/>
            <w:vAlign w:val="center"/>
          </w:tcPr>
          <w:p w14:paraId="7DBD378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199AB3D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728828E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7A40E39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3461C73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54BC2E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588E523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万古村2号废渣2-4</w:t>
            </w:r>
          </w:p>
        </w:tc>
        <w:tc>
          <w:tcPr>
            <w:tcW w:w="416" w:type="pct"/>
            <w:tcBorders>
              <w:tl2br w:val="nil"/>
              <w:tr2bl w:val="nil"/>
            </w:tcBorders>
            <w:noWrap w:val="0"/>
            <w:vAlign w:val="center"/>
          </w:tcPr>
          <w:p w14:paraId="221AB26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469" w:type="pct"/>
            <w:tcBorders>
              <w:tl2br w:val="nil"/>
              <w:tr2bl w:val="nil"/>
            </w:tcBorders>
            <w:noWrap w:val="0"/>
            <w:vAlign w:val="center"/>
          </w:tcPr>
          <w:p w14:paraId="4B4B700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灰黑色、固态</w:t>
            </w:r>
          </w:p>
        </w:tc>
        <w:tc>
          <w:tcPr>
            <w:tcW w:w="267" w:type="pct"/>
            <w:tcBorders>
              <w:tl2br w:val="nil"/>
              <w:tr2bl w:val="nil"/>
            </w:tcBorders>
            <w:noWrap w:val="0"/>
            <w:vAlign w:val="center"/>
          </w:tcPr>
          <w:p w14:paraId="77FBDD3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6.78</w:t>
            </w:r>
          </w:p>
        </w:tc>
        <w:tc>
          <w:tcPr>
            <w:tcW w:w="298" w:type="pct"/>
            <w:tcBorders>
              <w:tl2br w:val="nil"/>
              <w:tr2bl w:val="nil"/>
            </w:tcBorders>
            <w:noWrap w:val="0"/>
            <w:vAlign w:val="center"/>
          </w:tcPr>
          <w:p w14:paraId="3101F58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686741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355AAE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78FA3FC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0.24</w:t>
            </w:r>
          </w:p>
        </w:tc>
        <w:tc>
          <w:tcPr>
            <w:tcW w:w="366" w:type="pct"/>
            <w:tcBorders>
              <w:tl2br w:val="nil"/>
              <w:tr2bl w:val="nil"/>
            </w:tcBorders>
            <w:noWrap w:val="0"/>
            <w:vAlign w:val="center"/>
          </w:tcPr>
          <w:p w14:paraId="2E4D01C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1.84</w:t>
            </w:r>
          </w:p>
        </w:tc>
        <w:tc>
          <w:tcPr>
            <w:tcW w:w="310" w:type="pct"/>
            <w:tcBorders>
              <w:tl2br w:val="nil"/>
              <w:tr2bl w:val="nil"/>
            </w:tcBorders>
            <w:noWrap w:val="0"/>
            <w:vAlign w:val="center"/>
          </w:tcPr>
          <w:p w14:paraId="000A97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2D3B527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1DA91A3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1E5606F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56AC134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638DE3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5A037FC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万古村2号废渣2-5</w:t>
            </w:r>
          </w:p>
        </w:tc>
        <w:tc>
          <w:tcPr>
            <w:tcW w:w="416" w:type="pct"/>
            <w:tcBorders>
              <w:tl2br w:val="nil"/>
              <w:tr2bl w:val="nil"/>
            </w:tcBorders>
            <w:noWrap w:val="0"/>
            <w:vAlign w:val="center"/>
          </w:tcPr>
          <w:p w14:paraId="05B3858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469" w:type="pct"/>
            <w:tcBorders>
              <w:tl2br w:val="nil"/>
              <w:tr2bl w:val="nil"/>
            </w:tcBorders>
            <w:noWrap w:val="0"/>
            <w:vAlign w:val="center"/>
          </w:tcPr>
          <w:p w14:paraId="1789359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67" w:type="pct"/>
            <w:tcBorders>
              <w:tl2br w:val="nil"/>
              <w:tr2bl w:val="nil"/>
            </w:tcBorders>
            <w:noWrap w:val="0"/>
            <w:vAlign w:val="center"/>
          </w:tcPr>
          <w:p w14:paraId="6BE7DC0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8.18</w:t>
            </w:r>
          </w:p>
        </w:tc>
        <w:tc>
          <w:tcPr>
            <w:tcW w:w="298" w:type="pct"/>
            <w:tcBorders>
              <w:tl2br w:val="nil"/>
              <w:tr2bl w:val="nil"/>
            </w:tcBorders>
            <w:noWrap w:val="0"/>
            <w:vAlign w:val="center"/>
          </w:tcPr>
          <w:p w14:paraId="4370220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158194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7F05040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2EADBF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0.19</w:t>
            </w:r>
          </w:p>
        </w:tc>
        <w:tc>
          <w:tcPr>
            <w:tcW w:w="366" w:type="pct"/>
            <w:tcBorders>
              <w:tl2br w:val="nil"/>
              <w:tr2bl w:val="nil"/>
            </w:tcBorders>
            <w:noWrap w:val="0"/>
            <w:vAlign w:val="center"/>
          </w:tcPr>
          <w:p w14:paraId="180A8C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0.581</w:t>
            </w:r>
          </w:p>
        </w:tc>
        <w:tc>
          <w:tcPr>
            <w:tcW w:w="310" w:type="pct"/>
            <w:tcBorders>
              <w:tl2br w:val="nil"/>
              <w:tr2bl w:val="nil"/>
            </w:tcBorders>
            <w:noWrap w:val="0"/>
            <w:vAlign w:val="center"/>
          </w:tcPr>
          <w:p w14:paraId="2316839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03EA426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57D3C97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4EB8568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3B4156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34736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4E4B4AC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万古村2号废渣2-6</w:t>
            </w:r>
          </w:p>
        </w:tc>
        <w:tc>
          <w:tcPr>
            <w:tcW w:w="416" w:type="pct"/>
            <w:tcBorders>
              <w:tl2br w:val="nil"/>
              <w:tr2bl w:val="nil"/>
            </w:tcBorders>
            <w:noWrap w:val="0"/>
            <w:vAlign w:val="center"/>
          </w:tcPr>
          <w:p w14:paraId="7D32DDB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06.29</w:t>
            </w:r>
          </w:p>
        </w:tc>
        <w:tc>
          <w:tcPr>
            <w:tcW w:w="469" w:type="pct"/>
            <w:tcBorders>
              <w:tl2br w:val="nil"/>
              <w:tr2bl w:val="nil"/>
            </w:tcBorders>
            <w:noWrap w:val="0"/>
            <w:vAlign w:val="center"/>
          </w:tcPr>
          <w:p w14:paraId="4678CDA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灰色、固态</w:t>
            </w:r>
          </w:p>
        </w:tc>
        <w:tc>
          <w:tcPr>
            <w:tcW w:w="267" w:type="pct"/>
            <w:tcBorders>
              <w:tl2br w:val="nil"/>
              <w:tr2bl w:val="nil"/>
            </w:tcBorders>
            <w:noWrap w:val="0"/>
            <w:vAlign w:val="center"/>
          </w:tcPr>
          <w:p w14:paraId="3B967AF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7.14</w:t>
            </w:r>
          </w:p>
        </w:tc>
        <w:tc>
          <w:tcPr>
            <w:tcW w:w="298" w:type="pct"/>
            <w:tcBorders>
              <w:tl2br w:val="nil"/>
              <w:tr2bl w:val="nil"/>
            </w:tcBorders>
            <w:noWrap w:val="0"/>
            <w:vAlign w:val="center"/>
          </w:tcPr>
          <w:p w14:paraId="38D526A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7770CA7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1887D3C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3DF9BC0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0.07</w:t>
            </w:r>
          </w:p>
        </w:tc>
        <w:tc>
          <w:tcPr>
            <w:tcW w:w="366" w:type="pct"/>
            <w:tcBorders>
              <w:tl2br w:val="nil"/>
              <w:tr2bl w:val="nil"/>
            </w:tcBorders>
            <w:noWrap w:val="0"/>
            <w:vAlign w:val="center"/>
          </w:tcPr>
          <w:p w14:paraId="2031C7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0.943</w:t>
            </w:r>
          </w:p>
        </w:tc>
        <w:tc>
          <w:tcPr>
            <w:tcW w:w="310" w:type="pct"/>
            <w:tcBorders>
              <w:tl2br w:val="nil"/>
              <w:tr2bl w:val="nil"/>
            </w:tcBorders>
            <w:noWrap w:val="0"/>
            <w:vAlign w:val="center"/>
          </w:tcPr>
          <w:p w14:paraId="229C53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0D26E9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101ED85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21992F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408B2EE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157CE7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2180FC1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万古村2号废渣2-7</w:t>
            </w:r>
          </w:p>
        </w:tc>
        <w:tc>
          <w:tcPr>
            <w:tcW w:w="416" w:type="pct"/>
            <w:tcBorders>
              <w:tl2br w:val="nil"/>
              <w:tr2bl w:val="nil"/>
            </w:tcBorders>
            <w:noWrap w:val="0"/>
            <w:vAlign w:val="center"/>
          </w:tcPr>
          <w:p w14:paraId="15620D7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w:t>
            </w:r>
            <w:r>
              <w:rPr>
                <w:rFonts w:hint="eastAsia" w:ascii="Times New Roman" w:hAnsi="Times New Roman" w:eastAsia="宋体" w:cs="Times New Roman"/>
                <w:snapToGrid w:val="0"/>
                <w:color w:val="000000"/>
                <w:spacing w:val="0"/>
                <w:kern w:val="0"/>
                <w:sz w:val="21"/>
                <w:szCs w:val="21"/>
                <w:lang w:val="en-US" w:eastAsia="zh-CN" w:bidi="ar-SA"/>
              </w:rPr>
              <w:t>.</w:t>
            </w:r>
            <w:r>
              <w:rPr>
                <w:rFonts w:hint="default" w:ascii="Times New Roman" w:hAnsi="Times New Roman" w:eastAsia="宋体" w:cs="Times New Roman"/>
                <w:snapToGrid w:val="0"/>
                <w:color w:val="000000"/>
                <w:spacing w:val="0"/>
                <w:kern w:val="0"/>
                <w:sz w:val="21"/>
                <w:szCs w:val="21"/>
                <w:lang w:val="en-US" w:eastAsia="en-US" w:bidi="ar-SA"/>
              </w:rPr>
              <w:t>06.29</w:t>
            </w:r>
          </w:p>
        </w:tc>
        <w:tc>
          <w:tcPr>
            <w:tcW w:w="469" w:type="pct"/>
            <w:tcBorders>
              <w:tl2br w:val="nil"/>
              <w:tr2bl w:val="nil"/>
            </w:tcBorders>
            <w:noWrap w:val="0"/>
            <w:vAlign w:val="center"/>
          </w:tcPr>
          <w:p w14:paraId="40FB14B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67" w:type="pct"/>
            <w:tcBorders>
              <w:tl2br w:val="nil"/>
              <w:tr2bl w:val="nil"/>
            </w:tcBorders>
            <w:noWrap w:val="0"/>
            <w:vAlign w:val="center"/>
          </w:tcPr>
          <w:p w14:paraId="14C31FD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6.58</w:t>
            </w:r>
          </w:p>
        </w:tc>
        <w:tc>
          <w:tcPr>
            <w:tcW w:w="298" w:type="pct"/>
            <w:tcBorders>
              <w:tl2br w:val="nil"/>
              <w:tr2bl w:val="nil"/>
            </w:tcBorders>
            <w:noWrap w:val="0"/>
            <w:vAlign w:val="center"/>
          </w:tcPr>
          <w:p w14:paraId="16EBE6C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6FFE737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208402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1E08829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0.23</w:t>
            </w:r>
          </w:p>
        </w:tc>
        <w:tc>
          <w:tcPr>
            <w:tcW w:w="366" w:type="pct"/>
            <w:tcBorders>
              <w:tl2br w:val="nil"/>
              <w:tr2bl w:val="nil"/>
            </w:tcBorders>
            <w:noWrap w:val="0"/>
            <w:vAlign w:val="center"/>
          </w:tcPr>
          <w:p w14:paraId="7FDDCA8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0.655</w:t>
            </w:r>
          </w:p>
        </w:tc>
        <w:tc>
          <w:tcPr>
            <w:tcW w:w="310" w:type="pct"/>
            <w:tcBorders>
              <w:tl2br w:val="nil"/>
              <w:tr2bl w:val="nil"/>
            </w:tcBorders>
            <w:noWrap w:val="0"/>
            <w:vAlign w:val="center"/>
          </w:tcPr>
          <w:p w14:paraId="3EE253F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458488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112CD3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142EC45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45B3EAA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7BAAA9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0FE16AB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万古村2号废渣2-8</w:t>
            </w:r>
          </w:p>
        </w:tc>
        <w:tc>
          <w:tcPr>
            <w:tcW w:w="416" w:type="pct"/>
            <w:tcBorders>
              <w:tl2br w:val="nil"/>
              <w:tr2bl w:val="nil"/>
            </w:tcBorders>
            <w:noWrap w:val="0"/>
            <w:vAlign w:val="center"/>
          </w:tcPr>
          <w:p w14:paraId="5326FBB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2022.06.29</w:t>
            </w:r>
          </w:p>
        </w:tc>
        <w:tc>
          <w:tcPr>
            <w:tcW w:w="469" w:type="pct"/>
            <w:tcBorders>
              <w:tl2br w:val="nil"/>
              <w:tr2bl w:val="nil"/>
            </w:tcBorders>
            <w:noWrap w:val="0"/>
            <w:vAlign w:val="center"/>
          </w:tcPr>
          <w:p w14:paraId="5AB89AB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黄棕色、固态</w:t>
            </w:r>
          </w:p>
        </w:tc>
        <w:tc>
          <w:tcPr>
            <w:tcW w:w="267" w:type="pct"/>
            <w:tcBorders>
              <w:tl2br w:val="nil"/>
              <w:tr2bl w:val="nil"/>
            </w:tcBorders>
            <w:noWrap w:val="0"/>
            <w:vAlign w:val="center"/>
          </w:tcPr>
          <w:p w14:paraId="0A6B045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8.20</w:t>
            </w:r>
          </w:p>
        </w:tc>
        <w:tc>
          <w:tcPr>
            <w:tcW w:w="298" w:type="pct"/>
            <w:tcBorders>
              <w:tl2br w:val="nil"/>
              <w:tr2bl w:val="nil"/>
            </w:tcBorders>
            <w:noWrap w:val="0"/>
            <w:vAlign w:val="center"/>
          </w:tcPr>
          <w:p w14:paraId="5DDCDEE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77" w:type="pct"/>
            <w:tcBorders>
              <w:tl2br w:val="nil"/>
              <w:tr2bl w:val="nil"/>
            </w:tcBorders>
            <w:noWrap w:val="0"/>
            <w:vAlign w:val="center"/>
          </w:tcPr>
          <w:p w14:paraId="78DD3A6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97" w:type="pct"/>
            <w:tcBorders>
              <w:tl2br w:val="nil"/>
              <w:tr2bl w:val="nil"/>
            </w:tcBorders>
            <w:noWrap w:val="0"/>
            <w:vAlign w:val="center"/>
          </w:tcPr>
          <w:p w14:paraId="76DF07A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88" w:type="pct"/>
            <w:tcBorders>
              <w:tl2br w:val="nil"/>
              <w:tr2bl w:val="nil"/>
            </w:tcBorders>
            <w:noWrap w:val="0"/>
            <w:vAlign w:val="center"/>
          </w:tcPr>
          <w:p w14:paraId="733B67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66" w:type="pct"/>
            <w:tcBorders>
              <w:tl2br w:val="nil"/>
              <w:tr2bl w:val="nil"/>
            </w:tcBorders>
            <w:noWrap w:val="0"/>
            <w:vAlign w:val="center"/>
          </w:tcPr>
          <w:p w14:paraId="2AA39D8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0.821</w:t>
            </w:r>
          </w:p>
        </w:tc>
        <w:tc>
          <w:tcPr>
            <w:tcW w:w="310" w:type="pct"/>
            <w:tcBorders>
              <w:tl2br w:val="nil"/>
              <w:tr2bl w:val="nil"/>
            </w:tcBorders>
            <w:noWrap w:val="0"/>
            <w:vAlign w:val="center"/>
          </w:tcPr>
          <w:p w14:paraId="6F85A64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03" w:type="pct"/>
            <w:tcBorders>
              <w:tl2br w:val="nil"/>
              <w:tr2bl w:val="nil"/>
            </w:tcBorders>
            <w:noWrap w:val="0"/>
            <w:vAlign w:val="center"/>
          </w:tcPr>
          <w:p w14:paraId="180862E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310" w:type="pct"/>
            <w:tcBorders>
              <w:tl2br w:val="nil"/>
              <w:tr2bl w:val="nil"/>
            </w:tcBorders>
            <w:noWrap w:val="0"/>
            <w:vAlign w:val="center"/>
          </w:tcPr>
          <w:p w14:paraId="4373D2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259" w:type="pct"/>
            <w:tcBorders>
              <w:tl2br w:val="nil"/>
              <w:tr2bl w:val="nil"/>
            </w:tcBorders>
            <w:noWrap w:val="0"/>
            <w:vAlign w:val="center"/>
          </w:tcPr>
          <w:p w14:paraId="4541244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c>
          <w:tcPr>
            <w:tcW w:w="460" w:type="pct"/>
            <w:tcBorders>
              <w:tl2br w:val="nil"/>
              <w:tr2bl w:val="nil"/>
            </w:tcBorders>
            <w:noWrap w:val="0"/>
            <w:vAlign w:val="center"/>
          </w:tcPr>
          <w:p w14:paraId="7B4C67D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ND</w:t>
            </w:r>
          </w:p>
        </w:tc>
      </w:tr>
      <w:tr w14:paraId="65DEED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1A8907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废渣2-9</w:t>
            </w:r>
          </w:p>
        </w:tc>
        <w:tc>
          <w:tcPr>
            <w:tcW w:w="416" w:type="pct"/>
            <w:tcBorders>
              <w:tl2br w:val="nil"/>
              <w:tr2bl w:val="nil"/>
            </w:tcBorders>
            <w:noWrap w:val="0"/>
            <w:vAlign w:val="center"/>
          </w:tcPr>
          <w:p w14:paraId="0D26682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2022.06.29</w:t>
            </w:r>
          </w:p>
        </w:tc>
        <w:tc>
          <w:tcPr>
            <w:tcW w:w="469" w:type="pct"/>
            <w:tcBorders>
              <w:tl2br w:val="nil"/>
              <w:tr2bl w:val="nil"/>
            </w:tcBorders>
            <w:noWrap w:val="0"/>
            <w:vAlign w:val="center"/>
          </w:tcPr>
          <w:p w14:paraId="08B1B1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4C5C96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8.52</w:t>
            </w:r>
          </w:p>
        </w:tc>
        <w:tc>
          <w:tcPr>
            <w:tcW w:w="298" w:type="pct"/>
            <w:tcBorders>
              <w:tl2br w:val="nil"/>
              <w:tr2bl w:val="nil"/>
            </w:tcBorders>
            <w:noWrap w:val="0"/>
            <w:vAlign w:val="center"/>
          </w:tcPr>
          <w:p w14:paraId="6EA7C0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4B50D3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6081F2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26AF75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6A50F6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0.698</w:t>
            </w:r>
          </w:p>
        </w:tc>
        <w:tc>
          <w:tcPr>
            <w:tcW w:w="310" w:type="pct"/>
            <w:tcBorders>
              <w:tl2br w:val="nil"/>
              <w:tr2bl w:val="nil"/>
            </w:tcBorders>
            <w:noWrap w:val="0"/>
            <w:vAlign w:val="center"/>
          </w:tcPr>
          <w:p w14:paraId="15EF91E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48D194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4264BC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3B3168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23EEAA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63E4F8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FAD9A2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废渣2-10</w:t>
            </w:r>
          </w:p>
        </w:tc>
        <w:tc>
          <w:tcPr>
            <w:tcW w:w="416" w:type="pct"/>
            <w:tcBorders>
              <w:tl2br w:val="nil"/>
              <w:tr2bl w:val="nil"/>
            </w:tcBorders>
            <w:noWrap w:val="0"/>
            <w:vAlign w:val="center"/>
          </w:tcPr>
          <w:p w14:paraId="0FB23D8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2022.06.29</w:t>
            </w:r>
          </w:p>
        </w:tc>
        <w:tc>
          <w:tcPr>
            <w:tcW w:w="469" w:type="pct"/>
            <w:tcBorders>
              <w:tl2br w:val="nil"/>
              <w:tr2bl w:val="nil"/>
            </w:tcBorders>
            <w:noWrap w:val="0"/>
            <w:vAlign w:val="center"/>
          </w:tcPr>
          <w:p w14:paraId="7FFA5B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0A6C1D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8.27</w:t>
            </w:r>
          </w:p>
        </w:tc>
        <w:tc>
          <w:tcPr>
            <w:tcW w:w="298" w:type="pct"/>
            <w:tcBorders>
              <w:tl2br w:val="nil"/>
              <w:tr2bl w:val="nil"/>
            </w:tcBorders>
            <w:noWrap w:val="0"/>
            <w:vAlign w:val="center"/>
          </w:tcPr>
          <w:p w14:paraId="401658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05A84E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0F2199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56876E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68E231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0.116</w:t>
            </w:r>
          </w:p>
        </w:tc>
        <w:tc>
          <w:tcPr>
            <w:tcW w:w="310" w:type="pct"/>
            <w:tcBorders>
              <w:tl2br w:val="nil"/>
              <w:tr2bl w:val="nil"/>
            </w:tcBorders>
            <w:noWrap w:val="0"/>
            <w:vAlign w:val="center"/>
          </w:tcPr>
          <w:p w14:paraId="384475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0D157B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7F4881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3ADBC7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385DD9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5F9989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410B7E8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废渣2-12</w:t>
            </w:r>
          </w:p>
        </w:tc>
        <w:tc>
          <w:tcPr>
            <w:tcW w:w="416" w:type="pct"/>
            <w:tcBorders>
              <w:tl2br w:val="nil"/>
              <w:tr2bl w:val="nil"/>
            </w:tcBorders>
            <w:noWrap w:val="0"/>
            <w:vAlign w:val="center"/>
          </w:tcPr>
          <w:p w14:paraId="128EA6F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2022.06.29</w:t>
            </w:r>
          </w:p>
        </w:tc>
        <w:tc>
          <w:tcPr>
            <w:tcW w:w="469" w:type="pct"/>
            <w:tcBorders>
              <w:tl2br w:val="nil"/>
              <w:tr2bl w:val="nil"/>
            </w:tcBorders>
            <w:noWrap w:val="0"/>
            <w:vAlign w:val="center"/>
          </w:tcPr>
          <w:p w14:paraId="595E53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黄棕色、</w:t>
            </w:r>
            <w:r>
              <w:rPr>
                <w:rFonts w:hint="default" w:ascii="Times New Roman" w:hAnsi="Times New Roman" w:eastAsia="宋体" w:cs="Times New Roman"/>
                <w:snapToGrid w:val="0"/>
                <w:color w:val="000000"/>
                <w:spacing w:val="-5"/>
                <w:kern w:val="0"/>
                <w:sz w:val="21"/>
                <w:szCs w:val="21"/>
                <w:lang w:val="en-US" w:eastAsia="en-US" w:bidi="ar-SA"/>
              </w:rPr>
              <w:t>固态</w:t>
            </w:r>
          </w:p>
        </w:tc>
        <w:tc>
          <w:tcPr>
            <w:tcW w:w="267" w:type="pct"/>
            <w:tcBorders>
              <w:tl2br w:val="nil"/>
              <w:tr2bl w:val="nil"/>
            </w:tcBorders>
            <w:noWrap w:val="0"/>
            <w:vAlign w:val="center"/>
          </w:tcPr>
          <w:p w14:paraId="367406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7.60</w:t>
            </w:r>
          </w:p>
        </w:tc>
        <w:tc>
          <w:tcPr>
            <w:tcW w:w="298" w:type="pct"/>
            <w:tcBorders>
              <w:tl2br w:val="nil"/>
              <w:tr2bl w:val="nil"/>
            </w:tcBorders>
            <w:noWrap w:val="0"/>
            <w:vAlign w:val="center"/>
          </w:tcPr>
          <w:p w14:paraId="083B7B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48E6E5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5F9DEF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3E9D73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742AB4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0.638</w:t>
            </w:r>
          </w:p>
        </w:tc>
        <w:tc>
          <w:tcPr>
            <w:tcW w:w="310" w:type="pct"/>
            <w:tcBorders>
              <w:tl2br w:val="nil"/>
              <w:tr2bl w:val="nil"/>
            </w:tcBorders>
            <w:noWrap w:val="0"/>
            <w:vAlign w:val="center"/>
          </w:tcPr>
          <w:p w14:paraId="6D2F8C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01168C3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62588A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6C06CC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48995B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001412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11C39F7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废渣2-13</w:t>
            </w:r>
          </w:p>
        </w:tc>
        <w:tc>
          <w:tcPr>
            <w:tcW w:w="416" w:type="pct"/>
            <w:tcBorders>
              <w:tl2br w:val="nil"/>
              <w:tr2bl w:val="nil"/>
            </w:tcBorders>
            <w:noWrap w:val="0"/>
            <w:vAlign w:val="center"/>
          </w:tcPr>
          <w:p w14:paraId="5B2F45B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202206.29</w:t>
            </w:r>
          </w:p>
        </w:tc>
        <w:tc>
          <w:tcPr>
            <w:tcW w:w="469" w:type="pct"/>
            <w:tcBorders>
              <w:tl2br w:val="nil"/>
              <w:tr2bl w:val="nil"/>
            </w:tcBorders>
            <w:noWrap w:val="0"/>
            <w:vAlign w:val="center"/>
          </w:tcPr>
          <w:p w14:paraId="2E7103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2AE815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7.59</w:t>
            </w:r>
          </w:p>
        </w:tc>
        <w:tc>
          <w:tcPr>
            <w:tcW w:w="298" w:type="pct"/>
            <w:tcBorders>
              <w:tl2br w:val="nil"/>
              <w:tr2bl w:val="nil"/>
            </w:tcBorders>
            <w:noWrap w:val="0"/>
            <w:vAlign w:val="center"/>
          </w:tcPr>
          <w:p w14:paraId="2F19CC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6C7C25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6F59AA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5A83B9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0.11</w:t>
            </w:r>
          </w:p>
        </w:tc>
        <w:tc>
          <w:tcPr>
            <w:tcW w:w="366" w:type="pct"/>
            <w:tcBorders>
              <w:tl2br w:val="nil"/>
              <w:tr2bl w:val="nil"/>
            </w:tcBorders>
            <w:noWrap w:val="0"/>
            <w:vAlign w:val="center"/>
          </w:tcPr>
          <w:p w14:paraId="61720EA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0.641</w:t>
            </w:r>
          </w:p>
        </w:tc>
        <w:tc>
          <w:tcPr>
            <w:tcW w:w="310" w:type="pct"/>
            <w:tcBorders>
              <w:tl2br w:val="nil"/>
              <w:tr2bl w:val="nil"/>
            </w:tcBorders>
            <w:noWrap w:val="0"/>
            <w:vAlign w:val="center"/>
          </w:tcPr>
          <w:p w14:paraId="4EB07F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36F668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0F8B79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346CB6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33CCF0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18F545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2BE9BA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废渣2-14</w:t>
            </w:r>
          </w:p>
        </w:tc>
        <w:tc>
          <w:tcPr>
            <w:tcW w:w="416" w:type="pct"/>
            <w:tcBorders>
              <w:tl2br w:val="nil"/>
              <w:tr2bl w:val="nil"/>
            </w:tcBorders>
            <w:noWrap w:val="0"/>
            <w:vAlign w:val="center"/>
          </w:tcPr>
          <w:p w14:paraId="0115A06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2022.06.28</w:t>
            </w:r>
          </w:p>
        </w:tc>
        <w:tc>
          <w:tcPr>
            <w:tcW w:w="469" w:type="pct"/>
            <w:tcBorders>
              <w:tl2br w:val="nil"/>
              <w:tr2bl w:val="nil"/>
            </w:tcBorders>
            <w:noWrap w:val="0"/>
            <w:vAlign w:val="center"/>
          </w:tcPr>
          <w:p w14:paraId="1358E2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2AFF0CC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7.59</w:t>
            </w:r>
          </w:p>
        </w:tc>
        <w:tc>
          <w:tcPr>
            <w:tcW w:w="298" w:type="pct"/>
            <w:tcBorders>
              <w:tl2br w:val="nil"/>
              <w:tr2bl w:val="nil"/>
            </w:tcBorders>
            <w:noWrap w:val="0"/>
            <w:vAlign w:val="center"/>
          </w:tcPr>
          <w:p w14:paraId="624CED1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2409E0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4A95A5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0.04</w:t>
            </w:r>
          </w:p>
        </w:tc>
        <w:tc>
          <w:tcPr>
            <w:tcW w:w="288" w:type="pct"/>
            <w:tcBorders>
              <w:tl2br w:val="nil"/>
              <w:tr2bl w:val="nil"/>
            </w:tcBorders>
            <w:noWrap w:val="0"/>
            <w:vAlign w:val="center"/>
          </w:tcPr>
          <w:p w14:paraId="23685B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0.10</w:t>
            </w:r>
          </w:p>
        </w:tc>
        <w:tc>
          <w:tcPr>
            <w:tcW w:w="366" w:type="pct"/>
            <w:tcBorders>
              <w:tl2br w:val="nil"/>
              <w:tr2bl w:val="nil"/>
            </w:tcBorders>
            <w:noWrap w:val="0"/>
            <w:vAlign w:val="center"/>
          </w:tcPr>
          <w:p w14:paraId="6C727D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0.812</w:t>
            </w:r>
          </w:p>
        </w:tc>
        <w:tc>
          <w:tcPr>
            <w:tcW w:w="310" w:type="pct"/>
            <w:tcBorders>
              <w:tl2br w:val="nil"/>
              <w:tr2bl w:val="nil"/>
            </w:tcBorders>
            <w:noWrap w:val="0"/>
            <w:vAlign w:val="center"/>
          </w:tcPr>
          <w:p w14:paraId="55169E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441BDB1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09ECF0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325920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146C64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66B95C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5B8703D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废渣2-15</w:t>
            </w:r>
          </w:p>
        </w:tc>
        <w:tc>
          <w:tcPr>
            <w:tcW w:w="416" w:type="pct"/>
            <w:tcBorders>
              <w:tl2br w:val="nil"/>
              <w:tr2bl w:val="nil"/>
            </w:tcBorders>
            <w:noWrap w:val="0"/>
            <w:vAlign w:val="center"/>
          </w:tcPr>
          <w:p w14:paraId="2567428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2022.06.28</w:t>
            </w:r>
          </w:p>
        </w:tc>
        <w:tc>
          <w:tcPr>
            <w:tcW w:w="469" w:type="pct"/>
            <w:tcBorders>
              <w:tl2br w:val="nil"/>
              <w:tr2bl w:val="nil"/>
            </w:tcBorders>
            <w:noWrap w:val="0"/>
            <w:vAlign w:val="center"/>
          </w:tcPr>
          <w:p w14:paraId="3C1586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244353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7.93</w:t>
            </w:r>
          </w:p>
        </w:tc>
        <w:tc>
          <w:tcPr>
            <w:tcW w:w="298" w:type="pct"/>
            <w:tcBorders>
              <w:tl2br w:val="nil"/>
              <w:tr2bl w:val="nil"/>
            </w:tcBorders>
            <w:noWrap w:val="0"/>
            <w:vAlign w:val="center"/>
          </w:tcPr>
          <w:p w14:paraId="50D0EC5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3785D1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4D5512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66D67A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0D6C51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3"/>
                <w:kern w:val="0"/>
                <w:sz w:val="21"/>
                <w:szCs w:val="21"/>
                <w:lang w:val="en-US" w:eastAsia="en-US" w:bidi="ar-SA"/>
              </w:rPr>
              <w:t>1.03</w:t>
            </w:r>
          </w:p>
        </w:tc>
        <w:tc>
          <w:tcPr>
            <w:tcW w:w="310" w:type="pct"/>
            <w:tcBorders>
              <w:tl2br w:val="nil"/>
              <w:tr2bl w:val="nil"/>
            </w:tcBorders>
            <w:noWrap w:val="0"/>
            <w:vAlign w:val="center"/>
          </w:tcPr>
          <w:p w14:paraId="7B6F37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60D796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172B92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22A9D9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72FA9C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59A13A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3A700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废渣2-16</w:t>
            </w:r>
          </w:p>
        </w:tc>
        <w:tc>
          <w:tcPr>
            <w:tcW w:w="416" w:type="pct"/>
            <w:tcBorders>
              <w:tl2br w:val="nil"/>
              <w:tr2bl w:val="nil"/>
            </w:tcBorders>
            <w:noWrap w:val="0"/>
            <w:vAlign w:val="center"/>
          </w:tcPr>
          <w:p w14:paraId="56CBDD9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2022.06.28</w:t>
            </w:r>
          </w:p>
        </w:tc>
        <w:tc>
          <w:tcPr>
            <w:tcW w:w="469" w:type="pct"/>
            <w:tcBorders>
              <w:tl2br w:val="nil"/>
              <w:tr2bl w:val="nil"/>
            </w:tcBorders>
            <w:noWrap w:val="0"/>
            <w:vAlign w:val="center"/>
          </w:tcPr>
          <w:p w14:paraId="062EE1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008E58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7.36</w:t>
            </w:r>
          </w:p>
        </w:tc>
        <w:tc>
          <w:tcPr>
            <w:tcW w:w="298" w:type="pct"/>
            <w:tcBorders>
              <w:tl2br w:val="nil"/>
              <w:tr2bl w:val="nil"/>
            </w:tcBorders>
            <w:noWrap w:val="0"/>
            <w:vAlign w:val="center"/>
          </w:tcPr>
          <w:p w14:paraId="47C72E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25D3CA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180C49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6B8B798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0.15</w:t>
            </w:r>
          </w:p>
        </w:tc>
        <w:tc>
          <w:tcPr>
            <w:tcW w:w="366" w:type="pct"/>
            <w:tcBorders>
              <w:tl2br w:val="nil"/>
              <w:tr2bl w:val="nil"/>
            </w:tcBorders>
            <w:noWrap w:val="0"/>
            <w:vAlign w:val="center"/>
          </w:tcPr>
          <w:p w14:paraId="7B914B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0.608</w:t>
            </w:r>
          </w:p>
        </w:tc>
        <w:tc>
          <w:tcPr>
            <w:tcW w:w="310" w:type="pct"/>
            <w:tcBorders>
              <w:tl2br w:val="nil"/>
              <w:tr2bl w:val="nil"/>
            </w:tcBorders>
            <w:noWrap w:val="0"/>
            <w:vAlign w:val="center"/>
          </w:tcPr>
          <w:p w14:paraId="390430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1C6A28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3BEC3F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13F8E6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3A7234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0248FA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76937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废渣2-17</w:t>
            </w:r>
          </w:p>
        </w:tc>
        <w:tc>
          <w:tcPr>
            <w:tcW w:w="416" w:type="pct"/>
            <w:tcBorders>
              <w:tl2br w:val="nil"/>
              <w:tr2bl w:val="nil"/>
            </w:tcBorders>
            <w:noWrap w:val="0"/>
            <w:vAlign w:val="center"/>
          </w:tcPr>
          <w:p w14:paraId="71135ED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2022.06.28</w:t>
            </w:r>
          </w:p>
        </w:tc>
        <w:tc>
          <w:tcPr>
            <w:tcW w:w="469" w:type="pct"/>
            <w:tcBorders>
              <w:tl2br w:val="nil"/>
              <w:tr2bl w:val="nil"/>
            </w:tcBorders>
            <w:noWrap w:val="0"/>
            <w:vAlign w:val="center"/>
          </w:tcPr>
          <w:p w14:paraId="13DB2A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51E657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7.64</w:t>
            </w:r>
          </w:p>
        </w:tc>
        <w:tc>
          <w:tcPr>
            <w:tcW w:w="298" w:type="pct"/>
            <w:tcBorders>
              <w:tl2br w:val="nil"/>
              <w:tr2bl w:val="nil"/>
            </w:tcBorders>
            <w:noWrap w:val="0"/>
            <w:vAlign w:val="center"/>
          </w:tcPr>
          <w:p w14:paraId="49E916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59148B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0ABBDB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4D0E0A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2C5701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0.815</w:t>
            </w:r>
          </w:p>
        </w:tc>
        <w:tc>
          <w:tcPr>
            <w:tcW w:w="310" w:type="pct"/>
            <w:tcBorders>
              <w:tl2br w:val="nil"/>
              <w:tr2bl w:val="nil"/>
            </w:tcBorders>
            <w:noWrap w:val="0"/>
            <w:vAlign w:val="center"/>
          </w:tcPr>
          <w:p w14:paraId="14872C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5A9F21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0C412D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4AFC208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67AA87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536CDB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1CB436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废渣2-18</w:t>
            </w:r>
          </w:p>
        </w:tc>
        <w:tc>
          <w:tcPr>
            <w:tcW w:w="416" w:type="pct"/>
            <w:tcBorders>
              <w:tl2br w:val="nil"/>
              <w:tr2bl w:val="nil"/>
            </w:tcBorders>
            <w:noWrap w:val="0"/>
            <w:vAlign w:val="center"/>
          </w:tcPr>
          <w:p w14:paraId="50FF03B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2022.06.28</w:t>
            </w:r>
          </w:p>
        </w:tc>
        <w:tc>
          <w:tcPr>
            <w:tcW w:w="469" w:type="pct"/>
            <w:tcBorders>
              <w:tl2br w:val="nil"/>
              <w:tr2bl w:val="nil"/>
            </w:tcBorders>
            <w:noWrap w:val="0"/>
            <w:vAlign w:val="center"/>
          </w:tcPr>
          <w:p w14:paraId="0E69CD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443C6D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8.00</w:t>
            </w:r>
          </w:p>
        </w:tc>
        <w:tc>
          <w:tcPr>
            <w:tcW w:w="298" w:type="pct"/>
            <w:tcBorders>
              <w:tl2br w:val="nil"/>
              <w:tr2bl w:val="nil"/>
            </w:tcBorders>
            <w:noWrap w:val="0"/>
            <w:vAlign w:val="center"/>
          </w:tcPr>
          <w:p w14:paraId="54A17D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0C90C4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321311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2CDD67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2FD77BD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3"/>
                <w:kern w:val="0"/>
                <w:sz w:val="21"/>
                <w:szCs w:val="21"/>
                <w:lang w:val="en-US" w:eastAsia="en-US" w:bidi="ar-SA"/>
              </w:rPr>
              <w:t>1.43</w:t>
            </w:r>
          </w:p>
        </w:tc>
        <w:tc>
          <w:tcPr>
            <w:tcW w:w="310" w:type="pct"/>
            <w:tcBorders>
              <w:tl2br w:val="nil"/>
              <w:tr2bl w:val="nil"/>
            </w:tcBorders>
            <w:noWrap w:val="0"/>
            <w:vAlign w:val="center"/>
          </w:tcPr>
          <w:p w14:paraId="18C3F8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0EB56E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2792439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2E0536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40BAAF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2F3DD3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008EB91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万古村2号</w:t>
            </w:r>
            <w:r>
              <w:rPr>
                <w:rFonts w:hint="default" w:ascii="Times New Roman" w:hAnsi="Times New Roman" w:eastAsia="宋体" w:cs="Times New Roman"/>
                <w:snapToGrid w:val="0"/>
                <w:color w:val="000000"/>
                <w:spacing w:val="-1"/>
                <w:kern w:val="0"/>
                <w:sz w:val="21"/>
                <w:szCs w:val="21"/>
                <w:lang w:val="en-US" w:eastAsia="en-US" w:bidi="ar-SA"/>
              </w:rPr>
              <w:t>废渣2-19</w:t>
            </w:r>
          </w:p>
        </w:tc>
        <w:tc>
          <w:tcPr>
            <w:tcW w:w="416" w:type="pct"/>
            <w:tcBorders>
              <w:tl2br w:val="nil"/>
              <w:tr2bl w:val="nil"/>
            </w:tcBorders>
            <w:noWrap w:val="0"/>
            <w:vAlign w:val="center"/>
          </w:tcPr>
          <w:p w14:paraId="63F07D8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2022.06.28</w:t>
            </w:r>
          </w:p>
        </w:tc>
        <w:tc>
          <w:tcPr>
            <w:tcW w:w="469" w:type="pct"/>
            <w:tcBorders>
              <w:tl2br w:val="nil"/>
              <w:tr2bl w:val="nil"/>
            </w:tcBorders>
            <w:noWrap w:val="0"/>
            <w:vAlign w:val="center"/>
          </w:tcPr>
          <w:p w14:paraId="18E532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19EDDB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8.42</w:t>
            </w:r>
          </w:p>
        </w:tc>
        <w:tc>
          <w:tcPr>
            <w:tcW w:w="298" w:type="pct"/>
            <w:tcBorders>
              <w:tl2br w:val="nil"/>
              <w:tr2bl w:val="nil"/>
            </w:tcBorders>
            <w:noWrap w:val="0"/>
            <w:vAlign w:val="center"/>
          </w:tcPr>
          <w:p w14:paraId="35353E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450A52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367AF7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140794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01BA77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0.448</w:t>
            </w:r>
          </w:p>
        </w:tc>
        <w:tc>
          <w:tcPr>
            <w:tcW w:w="310" w:type="pct"/>
            <w:tcBorders>
              <w:tl2br w:val="nil"/>
              <w:tr2bl w:val="nil"/>
            </w:tcBorders>
            <w:noWrap w:val="0"/>
            <w:vAlign w:val="center"/>
          </w:tcPr>
          <w:p w14:paraId="7BE2E58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681799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626227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25406FD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429778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14DEF5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0ED56D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废渣点3B-1</w:t>
            </w:r>
          </w:p>
        </w:tc>
        <w:tc>
          <w:tcPr>
            <w:tcW w:w="416" w:type="pct"/>
            <w:tcBorders>
              <w:tl2br w:val="nil"/>
              <w:tr2bl w:val="nil"/>
            </w:tcBorders>
            <w:noWrap w:val="0"/>
            <w:vAlign w:val="center"/>
          </w:tcPr>
          <w:p w14:paraId="217D9A7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40A273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黄棕色、</w:t>
            </w:r>
            <w:r>
              <w:rPr>
                <w:rFonts w:hint="default" w:ascii="Times New Roman" w:hAnsi="Times New Roman" w:eastAsia="宋体" w:cs="Times New Roman"/>
                <w:snapToGrid w:val="0"/>
                <w:color w:val="000000"/>
                <w:spacing w:val="-5"/>
                <w:kern w:val="0"/>
                <w:sz w:val="21"/>
                <w:szCs w:val="21"/>
                <w:lang w:val="en-US" w:eastAsia="en-US" w:bidi="ar-SA"/>
              </w:rPr>
              <w:t>固态</w:t>
            </w:r>
          </w:p>
        </w:tc>
        <w:tc>
          <w:tcPr>
            <w:tcW w:w="267" w:type="pct"/>
            <w:tcBorders>
              <w:tl2br w:val="nil"/>
              <w:tr2bl w:val="nil"/>
            </w:tcBorders>
            <w:noWrap w:val="0"/>
            <w:vAlign w:val="center"/>
          </w:tcPr>
          <w:p w14:paraId="61EB79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7.70</w:t>
            </w:r>
          </w:p>
        </w:tc>
        <w:tc>
          <w:tcPr>
            <w:tcW w:w="298" w:type="pct"/>
            <w:tcBorders>
              <w:tl2br w:val="nil"/>
              <w:tr2bl w:val="nil"/>
            </w:tcBorders>
            <w:noWrap w:val="0"/>
            <w:vAlign w:val="center"/>
          </w:tcPr>
          <w:p w14:paraId="5896C7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406BCE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1657B8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0.09</w:t>
            </w:r>
          </w:p>
        </w:tc>
        <w:tc>
          <w:tcPr>
            <w:tcW w:w="288" w:type="pct"/>
            <w:tcBorders>
              <w:tl2br w:val="nil"/>
              <w:tr2bl w:val="nil"/>
            </w:tcBorders>
            <w:noWrap w:val="0"/>
            <w:vAlign w:val="center"/>
          </w:tcPr>
          <w:p w14:paraId="4D273E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0.06</w:t>
            </w:r>
          </w:p>
        </w:tc>
        <w:tc>
          <w:tcPr>
            <w:tcW w:w="366" w:type="pct"/>
            <w:tcBorders>
              <w:tl2br w:val="nil"/>
              <w:tr2bl w:val="nil"/>
            </w:tcBorders>
            <w:noWrap w:val="0"/>
            <w:vAlign w:val="center"/>
          </w:tcPr>
          <w:p w14:paraId="6BB6DE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0.841</w:t>
            </w:r>
          </w:p>
        </w:tc>
        <w:tc>
          <w:tcPr>
            <w:tcW w:w="310" w:type="pct"/>
            <w:tcBorders>
              <w:tl2br w:val="nil"/>
              <w:tr2bl w:val="nil"/>
            </w:tcBorders>
            <w:noWrap w:val="0"/>
            <w:vAlign w:val="center"/>
          </w:tcPr>
          <w:p w14:paraId="0575A3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78DA8C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7663A0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3E59B30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527BC0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606074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3F79066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废渣点3B-2</w:t>
            </w:r>
          </w:p>
        </w:tc>
        <w:tc>
          <w:tcPr>
            <w:tcW w:w="416" w:type="pct"/>
            <w:tcBorders>
              <w:tl2br w:val="nil"/>
              <w:tr2bl w:val="nil"/>
            </w:tcBorders>
            <w:noWrap w:val="0"/>
            <w:vAlign w:val="center"/>
          </w:tcPr>
          <w:p w14:paraId="5D2389C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322C60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127F15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7.60</w:t>
            </w:r>
          </w:p>
        </w:tc>
        <w:tc>
          <w:tcPr>
            <w:tcW w:w="298" w:type="pct"/>
            <w:tcBorders>
              <w:tl2br w:val="nil"/>
              <w:tr2bl w:val="nil"/>
            </w:tcBorders>
            <w:noWrap w:val="0"/>
            <w:vAlign w:val="center"/>
          </w:tcPr>
          <w:p w14:paraId="1B8C0E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45CD4A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5BB2B0A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1BB2D3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0.04</w:t>
            </w:r>
          </w:p>
        </w:tc>
        <w:tc>
          <w:tcPr>
            <w:tcW w:w="366" w:type="pct"/>
            <w:tcBorders>
              <w:tl2br w:val="nil"/>
              <w:tr2bl w:val="nil"/>
            </w:tcBorders>
            <w:noWrap w:val="0"/>
            <w:vAlign w:val="center"/>
          </w:tcPr>
          <w:p w14:paraId="17618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3"/>
                <w:kern w:val="0"/>
                <w:sz w:val="21"/>
                <w:szCs w:val="21"/>
                <w:lang w:val="en-US" w:eastAsia="en-US" w:bidi="ar-SA"/>
              </w:rPr>
              <w:t>1.08</w:t>
            </w:r>
          </w:p>
        </w:tc>
        <w:tc>
          <w:tcPr>
            <w:tcW w:w="310" w:type="pct"/>
            <w:tcBorders>
              <w:tl2br w:val="nil"/>
              <w:tr2bl w:val="nil"/>
            </w:tcBorders>
            <w:noWrap w:val="0"/>
            <w:vAlign w:val="center"/>
          </w:tcPr>
          <w:p w14:paraId="4A7778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5BDAD6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6BCEA36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313AD8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7193D5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48FDBC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131FE8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废渣点3B-3</w:t>
            </w:r>
          </w:p>
        </w:tc>
        <w:tc>
          <w:tcPr>
            <w:tcW w:w="416" w:type="pct"/>
            <w:tcBorders>
              <w:tl2br w:val="nil"/>
              <w:tr2bl w:val="nil"/>
            </w:tcBorders>
            <w:noWrap w:val="0"/>
            <w:vAlign w:val="center"/>
          </w:tcPr>
          <w:p w14:paraId="558DAEB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308388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47DCE73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7.80</w:t>
            </w:r>
          </w:p>
        </w:tc>
        <w:tc>
          <w:tcPr>
            <w:tcW w:w="298" w:type="pct"/>
            <w:tcBorders>
              <w:tl2br w:val="nil"/>
              <w:tr2bl w:val="nil"/>
            </w:tcBorders>
            <w:noWrap w:val="0"/>
            <w:vAlign w:val="center"/>
          </w:tcPr>
          <w:p w14:paraId="522071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10A55C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6AF110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401B42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0.03</w:t>
            </w:r>
          </w:p>
        </w:tc>
        <w:tc>
          <w:tcPr>
            <w:tcW w:w="366" w:type="pct"/>
            <w:tcBorders>
              <w:tl2br w:val="nil"/>
              <w:tr2bl w:val="nil"/>
            </w:tcBorders>
            <w:noWrap w:val="0"/>
            <w:vAlign w:val="center"/>
          </w:tcPr>
          <w:p w14:paraId="527F53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0.973</w:t>
            </w:r>
          </w:p>
        </w:tc>
        <w:tc>
          <w:tcPr>
            <w:tcW w:w="310" w:type="pct"/>
            <w:tcBorders>
              <w:tl2br w:val="nil"/>
              <w:tr2bl w:val="nil"/>
            </w:tcBorders>
            <w:noWrap w:val="0"/>
            <w:vAlign w:val="center"/>
          </w:tcPr>
          <w:p w14:paraId="5478C38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1E772F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657222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4DBC1C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55637E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2E990E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1B8BF0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废渣点3B-4</w:t>
            </w:r>
          </w:p>
        </w:tc>
        <w:tc>
          <w:tcPr>
            <w:tcW w:w="416" w:type="pct"/>
            <w:tcBorders>
              <w:tl2br w:val="nil"/>
              <w:tr2bl w:val="nil"/>
            </w:tcBorders>
            <w:noWrap w:val="0"/>
            <w:vAlign w:val="center"/>
          </w:tcPr>
          <w:p w14:paraId="08B32BE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04A523F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黄棕色、固态</w:t>
            </w:r>
          </w:p>
        </w:tc>
        <w:tc>
          <w:tcPr>
            <w:tcW w:w="267" w:type="pct"/>
            <w:tcBorders>
              <w:tl2br w:val="nil"/>
              <w:tr2bl w:val="nil"/>
            </w:tcBorders>
            <w:noWrap w:val="0"/>
            <w:vAlign w:val="center"/>
          </w:tcPr>
          <w:p w14:paraId="093B0C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6.64</w:t>
            </w:r>
          </w:p>
        </w:tc>
        <w:tc>
          <w:tcPr>
            <w:tcW w:w="298" w:type="pct"/>
            <w:tcBorders>
              <w:tl2br w:val="nil"/>
              <w:tr2bl w:val="nil"/>
            </w:tcBorders>
            <w:noWrap w:val="0"/>
            <w:vAlign w:val="center"/>
          </w:tcPr>
          <w:p w14:paraId="6EDC9A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746453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5A810F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26FD96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0.10</w:t>
            </w:r>
          </w:p>
        </w:tc>
        <w:tc>
          <w:tcPr>
            <w:tcW w:w="366" w:type="pct"/>
            <w:tcBorders>
              <w:tl2br w:val="nil"/>
              <w:tr2bl w:val="nil"/>
            </w:tcBorders>
            <w:noWrap w:val="0"/>
            <w:vAlign w:val="center"/>
          </w:tcPr>
          <w:p w14:paraId="03AC4A0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0.629</w:t>
            </w:r>
          </w:p>
        </w:tc>
        <w:tc>
          <w:tcPr>
            <w:tcW w:w="310" w:type="pct"/>
            <w:tcBorders>
              <w:tl2br w:val="nil"/>
              <w:tr2bl w:val="nil"/>
            </w:tcBorders>
            <w:noWrap w:val="0"/>
            <w:vAlign w:val="center"/>
          </w:tcPr>
          <w:p w14:paraId="126FD2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0DDE06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4F6AA6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3C3E49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695325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0EA80D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74F95D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废渣点3A-1</w:t>
            </w:r>
          </w:p>
        </w:tc>
        <w:tc>
          <w:tcPr>
            <w:tcW w:w="416" w:type="pct"/>
            <w:tcBorders>
              <w:tl2br w:val="nil"/>
              <w:tr2bl w:val="nil"/>
            </w:tcBorders>
            <w:noWrap w:val="0"/>
            <w:vAlign w:val="center"/>
          </w:tcPr>
          <w:p w14:paraId="480E7C5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541A90A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黄棕色、</w:t>
            </w:r>
            <w:r>
              <w:rPr>
                <w:rFonts w:hint="default" w:ascii="Times New Roman" w:hAnsi="Times New Roman" w:eastAsia="宋体" w:cs="Times New Roman"/>
                <w:snapToGrid w:val="0"/>
                <w:color w:val="000000"/>
                <w:spacing w:val="-5"/>
                <w:kern w:val="0"/>
                <w:sz w:val="21"/>
                <w:szCs w:val="21"/>
                <w:lang w:val="en-US" w:eastAsia="en-US" w:bidi="ar-SA"/>
              </w:rPr>
              <w:t>固态</w:t>
            </w:r>
          </w:p>
        </w:tc>
        <w:tc>
          <w:tcPr>
            <w:tcW w:w="267" w:type="pct"/>
            <w:tcBorders>
              <w:tl2br w:val="nil"/>
              <w:tr2bl w:val="nil"/>
            </w:tcBorders>
            <w:noWrap w:val="0"/>
            <w:vAlign w:val="center"/>
          </w:tcPr>
          <w:p w14:paraId="1F3A69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7.46</w:t>
            </w:r>
          </w:p>
        </w:tc>
        <w:tc>
          <w:tcPr>
            <w:tcW w:w="298" w:type="pct"/>
            <w:tcBorders>
              <w:tl2br w:val="nil"/>
              <w:tr2bl w:val="nil"/>
            </w:tcBorders>
            <w:noWrap w:val="0"/>
            <w:vAlign w:val="center"/>
          </w:tcPr>
          <w:p w14:paraId="4A343B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6A17B6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6A8859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6FF509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0.34</w:t>
            </w:r>
          </w:p>
        </w:tc>
        <w:tc>
          <w:tcPr>
            <w:tcW w:w="366" w:type="pct"/>
            <w:tcBorders>
              <w:tl2br w:val="nil"/>
              <w:tr2bl w:val="nil"/>
            </w:tcBorders>
            <w:noWrap w:val="0"/>
            <w:vAlign w:val="center"/>
          </w:tcPr>
          <w:p w14:paraId="0AFB3D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0.739</w:t>
            </w:r>
          </w:p>
        </w:tc>
        <w:tc>
          <w:tcPr>
            <w:tcW w:w="310" w:type="pct"/>
            <w:tcBorders>
              <w:tl2br w:val="nil"/>
              <w:tr2bl w:val="nil"/>
            </w:tcBorders>
            <w:noWrap w:val="0"/>
            <w:vAlign w:val="center"/>
          </w:tcPr>
          <w:p w14:paraId="2D3A98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467478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4B8E25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517CEA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3EEED9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1BB9AD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145BFD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废渣点3A-2</w:t>
            </w:r>
          </w:p>
        </w:tc>
        <w:tc>
          <w:tcPr>
            <w:tcW w:w="416" w:type="pct"/>
            <w:tcBorders>
              <w:tl2br w:val="nil"/>
              <w:tr2bl w:val="nil"/>
            </w:tcBorders>
            <w:noWrap w:val="0"/>
            <w:vAlign w:val="center"/>
          </w:tcPr>
          <w:p w14:paraId="4D74BC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48762C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6641C9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8.12</w:t>
            </w:r>
          </w:p>
        </w:tc>
        <w:tc>
          <w:tcPr>
            <w:tcW w:w="298" w:type="pct"/>
            <w:tcBorders>
              <w:tl2br w:val="nil"/>
              <w:tr2bl w:val="nil"/>
            </w:tcBorders>
            <w:noWrap w:val="0"/>
            <w:vAlign w:val="center"/>
          </w:tcPr>
          <w:p w14:paraId="7FB0C9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117313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05D3EC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63895D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0.07</w:t>
            </w:r>
          </w:p>
        </w:tc>
        <w:tc>
          <w:tcPr>
            <w:tcW w:w="366" w:type="pct"/>
            <w:tcBorders>
              <w:tl2br w:val="nil"/>
              <w:tr2bl w:val="nil"/>
            </w:tcBorders>
            <w:noWrap w:val="0"/>
            <w:vAlign w:val="center"/>
          </w:tcPr>
          <w:p w14:paraId="2158DF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0.0456</w:t>
            </w:r>
          </w:p>
        </w:tc>
        <w:tc>
          <w:tcPr>
            <w:tcW w:w="310" w:type="pct"/>
            <w:tcBorders>
              <w:tl2br w:val="nil"/>
              <w:tr2bl w:val="nil"/>
            </w:tcBorders>
            <w:noWrap w:val="0"/>
            <w:vAlign w:val="center"/>
          </w:tcPr>
          <w:p w14:paraId="4C63B3A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0A3B623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6AA384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660BB0A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1132A3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4159C5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63BBFC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废渣点3A-3</w:t>
            </w:r>
          </w:p>
        </w:tc>
        <w:tc>
          <w:tcPr>
            <w:tcW w:w="416" w:type="pct"/>
            <w:tcBorders>
              <w:tl2br w:val="nil"/>
              <w:tr2bl w:val="nil"/>
            </w:tcBorders>
            <w:noWrap w:val="0"/>
            <w:vAlign w:val="center"/>
          </w:tcPr>
          <w:p w14:paraId="3D9185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596444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42D075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8.71</w:t>
            </w:r>
          </w:p>
        </w:tc>
        <w:tc>
          <w:tcPr>
            <w:tcW w:w="298" w:type="pct"/>
            <w:tcBorders>
              <w:tl2br w:val="nil"/>
              <w:tr2bl w:val="nil"/>
            </w:tcBorders>
            <w:noWrap w:val="0"/>
            <w:vAlign w:val="center"/>
          </w:tcPr>
          <w:p w14:paraId="23B306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1F9A9D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69A21CE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313E7D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0.04</w:t>
            </w:r>
          </w:p>
        </w:tc>
        <w:tc>
          <w:tcPr>
            <w:tcW w:w="366" w:type="pct"/>
            <w:tcBorders>
              <w:tl2br w:val="nil"/>
              <w:tr2bl w:val="nil"/>
            </w:tcBorders>
            <w:noWrap w:val="0"/>
            <w:vAlign w:val="center"/>
          </w:tcPr>
          <w:p w14:paraId="3C77C8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0.0208</w:t>
            </w:r>
          </w:p>
        </w:tc>
        <w:tc>
          <w:tcPr>
            <w:tcW w:w="310" w:type="pct"/>
            <w:tcBorders>
              <w:tl2br w:val="nil"/>
              <w:tr2bl w:val="nil"/>
            </w:tcBorders>
            <w:noWrap w:val="0"/>
            <w:vAlign w:val="center"/>
          </w:tcPr>
          <w:p w14:paraId="0F7E08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2FD134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1F1BE6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559FF4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653A3D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49C922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28EABB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废渣点3A-4</w:t>
            </w:r>
          </w:p>
        </w:tc>
        <w:tc>
          <w:tcPr>
            <w:tcW w:w="416" w:type="pct"/>
            <w:tcBorders>
              <w:tl2br w:val="nil"/>
              <w:tr2bl w:val="nil"/>
            </w:tcBorders>
            <w:noWrap w:val="0"/>
            <w:vAlign w:val="center"/>
          </w:tcPr>
          <w:p w14:paraId="7FCC9C0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w:t>
            </w:r>
            <w:r>
              <w:rPr>
                <w:rFonts w:hint="eastAsia" w:ascii="Times New Roman" w:hAnsi="Times New Roman" w:eastAsia="宋体" w:cs="Times New Roman"/>
                <w:snapToGrid w:val="0"/>
                <w:color w:val="000000"/>
                <w:spacing w:val="-2"/>
                <w:kern w:val="0"/>
                <w:sz w:val="21"/>
                <w:szCs w:val="21"/>
                <w:lang w:val="en-US" w:eastAsia="zh-CN" w:bidi="ar-SA"/>
              </w:rPr>
              <w:t>.</w:t>
            </w:r>
            <w:r>
              <w:rPr>
                <w:rFonts w:hint="default" w:ascii="Times New Roman" w:hAnsi="Times New Roman" w:eastAsia="宋体" w:cs="Times New Roman"/>
                <w:snapToGrid w:val="0"/>
                <w:color w:val="000000"/>
                <w:spacing w:val="-2"/>
                <w:kern w:val="0"/>
                <w:sz w:val="21"/>
                <w:szCs w:val="21"/>
                <w:lang w:val="en-US" w:eastAsia="en-US" w:bidi="ar-SA"/>
              </w:rPr>
              <w:t>06.30</w:t>
            </w:r>
          </w:p>
        </w:tc>
        <w:tc>
          <w:tcPr>
            <w:tcW w:w="469" w:type="pct"/>
            <w:tcBorders>
              <w:tl2br w:val="nil"/>
              <w:tr2bl w:val="nil"/>
            </w:tcBorders>
            <w:noWrap w:val="0"/>
            <w:vAlign w:val="center"/>
          </w:tcPr>
          <w:p w14:paraId="3891E1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67CE80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7.72</w:t>
            </w:r>
          </w:p>
        </w:tc>
        <w:tc>
          <w:tcPr>
            <w:tcW w:w="298" w:type="pct"/>
            <w:tcBorders>
              <w:tl2br w:val="nil"/>
              <w:tr2bl w:val="nil"/>
            </w:tcBorders>
            <w:noWrap w:val="0"/>
            <w:vAlign w:val="center"/>
          </w:tcPr>
          <w:p w14:paraId="45D5BC3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4ACD74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2366CA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66CC2E4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63BC4D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0.184</w:t>
            </w:r>
          </w:p>
        </w:tc>
        <w:tc>
          <w:tcPr>
            <w:tcW w:w="310" w:type="pct"/>
            <w:tcBorders>
              <w:tl2br w:val="nil"/>
              <w:tr2bl w:val="nil"/>
            </w:tcBorders>
            <w:noWrap w:val="0"/>
            <w:vAlign w:val="center"/>
          </w:tcPr>
          <w:p w14:paraId="3A0D063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3CA740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4B9780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29E97F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509D73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0666C2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55D58EB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废渣点3A-5</w:t>
            </w:r>
          </w:p>
        </w:tc>
        <w:tc>
          <w:tcPr>
            <w:tcW w:w="416" w:type="pct"/>
            <w:tcBorders>
              <w:tl2br w:val="nil"/>
              <w:tr2bl w:val="nil"/>
            </w:tcBorders>
            <w:noWrap w:val="0"/>
            <w:vAlign w:val="center"/>
          </w:tcPr>
          <w:p w14:paraId="223A1D1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78308F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0B2079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8.86</w:t>
            </w:r>
          </w:p>
        </w:tc>
        <w:tc>
          <w:tcPr>
            <w:tcW w:w="298" w:type="pct"/>
            <w:tcBorders>
              <w:tl2br w:val="nil"/>
              <w:tr2bl w:val="nil"/>
            </w:tcBorders>
            <w:noWrap w:val="0"/>
            <w:vAlign w:val="center"/>
          </w:tcPr>
          <w:p w14:paraId="5641F0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267BC4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44416E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58B8C8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66" w:type="pct"/>
            <w:tcBorders>
              <w:tl2br w:val="nil"/>
              <w:tr2bl w:val="nil"/>
            </w:tcBorders>
            <w:noWrap w:val="0"/>
            <w:vAlign w:val="center"/>
          </w:tcPr>
          <w:p w14:paraId="0CFA6F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0.106</w:t>
            </w:r>
          </w:p>
        </w:tc>
        <w:tc>
          <w:tcPr>
            <w:tcW w:w="310" w:type="pct"/>
            <w:tcBorders>
              <w:tl2br w:val="nil"/>
              <w:tr2bl w:val="nil"/>
            </w:tcBorders>
            <w:noWrap w:val="0"/>
            <w:vAlign w:val="center"/>
          </w:tcPr>
          <w:p w14:paraId="76001F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35D304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1B3779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1A2646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28CE75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5530F9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47DAF9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废渣点3A-6</w:t>
            </w:r>
          </w:p>
        </w:tc>
        <w:tc>
          <w:tcPr>
            <w:tcW w:w="416" w:type="pct"/>
            <w:tcBorders>
              <w:tl2br w:val="nil"/>
              <w:tr2bl w:val="nil"/>
            </w:tcBorders>
            <w:noWrap w:val="0"/>
            <w:vAlign w:val="center"/>
          </w:tcPr>
          <w:p w14:paraId="05D1A07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795B11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2"/>
                <w:kern w:val="0"/>
                <w:sz w:val="21"/>
                <w:szCs w:val="21"/>
                <w:lang w:val="en-US" w:eastAsia="en-US" w:bidi="ar-SA"/>
              </w:rPr>
              <w:t>灰色、</w:t>
            </w:r>
            <w:r>
              <w:rPr>
                <w:rFonts w:hint="default" w:ascii="Times New Roman" w:hAnsi="Times New Roman" w:eastAsia="宋体" w:cs="Times New Roman"/>
                <w:snapToGrid w:val="0"/>
                <w:color w:val="000000"/>
                <w:spacing w:val="3"/>
                <w:kern w:val="0"/>
                <w:sz w:val="21"/>
                <w:szCs w:val="21"/>
                <w:lang w:val="en-US" w:eastAsia="en-US" w:bidi="ar-SA"/>
              </w:rPr>
              <w:t>固态</w:t>
            </w:r>
          </w:p>
        </w:tc>
        <w:tc>
          <w:tcPr>
            <w:tcW w:w="267" w:type="pct"/>
            <w:tcBorders>
              <w:tl2br w:val="nil"/>
              <w:tr2bl w:val="nil"/>
            </w:tcBorders>
            <w:noWrap w:val="0"/>
            <w:vAlign w:val="center"/>
          </w:tcPr>
          <w:p w14:paraId="7CD58C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7.28</w:t>
            </w:r>
          </w:p>
        </w:tc>
        <w:tc>
          <w:tcPr>
            <w:tcW w:w="298" w:type="pct"/>
            <w:tcBorders>
              <w:tl2br w:val="nil"/>
              <w:tr2bl w:val="nil"/>
            </w:tcBorders>
            <w:noWrap w:val="0"/>
            <w:vAlign w:val="center"/>
          </w:tcPr>
          <w:p w14:paraId="338BB1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50A56E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2971487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88" w:type="pct"/>
            <w:tcBorders>
              <w:tl2br w:val="nil"/>
              <w:tr2bl w:val="nil"/>
            </w:tcBorders>
            <w:noWrap w:val="0"/>
            <w:vAlign w:val="center"/>
          </w:tcPr>
          <w:p w14:paraId="4774E93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0.03</w:t>
            </w:r>
          </w:p>
        </w:tc>
        <w:tc>
          <w:tcPr>
            <w:tcW w:w="366" w:type="pct"/>
            <w:tcBorders>
              <w:tl2br w:val="nil"/>
              <w:tr2bl w:val="nil"/>
            </w:tcBorders>
            <w:noWrap w:val="0"/>
            <w:vAlign w:val="center"/>
          </w:tcPr>
          <w:p w14:paraId="15E78E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2.24</w:t>
            </w:r>
          </w:p>
        </w:tc>
        <w:tc>
          <w:tcPr>
            <w:tcW w:w="310" w:type="pct"/>
            <w:tcBorders>
              <w:tl2br w:val="nil"/>
              <w:tr2bl w:val="nil"/>
            </w:tcBorders>
            <w:noWrap w:val="0"/>
            <w:vAlign w:val="center"/>
          </w:tcPr>
          <w:p w14:paraId="16EEB7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6A03E1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791820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0.00002</w:t>
            </w:r>
          </w:p>
        </w:tc>
        <w:tc>
          <w:tcPr>
            <w:tcW w:w="259" w:type="pct"/>
            <w:tcBorders>
              <w:tl2br w:val="nil"/>
              <w:tr2bl w:val="nil"/>
            </w:tcBorders>
            <w:noWrap w:val="0"/>
            <w:vAlign w:val="center"/>
          </w:tcPr>
          <w:p w14:paraId="605482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5391B81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09AE6E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74" w:type="pct"/>
            <w:tcBorders>
              <w:tl2br w:val="nil"/>
              <w:tr2bl w:val="nil"/>
            </w:tcBorders>
            <w:noWrap w:val="0"/>
            <w:vAlign w:val="center"/>
          </w:tcPr>
          <w:p w14:paraId="36CE42C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万古水库</w:t>
            </w:r>
            <w:r>
              <w:rPr>
                <w:rFonts w:hint="default" w:ascii="Times New Roman" w:hAnsi="Times New Roman" w:eastAsia="宋体" w:cs="Times New Roman"/>
                <w:snapToGrid w:val="0"/>
                <w:color w:val="000000"/>
                <w:spacing w:val="-1"/>
                <w:kern w:val="0"/>
                <w:sz w:val="21"/>
                <w:szCs w:val="21"/>
                <w:lang w:val="en-US" w:eastAsia="en-US" w:bidi="ar-SA"/>
              </w:rPr>
              <w:t>废渣点3A-3B间</w:t>
            </w:r>
            <w:r>
              <w:rPr>
                <w:rFonts w:hint="default" w:ascii="Times New Roman" w:hAnsi="Times New Roman" w:eastAsia="宋体" w:cs="Times New Roman"/>
                <w:snapToGrid w:val="0"/>
                <w:color w:val="000000"/>
                <w:spacing w:val="-2"/>
                <w:kern w:val="0"/>
                <w:sz w:val="21"/>
                <w:szCs w:val="21"/>
                <w:lang w:val="en-US" w:eastAsia="en-US" w:bidi="ar-SA"/>
              </w:rPr>
              <w:t>过渡点</w:t>
            </w:r>
          </w:p>
        </w:tc>
        <w:tc>
          <w:tcPr>
            <w:tcW w:w="416" w:type="pct"/>
            <w:tcBorders>
              <w:tl2br w:val="nil"/>
              <w:tr2bl w:val="nil"/>
            </w:tcBorders>
            <w:noWrap w:val="0"/>
            <w:vAlign w:val="center"/>
          </w:tcPr>
          <w:p w14:paraId="70519DA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2022.06.30</w:t>
            </w:r>
          </w:p>
        </w:tc>
        <w:tc>
          <w:tcPr>
            <w:tcW w:w="469" w:type="pct"/>
            <w:tcBorders>
              <w:tl2br w:val="nil"/>
              <w:tr2bl w:val="nil"/>
            </w:tcBorders>
            <w:noWrap w:val="0"/>
            <w:vAlign w:val="center"/>
          </w:tcPr>
          <w:p w14:paraId="779766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黄棕色、固态</w:t>
            </w:r>
          </w:p>
        </w:tc>
        <w:tc>
          <w:tcPr>
            <w:tcW w:w="267" w:type="pct"/>
            <w:tcBorders>
              <w:tl2br w:val="nil"/>
              <w:tr2bl w:val="nil"/>
            </w:tcBorders>
            <w:noWrap w:val="0"/>
            <w:vAlign w:val="center"/>
          </w:tcPr>
          <w:p w14:paraId="17A799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6.52</w:t>
            </w:r>
          </w:p>
        </w:tc>
        <w:tc>
          <w:tcPr>
            <w:tcW w:w="298" w:type="pct"/>
            <w:tcBorders>
              <w:tl2br w:val="nil"/>
              <w:tr2bl w:val="nil"/>
            </w:tcBorders>
            <w:noWrap w:val="0"/>
            <w:vAlign w:val="center"/>
          </w:tcPr>
          <w:p w14:paraId="22ECDF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77" w:type="pct"/>
            <w:tcBorders>
              <w:tl2br w:val="nil"/>
              <w:tr2bl w:val="nil"/>
            </w:tcBorders>
            <w:noWrap w:val="0"/>
            <w:vAlign w:val="center"/>
          </w:tcPr>
          <w:p w14:paraId="1FFE53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97" w:type="pct"/>
            <w:tcBorders>
              <w:tl2br w:val="nil"/>
              <w:tr2bl w:val="nil"/>
            </w:tcBorders>
            <w:noWrap w:val="0"/>
            <w:vAlign w:val="center"/>
          </w:tcPr>
          <w:p w14:paraId="7BFAEC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0.03</w:t>
            </w:r>
          </w:p>
        </w:tc>
        <w:tc>
          <w:tcPr>
            <w:tcW w:w="288" w:type="pct"/>
            <w:tcBorders>
              <w:tl2br w:val="nil"/>
              <w:tr2bl w:val="nil"/>
            </w:tcBorders>
            <w:noWrap w:val="0"/>
            <w:vAlign w:val="center"/>
          </w:tcPr>
          <w:p w14:paraId="2C99A5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0.02</w:t>
            </w:r>
          </w:p>
        </w:tc>
        <w:tc>
          <w:tcPr>
            <w:tcW w:w="366" w:type="pct"/>
            <w:tcBorders>
              <w:tl2br w:val="nil"/>
              <w:tr2bl w:val="nil"/>
            </w:tcBorders>
            <w:noWrap w:val="0"/>
            <w:vAlign w:val="center"/>
          </w:tcPr>
          <w:p w14:paraId="791217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0.192</w:t>
            </w:r>
          </w:p>
        </w:tc>
        <w:tc>
          <w:tcPr>
            <w:tcW w:w="310" w:type="pct"/>
            <w:tcBorders>
              <w:tl2br w:val="nil"/>
              <w:tr2bl w:val="nil"/>
            </w:tcBorders>
            <w:noWrap w:val="0"/>
            <w:vAlign w:val="center"/>
          </w:tcPr>
          <w:p w14:paraId="1D062A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03" w:type="pct"/>
            <w:tcBorders>
              <w:tl2br w:val="nil"/>
              <w:tr2bl w:val="nil"/>
            </w:tcBorders>
            <w:noWrap w:val="0"/>
            <w:vAlign w:val="center"/>
          </w:tcPr>
          <w:p w14:paraId="7F3153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310" w:type="pct"/>
            <w:tcBorders>
              <w:tl2br w:val="nil"/>
              <w:tr2bl w:val="nil"/>
            </w:tcBorders>
            <w:noWrap w:val="0"/>
            <w:vAlign w:val="center"/>
          </w:tcPr>
          <w:p w14:paraId="40D738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259" w:type="pct"/>
            <w:tcBorders>
              <w:tl2br w:val="nil"/>
              <w:tr2bl w:val="nil"/>
            </w:tcBorders>
            <w:noWrap w:val="0"/>
            <w:vAlign w:val="center"/>
          </w:tcPr>
          <w:p w14:paraId="6BEDF2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c>
          <w:tcPr>
            <w:tcW w:w="460" w:type="pct"/>
            <w:tcBorders>
              <w:tl2br w:val="nil"/>
              <w:tr2bl w:val="nil"/>
            </w:tcBorders>
            <w:noWrap w:val="0"/>
            <w:vAlign w:val="center"/>
          </w:tcPr>
          <w:p w14:paraId="6CEBA7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ND</w:t>
            </w:r>
          </w:p>
        </w:tc>
      </w:tr>
      <w:tr w14:paraId="0957CE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560" w:type="pct"/>
            <w:gridSpan w:val="3"/>
            <w:tcBorders>
              <w:tl2br w:val="nil"/>
              <w:tr2bl w:val="nil"/>
            </w:tcBorders>
            <w:noWrap w:val="0"/>
            <w:vAlign w:val="center"/>
          </w:tcPr>
          <w:p w14:paraId="74C3A2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spacing w:val="3"/>
                <w:kern w:val="0"/>
                <w:sz w:val="21"/>
                <w:szCs w:val="21"/>
                <w:lang w:val="en-US" w:eastAsia="en-US" w:bidi="ar-SA"/>
              </w:rPr>
            </w:pPr>
            <w:r>
              <w:rPr>
                <w:rFonts w:hint="default" w:ascii="Times New Roman" w:hAnsi="Times New Roman" w:eastAsia="宋体" w:cs="Times New Roman"/>
                <w:b/>
                <w:bCs/>
                <w:snapToGrid w:val="0"/>
                <w:color w:val="000000"/>
                <w:spacing w:val="3"/>
                <w:kern w:val="0"/>
                <w:sz w:val="21"/>
                <w:szCs w:val="21"/>
                <w:lang w:val="en-US" w:eastAsia="en-US" w:bidi="ar-SA"/>
              </w:rPr>
              <w:t>限值</w:t>
            </w:r>
          </w:p>
        </w:tc>
        <w:tc>
          <w:tcPr>
            <w:tcW w:w="267" w:type="pct"/>
            <w:tcBorders>
              <w:tl2br w:val="nil"/>
              <w:tr2bl w:val="nil"/>
            </w:tcBorders>
            <w:noWrap w:val="0"/>
            <w:vAlign w:val="center"/>
          </w:tcPr>
          <w:p w14:paraId="66DC50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6~9</w:t>
            </w:r>
          </w:p>
        </w:tc>
        <w:tc>
          <w:tcPr>
            <w:tcW w:w="298" w:type="pct"/>
            <w:tcBorders>
              <w:tl2br w:val="nil"/>
              <w:tr2bl w:val="nil"/>
            </w:tcBorders>
            <w:noWrap w:val="0"/>
            <w:vAlign w:val="center"/>
          </w:tcPr>
          <w:p w14:paraId="0CA51A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4"/>
                <w:kern w:val="0"/>
                <w:sz w:val="21"/>
                <w:szCs w:val="21"/>
                <w:lang w:val="en-US" w:eastAsia="en-US" w:bidi="ar-SA"/>
              </w:rPr>
              <w:t>1.5</w:t>
            </w:r>
          </w:p>
        </w:tc>
        <w:tc>
          <w:tcPr>
            <w:tcW w:w="277" w:type="pct"/>
            <w:tcBorders>
              <w:tl2br w:val="nil"/>
              <w:tr2bl w:val="nil"/>
            </w:tcBorders>
            <w:noWrap w:val="0"/>
            <w:vAlign w:val="center"/>
          </w:tcPr>
          <w:p w14:paraId="7205DE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4"/>
                <w:kern w:val="0"/>
                <w:sz w:val="21"/>
                <w:szCs w:val="21"/>
                <w:lang w:val="en-US" w:eastAsia="en-US" w:bidi="ar-SA"/>
              </w:rPr>
              <w:t>1.0</w:t>
            </w:r>
          </w:p>
        </w:tc>
        <w:tc>
          <w:tcPr>
            <w:tcW w:w="297" w:type="pct"/>
            <w:tcBorders>
              <w:tl2br w:val="nil"/>
              <w:tr2bl w:val="nil"/>
            </w:tcBorders>
            <w:noWrap w:val="0"/>
            <w:vAlign w:val="center"/>
          </w:tcPr>
          <w:p w14:paraId="45F269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0.5</w:t>
            </w:r>
          </w:p>
        </w:tc>
        <w:tc>
          <w:tcPr>
            <w:tcW w:w="288" w:type="pct"/>
            <w:tcBorders>
              <w:tl2br w:val="nil"/>
              <w:tr2bl w:val="nil"/>
            </w:tcBorders>
            <w:noWrap w:val="0"/>
            <w:vAlign w:val="center"/>
          </w:tcPr>
          <w:p w14:paraId="3D9D5E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2.0</w:t>
            </w:r>
          </w:p>
        </w:tc>
        <w:tc>
          <w:tcPr>
            <w:tcW w:w="366" w:type="pct"/>
            <w:tcBorders>
              <w:tl2br w:val="nil"/>
              <w:tr2bl w:val="nil"/>
            </w:tcBorders>
            <w:noWrap w:val="0"/>
            <w:vAlign w:val="center"/>
          </w:tcPr>
          <w:p w14:paraId="01B6A73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0.5</w:t>
            </w:r>
          </w:p>
        </w:tc>
        <w:tc>
          <w:tcPr>
            <w:tcW w:w="310" w:type="pct"/>
            <w:tcBorders>
              <w:tl2br w:val="nil"/>
              <w:tr2bl w:val="nil"/>
            </w:tcBorders>
            <w:noWrap w:val="0"/>
            <w:vAlign w:val="center"/>
          </w:tcPr>
          <w:p w14:paraId="430B15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0.1</w:t>
            </w:r>
          </w:p>
        </w:tc>
        <w:tc>
          <w:tcPr>
            <w:tcW w:w="303" w:type="pct"/>
            <w:tcBorders>
              <w:tl2br w:val="nil"/>
              <w:tr2bl w:val="nil"/>
            </w:tcBorders>
            <w:noWrap w:val="0"/>
            <w:vAlign w:val="center"/>
          </w:tcPr>
          <w:p w14:paraId="3E394F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4"/>
                <w:kern w:val="0"/>
                <w:sz w:val="21"/>
                <w:szCs w:val="21"/>
                <w:lang w:val="en-US" w:eastAsia="en-US" w:bidi="ar-SA"/>
              </w:rPr>
              <w:t>1.0</w:t>
            </w:r>
          </w:p>
        </w:tc>
        <w:tc>
          <w:tcPr>
            <w:tcW w:w="310" w:type="pct"/>
            <w:tcBorders>
              <w:tl2br w:val="nil"/>
              <w:tr2bl w:val="nil"/>
            </w:tcBorders>
            <w:noWrap w:val="0"/>
            <w:vAlign w:val="center"/>
          </w:tcPr>
          <w:p w14:paraId="1BD8E4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0.05</w:t>
            </w:r>
          </w:p>
        </w:tc>
        <w:tc>
          <w:tcPr>
            <w:tcW w:w="259" w:type="pct"/>
            <w:tcBorders>
              <w:tl2br w:val="nil"/>
              <w:tr2bl w:val="nil"/>
            </w:tcBorders>
            <w:noWrap w:val="0"/>
            <w:vAlign w:val="center"/>
          </w:tcPr>
          <w:p w14:paraId="70C304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0.5</w:t>
            </w:r>
          </w:p>
        </w:tc>
        <w:tc>
          <w:tcPr>
            <w:tcW w:w="460" w:type="pct"/>
            <w:tcBorders>
              <w:tl2br w:val="nil"/>
              <w:tr2bl w:val="nil"/>
            </w:tcBorders>
            <w:noWrap w:val="0"/>
            <w:vAlign w:val="center"/>
          </w:tcPr>
          <w:p w14:paraId="2FA9CE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0.5</w:t>
            </w:r>
          </w:p>
        </w:tc>
      </w:tr>
      <w:tr w14:paraId="605904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14"/>
            <w:tcBorders>
              <w:tl2br w:val="nil"/>
              <w:tr2bl w:val="nil"/>
            </w:tcBorders>
            <w:noWrap w:val="0"/>
            <w:vAlign w:val="center"/>
          </w:tcPr>
          <w:p w14:paraId="356082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both"/>
              <w:textAlignment w:val="baseline"/>
              <w:rPr>
                <w:rFonts w:hint="default" w:ascii="Times New Roman" w:hAnsi="Times New Roman" w:eastAsia="宋体" w:cs="Times New Roman"/>
                <w:b/>
                <w:bCs/>
                <w:snapToGrid w:val="0"/>
                <w:color w:val="000000"/>
                <w:spacing w:val="-2"/>
                <w:kern w:val="0"/>
                <w:sz w:val="21"/>
                <w:szCs w:val="21"/>
                <w:lang w:val="en-US" w:eastAsia="en-US" w:bidi="ar-SA"/>
              </w:rPr>
            </w:pPr>
            <w:r>
              <w:rPr>
                <w:rFonts w:hint="eastAsia" w:ascii="Times New Roman" w:hAnsi="宋体" w:eastAsia="宋体" w:cs="宋体"/>
                <w:b/>
                <w:bCs/>
                <w:snapToGrid w:val="0"/>
                <w:color w:val="000000"/>
                <w:kern w:val="0"/>
                <w:sz w:val="21"/>
                <w:szCs w:val="21"/>
                <w:highlight w:val="none"/>
                <w:vertAlign w:val="baseline"/>
                <w:lang w:val="en-US" w:eastAsia="zh-CN" w:bidi="ar-SA"/>
              </w:rPr>
              <w:t>注：“ND”表示未检出。</w:t>
            </w:r>
          </w:p>
        </w:tc>
      </w:tr>
    </w:tbl>
    <w:p w14:paraId="128E21BE">
      <w:pPr>
        <w:ind w:firstLine="480"/>
        <w:rPr>
          <w:rFonts w:hint="default" w:ascii="Times New Roman" w:hAnsi="Times New Roman" w:cs="Times New Roman"/>
        </w:rPr>
      </w:pPr>
      <w:r>
        <w:rPr>
          <w:rFonts w:hint="default" w:ascii="Times New Roman" w:hAnsi="Times New Roman" w:cs="Times New Roman"/>
          <w:sz w:val="24"/>
          <w:szCs w:val="24"/>
          <w:lang w:val="en-US" w:eastAsia="zh-CN"/>
        </w:rPr>
        <w:t>由上表可知：1号废渣堆5个废渣样品中有4个废渣样水浸溶液金属指标砷、2号废渣堆17个废渣样品中有15个废渣样水浸溶液金属指标砷、万古水库废渣点3A废渣点6个废渣样品中有2个废渣样水浸溶液金属指标砷、万古水库废渣点3B废渣点4个废渣样品中有4个废渣样水浸溶液金属指标砷</w:t>
      </w:r>
      <w:r>
        <w:rPr>
          <w:rFonts w:hint="default" w:ascii="Times New Roman" w:hAnsi="Times New Roman" w:cs="Times New Roman"/>
          <w:sz w:val="24"/>
          <w:szCs w:val="24"/>
        </w:rPr>
        <w:t>检测结果均超过《污水综合排放标准》（GB8978-1996）最高允许排放浓度，其余检测指标的检测结果均未超过《污水综合排放标准》（GB8978-1996）最高允许排放浓度。因此，</w:t>
      </w:r>
      <w:r>
        <w:rPr>
          <w:rFonts w:hint="default" w:ascii="Times New Roman" w:hAnsi="Times New Roman" w:cs="Times New Roman"/>
          <w:sz w:val="24"/>
          <w:szCs w:val="24"/>
          <w:lang w:val="en-US" w:eastAsia="zh-CN"/>
        </w:rPr>
        <w:t>项目</w:t>
      </w:r>
      <w:r>
        <w:rPr>
          <w:rFonts w:hint="default" w:ascii="Times New Roman" w:hAnsi="Times New Roman" w:cs="Times New Roman"/>
          <w:sz w:val="24"/>
          <w:szCs w:val="24"/>
        </w:rPr>
        <w:t>1号废渣堆、2号废渣堆、万古水库3A废渣堆、万古水库3B废渣堆存在Ⅰ、</w:t>
      </w:r>
      <w:r>
        <w:rPr>
          <w:rFonts w:hint="default" w:ascii="Times New Roman" w:hAnsi="Times New Roman" w:cs="Times New Roman"/>
          <w:sz w:val="24"/>
          <w:szCs w:val="24"/>
          <w:lang w:eastAsia="zh-CN"/>
        </w:rPr>
        <w:t>Ⅱ类</w:t>
      </w:r>
      <w:r>
        <w:rPr>
          <w:rFonts w:hint="default" w:ascii="Times New Roman" w:hAnsi="Times New Roman" w:cs="Times New Roman"/>
          <w:sz w:val="24"/>
          <w:szCs w:val="24"/>
        </w:rPr>
        <w:t>一般工业固体废物</w:t>
      </w:r>
      <w:r>
        <w:rPr>
          <w:rFonts w:hint="default" w:ascii="Times New Roman" w:hAnsi="Times New Roman" w:cs="Times New Roman"/>
          <w:sz w:val="24"/>
          <w:szCs w:val="24"/>
          <w:lang w:val="en-US" w:eastAsia="zh-CN"/>
        </w:rPr>
        <w:t>。</w:t>
      </w:r>
    </w:p>
    <w:p w14:paraId="1A4C72AF">
      <w:pPr>
        <w:bidi w:val="0"/>
        <w:rPr>
          <w:rFonts w:hint="default" w:ascii="Times New Roman" w:hAnsi="Times New Roman" w:cs="Times New Roman"/>
          <w:lang w:val="en-US" w:eastAsia="zh-CN"/>
        </w:rPr>
        <w:sectPr>
          <w:pgSz w:w="16783" w:h="11850" w:orient="landscape"/>
          <w:pgMar w:top="1134" w:right="1417" w:bottom="1134"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8243AAA">
      <w:pPr>
        <w:ind w:firstLine="480"/>
        <w:rPr>
          <w:sz w:val="24"/>
          <w:szCs w:val="24"/>
        </w:rPr>
      </w:pPr>
      <w:r>
        <w:rPr>
          <w:sz w:val="24"/>
          <w:szCs w:val="24"/>
        </w:rPr>
        <w:t>为</w:t>
      </w:r>
      <w:r>
        <w:rPr>
          <w:rFonts w:hint="eastAsia"/>
          <w:sz w:val="24"/>
          <w:szCs w:val="24"/>
        </w:rPr>
        <w:t>进一步</w:t>
      </w:r>
      <w:r>
        <w:rPr>
          <w:sz w:val="24"/>
          <w:szCs w:val="24"/>
        </w:rPr>
        <w:t>明确</w:t>
      </w:r>
      <w:r>
        <w:rPr>
          <w:rFonts w:hint="eastAsia"/>
          <w:sz w:val="24"/>
          <w:szCs w:val="24"/>
        </w:rPr>
        <w:t>各废渣点的</w:t>
      </w:r>
      <w:r>
        <w:rPr>
          <w:sz w:val="24"/>
          <w:szCs w:val="24"/>
        </w:rPr>
        <w:t>Ⅰ类固废、Ⅱ类固废分布情况，</w:t>
      </w:r>
      <w:r>
        <w:rPr>
          <w:rFonts w:hint="eastAsia"/>
          <w:sz w:val="24"/>
          <w:szCs w:val="24"/>
        </w:rPr>
        <w:t>同时</w:t>
      </w:r>
      <w:r>
        <w:rPr>
          <w:sz w:val="24"/>
          <w:szCs w:val="24"/>
        </w:rPr>
        <w:t>确定废渣堆红线范围，</w:t>
      </w:r>
      <w:r>
        <w:rPr>
          <w:rFonts w:hint="eastAsia"/>
          <w:sz w:val="24"/>
          <w:szCs w:val="24"/>
        </w:rPr>
        <w:t>2022年7月3</w:t>
      </w:r>
      <w:r>
        <w:rPr>
          <w:rFonts w:hint="eastAsia"/>
          <w:sz w:val="24"/>
          <w:szCs w:val="24"/>
          <w:lang w:val="en-US" w:eastAsia="zh-CN"/>
        </w:rPr>
        <w:t>0</w:t>
      </w:r>
      <w:r>
        <w:rPr>
          <w:rFonts w:hint="eastAsia"/>
          <w:sz w:val="24"/>
          <w:szCs w:val="24"/>
        </w:rPr>
        <w:t>日，湖南安博检测有限公司对遗留废渣进行了补充采样监测，设置了</w:t>
      </w:r>
      <w:r>
        <w:rPr>
          <w:rFonts w:hint="eastAsia"/>
          <w:sz w:val="24"/>
          <w:szCs w:val="24"/>
          <w:lang w:val="en-US" w:eastAsia="zh-CN"/>
        </w:rPr>
        <w:t>47</w:t>
      </w:r>
      <w:r>
        <w:rPr>
          <w:rFonts w:hint="eastAsia"/>
          <w:sz w:val="24"/>
          <w:szCs w:val="24"/>
        </w:rPr>
        <w:t>个采样点位。</w:t>
      </w:r>
    </w:p>
    <w:p w14:paraId="3ADEEB24">
      <w:pPr>
        <w:rPr>
          <w:rFonts w:hint="eastAsia"/>
          <w:sz w:val="24"/>
          <w:szCs w:val="24"/>
          <w:highlight w:val="none"/>
          <w:lang w:val="en-US" w:eastAsia="zh-CN"/>
        </w:rPr>
      </w:pPr>
      <w:r>
        <w:rPr>
          <w:rFonts w:hint="eastAsia"/>
          <w:sz w:val="24"/>
          <w:szCs w:val="24"/>
        </w:rPr>
        <w:t>各补充检测点位布设和采样情况见表3.1-</w:t>
      </w:r>
      <w:r>
        <w:rPr>
          <w:rFonts w:hint="eastAsia"/>
          <w:sz w:val="24"/>
          <w:szCs w:val="24"/>
          <w:lang w:val="en-US" w:eastAsia="zh-CN"/>
        </w:rPr>
        <w:t>10</w:t>
      </w:r>
      <w:r>
        <w:rPr>
          <w:rFonts w:hint="eastAsia"/>
          <w:sz w:val="24"/>
          <w:szCs w:val="24"/>
        </w:rPr>
        <w:t>~1</w:t>
      </w:r>
      <w:r>
        <w:rPr>
          <w:rFonts w:hint="eastAsia"/>
          <w:sz w:val="24"/>
          <w:szCs w:val="24"/>
          <w:lang w:val="en-US" w:eastAsia="zh-CN"/>
        </w:rPr>
        <w:t>2</w:t>
      </w:r>
      <w:r>
        <w:rPr>
          <w:rFonts w:hint="eastAsia"/>
          <w:sz w:val="24"/>
          <w:szCs w:val="24"/>
        </w:rPr>
        <w:t>，</w:t>
      </w:r>
      <w:r>
        <w:rPr>
          <w:sz w:val="24"/>
          <w:szCs w:val="24"/>
        </w:rPr>
        <w:t>补充</w:t>
      </w:r>
      <w:r>
        <w:rPr>
          <w:rFonts w:hint="eastAsia"/>
          <w:sz w:val="24"/>
          <w:szCs w:val="24"/>
        </w:rPr>
        <w:t>采样</w:t>
      </w:r>
      <w:r>
        <w:rPr>
          <w:sz w:val="24"/>
          <w:szCs w:val="24"/>
        </w:rPr>
        <w:t>检测</w:t>
      </w:r>
      <w:r>
        <w:rPr>
          <w:rFonts w:hint="eastAsia"/>
          <w:sz w:val="24"/>
          <w:szCs w:val="24"/>
        </w:rPr>
        <w:t>结果见表3.1-1</w:t>
      </w:r>
      <w:r>
        <w:rPr>
          <w:rFonts w:hint="eastAsia"/>
          <w:sz w:val="24"/>
          <w:szCs w:val="24"/>
          <w:lang w:val="en-US" w:eastAsia="zh-CN"/>
        </w:rPr>
        <w:t>3</w:t>
      </w:r>
      <w:r>
        <w:rPr>
          <w:rFonts w:hint="default" w:ascii="Times New Roman" w:hAnsi="Times New Roman" w:cs="Times New Roman"/>
          <w:sz w:val="24"/>
          <w:szCs w:val="24"/>
          <w:highlight w:val="none"/>
          <w:lang w:val="en-US" w:eastAsia="zh-CN"/>
        </w:rPr>
        <w:t xml:space="preserve">。 </w:t>
      </w:r>
    </w:p>
    <w:p w14:paraId="3BD63828">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表3.1-10  万古村1#废渣堆固废补充监测布点方案</w:t>
      </w:r>
    </w:p>
    <w:tbl>
      <w:tblPr>
        <w:tblStyle w:val="11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269"/>
        <w:gridCol w:w="1198"/>
        <w:gridCol w:w="1339"/>
        <w:gridCol w:w="1630"/>
        <w:gridCol w:w="1500"/>
        <w:gridCol w:w="1106"/>
      </w:tblGrid>
      <w:tr w14:paraId="359C8B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1254" w:type="pct"/>
            <w:tcBorders>
              <w:tl2br w:val="nil"/>
              <w:tr2bl w:val="nil"/>
            </w:tcBorders>
            <w:noWrap w:val="0"/>
            <w:vAlign w:val="center"/>
          </w:tcPr>
          <w:p w14:paraId="0D118B1D">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
                <w:bCs/>
                <w:color w:val="auto"/>
                <w:spacing w:val="0"/>
                <w:sz w:val="21"/>
                <w:szCs w:val="21"/>
              </w:rPr>
              <w:t>区域</w:t>
            </w:r>
          </w:p>
        </w:tc>
        <w:tc>
          <w:tcPr>
            <w:tcW w:w="662" w:type="pct"/>
            <w:tcBorders>
              <w:tl2br w:val="nil"/>
              <w:tr2bl w:val="nil"/>
            </w:tcBorders>
            <w:noWrap w:val="0"/>
            <w:vAlign w:val="center"/>
          </w:tcPr>
          <w:p w14:paraId="6BF23B99">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
                <w:bCs/>
                <w:color w:val="auto"/>
                <w:spacing w:val="0"/>
                <w:sz w:val="21"/>
                <w:szCs w:val="21"/>
              </w:rPr>
              <w:t>点位号</w:t>
            </w:r>
          </w:p>
        </w:tc>
        <w:tc>
          <w:tcPr>
            <w:tcW w:w="740" w:type="pct"/>
            <w:tcBorders>
              <w:tl2br w:val="nil"/>
              <w:tr2bl w:val="nil"/>
            </w:tcBorders>
            <w:noWrap w:val="0"/>
            <w:vAlign w:val="center"/>
          </w:tcPr>
          <w:p w14:paraId="0E82E4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cs="Times New Roman"/>
                <w:b/>
                <w:bCs/>
                <w:sz w:val="21"/>
                <w:szCs w:val="21"/>
                <w:highlight w:val="none"/>
                <w:vertAlign w:val="baseline"/>
                <w:lang w:val="en-US" w:eastAsia="zh-CN"/>
              </w:rPr>
              <w:t>经度（°）</w:t>
            </w:r>
          </w:p>
        </w:tc>
        <w:tc>
          <w:tcPr>
            <w:tcW w:w="901" w:type="pct"/>
            <w:tcBorders>
              <w:tl2br w:val="nil"/>
              <w:tr2bl w:val="nil"/>
            </w:tcBorders>
            <w:noWrap w:val="0"/>
            <w:vAlign w:val="center"/>
          </w:tcPr>
          <w:p w14:paraId="1AE9D13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cs="Times New Roman"/>
                <w:b/>
                <w:bCs/>
                <w:sz w:val="21"/>
                <w:szCs w:val="21"/>
                <w:highlight w:val="none"/>
                <w:vertAlign w:val="baseline"/>
                <w:lang w:val="en-US" w:eastAsia="zh-CN"/>
              </w:rPr>
              <w:t>纬度（°）</w:t>
            </w:r>
          </w:p>
        </w:tc>
        <w:tc>
          <w:tcPr>
            <w:tcW w:w="829" w:type="pct"/>
            <w:tcBorders>
              <w:tl2br w:val="nil"/>
              <w:tr2bl w:val="nil"/>
            </w:tcBorders>
            <w:noWrap w:val="0"/>
            <w:vAlign w:val="center"/>
          </w:tcPr>
          <w:p w14:paraId="6AF4B3E8">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eastAsia="zh-CN"/>
              </w:rPr>
            </w:pPr>
            <w:r>
              <w:rPr>
                <w:rFonts w:hint="default" w:ascii="Times New Roman" w:hAnsi="Times New Roman" w:eastAsia="宋体" w:cs="Times New Roman"/>
                <w:b/>
                <w:bCs/>
                <w:color w:val="auto"/>
                <w:spacing w:val="0"/>
                <w:sz w:val="21"/>
                <w:szCs w:val="21"/>
              </w:rPr>
              <w:t>采样深度</w:t>
            </w:r>
            <w:r>
              <w:rPr>
                <w:rFonts w:hint="eastAsia" w:ascii="Times New Roman" w:hAnsi="Times New Roman" w:eastAsia="宋体" w:cs="Times New Roman"/>
                <w:b/>
                <w:bCs/>
                <w:color w:val="auto"/>
                <w:spacing w:val="0"/>
                <w:sz w:val="21"/>
                <w:szCs w:val="21"/>
                <w:lang w:eastAsia="zh-CN"/>
              </w:rPr>
              <w:t>（</w:t>
            </w:r>
            <w:r>
              <w:rPr>
                <w:rFonts w:hint="default" w:ascii="Times New Roman" w:hAnsi="Times New Roman" w:eastAsia="宋体" w:cs="Times New Roman"/>
                <w:b/>
                <w:bCs/>
                <w:color w:val="auto"/>
                <w:spacing w:val="0"/>
                <w:sz w:val="21"/>
                <w:szCs w:val="21"/>
              </w:rPr>
              <w:t>m</w:t>
            </w:r>
            <w:r>
              <w:rPr>
                <w:rFonts w:hint="eastAsia" w:ascii="Times New Roman" w:hAnsi="Times New Roman" w:eastAsia="宋体" w:cs="Times New Roman"/>
                <w:b/>
                <w:bCs/>
                <w:color w:val="auto"/>
                <w:spacing w:val="0"/>
                <w:sz w:val="21"/>
                <w:szCs w:val="21"/>
                <w:lang w:eastAsia="zh-CN"/>
              </w:rPr>
              <w:t>）</w:t>
            </w:r>
          </w:p>
        </w:tc>
        <w:tc>
          <w:tcPr>
            <w:tcW w:w="611" w:type="pct"/>
            <w:tcBorders>
              <w:tl2br w:val="nil"/>
              <w:tr2bl w:val="nil"/>
            </w:tcBorders>
            <w:noWrap w:val="0"/>
            <w:vAlign w:val="center"/>
          </w:tcPr>
          <w:p w14:paraId="5067CB53">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
                <w:bCs/>
                <w:color w:val="auto"/>
                <w:spacing w:val="0"/>
                <w:sz w:val="21"/>
                <w:szCs w:val="21"/>
              </w:rPr>
              <w:t>样品数</w:t>
            </w:r>
          </w:p>
        </w:tc>
      </w:tr>
      <w:tr w14:paraId="533B67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254" w:type="pct"/>
            <w:vMerge w:val="restart"/>
            <w:tcBorders>
              <w:tl2br w:val="nil"/>
              <w:tr2bl w:val="nil"/>
            </w:tcBorders>
            <w:noWrap w:val="0"/>
            <w:vAlign w:val="center"/>
          </w:tcPr>
          <w:p w14:paraId="1A9572BA">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1号废渣堆Ⅱ区</w:t>
            </w:r>
          </w:p>
        </w:tc>
        <w:tc>
          <w:tcPr>
            <w:tcW w:w="662" w:type="pct"/>
            <w:tcBorders>
              <w:tl2br w:val="nil"/>
              <w:tr2bl w:val="nil"/>
            </w:tcBorders>
            <w:noWrap w:val="0"/>
            <w:vAlign w:val="center"/>
          </w:tcPr>
          <w:p w14:paraId="517B733F">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ZK1-7</w:t>
            </w:r>
          </w:p>
        </w:tc>
        <w:tc>
          <w:tcPr>
            <w:tcW w:w="740" w:type="pct"/>
            <w:tcBorders>
              <w:tl2br w:val="nil"/>
              <w:tr2bl w:val="nil"/>
            </w:tcBorders>
            <w:noWrap w:val="0"/>
            <w:vAlign w:val="center"/>
          </w:tcPr>
          <w:p w14:paraId="1961FC96">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113.573384</w:t>
            </w:r>
          </w:p>
        </w:tc>
        <w:tc>
          <w:tcPr>
            <w:tcW w:w="901" w:type="pct"/>
            <w:tcBorders>
              <w:tl2br w:val="nil"/>
              <w:tr2bl w:val="nil"/>
            </w:tcBorders>
            <w:noWrap w:val="0"/>
            <w:vAlign w:val="center"/>
          </w:tcPr>
          <w:p w14:paraId="7DB435CE">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28.629452</w:t>
            </w:r>
          </w:p>
        </w:tc>
        <w:tc>
          <w:tcPr>
            <w:tcW w:w="829" w:type="pct"/>
            <w:tcBorders>
              <w:tl2br w:val="nil"/>
              <w:tr2bl w:val="nil"/>
            </w:tcBorders>
            <w:noWrap w:val="0"/>
            <w:vAlign w:val="center"/>
          </w:tcPr>
          <w:p w14:paraId="6C07F665">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5.1</w:t>
            </w:r>
          </w:p>
        </w:tc>
        <w:tc>
          <w:tcPr>
            <w:tcW w:w="611" w:type="pct"/>
            <w:tcBorders>
              <w:tl2br w:val="nil"/>
              <w:tr2bl w:val="nil"/>
            </w:tcBorders>
            <w:noWrap w:val="0"/>
            <w:vAlign w:val="center"/>
          </w:tcPr>
          <w:p w14:paraId="0BF4F61E">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710C70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1254" w:type="pct"/>
            <w:vMerge w:val="continue"/>
            <w:tcBorders>
              <w:tl2br w:val="nil"/>
              <w:tr2bl w:val="nil"/>
            </w:tcBorders>
            <w:noWrap w:val="0"/>
            <w:vAlign w:val="center"/>
          </w:tcPr>
          <w:p w14:paraId="5598EE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p>
        </w:tc>
        <w:tc>
          <w:tcPr>
            <w:tcW w:w="662" w:type="pct"/>
            <w:tcBorders>
              <w:tl2br w:val="nil"/>
              <w:tr2bl w:val="nil"/>
            </w:tcBorders>
            <w:noWrap w:val="0"/>
            <w:vAlign w:val="center"/>
          </w:tcPr>
          <w:p w14:paraId="72ED69DA">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ZK1-8</w:t>
            </w:r>
          </w:p>
        </w:tc>
        <w:tc>
          <w:tcPr>
            <w:tcW w:w="740" w:type="pct"/>
            <w:tcBorders>
              <w:tl2br w:val="nil"/>
              <w:tr2bl w:val="nil"/>
            </w:tcBorders>
            <w:noWrap w:val="0"/>
            <w:vAlign w:val="center"/>
          </w:tcPr>
          <w:p w14:paraId="3D84CED9">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113.573486</w:t>
            </w:r>
          </w:p>
        </w:tc>
        <w:tc>
          <w:tcPr>
            <w:tcW w:w="901" w:type="pct"/>
            <w:tcBorders>
              <w:tl2br w:val="nil"/>
              <w:tr2bl w:val="nil"/>
            </w:tcBorders>
            <w:noWrap w:val="0"/>
            <w:vAlign w:val="center"/>
          </w:tcPr>
          <w:p w14:paraId="19DC81CF">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28.629398</w:t>
            </w:r>
          </w:p>
        </w:tc>
        <w:tc>
          <w:tcPr>
            <w:tcW w:w="829" w:type="pct"/>
            <w:tcBorders>
              <w:tl2br w:val="nil"/>
              <w:tr2bl w:val="nil"/>
            </w:tcBorders>
            <w:noWrap w:val="0"/>
            <w:vAlign w:val="center"/>
          </w:tcPr>
          <w:p w14:paraId="289CDF2C">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5.3</w:t>
            </w:r>
          </w:p>
        </w:tc>
        <w:tc>
          <w:tcPr>
            <w:tcW w:w="611" w:type="pct"/>
            <w:tcBorders>
              <w:tl2br w:val="nil"/>
              <w:tr2bl w:val="nil"/>
            </w:tcBorders>
            <w:noWrap w:val="0"/>
            <w:vAlign w:val="center"/>
          </w:tcPr>
          <w:p w14:paraId="46F34559">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1E972B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254" w:type="pct"/>
            <w:vMerge w:val="restart"/>
            <w:tcBorders>
              <w:tl2br w:val="nil"/>
              <w:tr2bl w:val="nil"/>
            </w:tcBorders>
            <w:noWrap w:val="0"/>
            <w:vAlign w:val="center"/>
          </w:tcPr>
          <w:p w14:paraId="355D4A79">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1号废渣堆红线外1m内</w:t>
            </w:r>
          </w:p>
        </w:tc>
        <w:tc>
          <w:tcPr>
            <w:tcW w:w="662" w:type="pct"/>
            <w:tcBorders>
              <w:tl2br w:val="nil"/>
              <w:tr2bl w:val="nil"/>
            </w:tcBorders>
            <w:noWrap w:val="0"/>
            <w:vAlign w:val="center"/>
          </w:tcPr>
          <w:p w14:paraId="630B0566">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ZK1-6</w:t>
            </w:r>
          </w:p>
        </w:tc>
        <w:tc>
          <w:tcPr>
            <w:tcW w:w="740" w:type="pct"/>
            <w:tcBorders>
              <w:tl2br w:val="nil"/>
              <w:tr2bl w:val="nil"/>
            </w:tcBorders>
            <w:noWrap w:val="0"/>
            <w:vAlign w:val="center"/>
          </w:tcPr>
          <w:p w14:paraId="173B97D0">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113.573278</w:t>
            </w:r>
          </w:p>
        </w:tc>
        <w:tc>
          <w:tcPr>
            <w:tcW w:w="901" w:type="pct"/>
            <w:tcBorders>
              <w:tl2br w:val="nil"/>
              <w:tr2bl w:val="nil"/>
            </w:tcBorders>
            <w:noWrap w:val="0"/>
            <w:vAlign w:val="center"/>
          </w:tcPr>
          <w:p w14:paraId="44544C5A">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28.629589</w:t>
            </w:r>
          </w:p>
        </w:tc>
        <w:tc>
          <w:tcPr>
            <w:tcW w:w="829" w:type="pct"/>
            <w:tcBorders>
              <w:tl2br w:val="nil"/>
              <w:tr2bl w:val="nil"/>
            </w:tcBorders>
            <w:noWrap w:val="0"/>
            <w:vAlign w:val="center"/>
          </w:tcPr>
          <w:p w14:paraId="2D4030AD">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0~0.2</w:t>
            </w:r>
          </w:p>
        </w:tc>
        <w:tc>
          <w:tcPr>
            <w:tcW w:w="611" w:type="pct"/>
            <w:tcBorders>
              <w:tl2br w:val="nil"/>
              <w:tr2bl w:val="nil"/>
            </w:tcBorders>
            <w:noWrap w:val="0"/>
            <w:vAlign w:val="center"/>
          </w:tcPr>
          <w:p w14:paraId="7CC1BA86">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1C9157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1254" w:type="pct"/>
            <w:vMerge w:val="continue"/>
            <w:tcBorders>
              <w:tl2br w:val="nil"/>
              <w:tr2bl w:val="nil"/>
            </w:tcBorders>
            <w:noWrap w:val="0"/>
            <w:vAlign w:val="center"/>
          </w:tcPr>
          <w:p w14:paraId="1C9408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p>
        </w:tc>
        <w:tc>
          <w:tcPr>
            <w:tcW w:w="662" w:type="pct"/>
            <w:tcBorders>
              <w:tl2br w:val="nil"/>
              <w:tr2bl w:val="nil"/>
            </w:tcBorders>
            <w:noWrap w:val="0"/>
            <w:vAlign w:val="center"/>
          </w:tcPr>
          <w:p w14:paraId="090BA617">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ZK1-9</w:t>
            </w:r>
          </w:p>
        </w:tc>
        <w:tc>
          <w:tcPr>
            <w:tcW w:w="740" w:type="pct"/>
            <w:tcBorders>
              <w:tl2br w:val="nil"/>
              <w:tr2bl w:val="nil"/>
            </w:tcBorders>
            <w:noWrap w:val="0"/>
            <w:vAlign w:val="center"/>
          </w:tcPr>
          <w:p w14:paraId="000AC415">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113.573486</w:t>
            </w:r>
          </w:p>
        </w:tc>
        <w:tc>
          <w:tcPr>
            <w:tcW w:w="901" w:type="pct"/>
            <w:tcBorders>
              <w:tl2br w:val="nil"/>
              <w:tr2bl w:val="nil"/>
            </w:tcBorders>
            <w:noWrap w:val="0"/>
            <w:vAlign w:val="center"/>
          </w:tcPr>
          <w:p w14:paraId="072216AC">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28.629413</w:t>
            </w:r>
          </w:p>
        </w:tc>
        <w:tc>
          <w:tcPr>
            <w:tcW w:w="829" w:type="pct"/>
            <w:tcBorders>
              <w:tl2br w:val="nil"/>
              <w:tr2bl w:val="nil"/>
            </w:tcBorders>
            <w:noWrap w:val="0"/>
            <w:vAlign w:val="center"/>
          </w:tcPr>
          <w:p w14:paraId="78ADA73E">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0~0.2</w:t>
            </w:r>
          </w:p>
        </w:tc>
        <w:tc>
          <w:tcPr>
            <w:tcW w:w="611" w:type="pct"/>
            <w:tcBorders>
              <w:tl2br w:val="nil"/>
              <w:tr2bl w:val="nil"/>
            </w:tcBorders>
            <w:noWrap w:val="0"/>
            <w:vAlign w:val="center"/>
          </w:tcPr>
          <w:p w14:paraId="52665B30">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5AAAB9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254" w:type="pct"/>
            <w:vMerge w:val="continue"/>
            <w:tcBorders>
              <w:tl2br w:val="nil"/>
              <w:tr2bl w:val="nil"/>
            </w:tcBorders>
            <w:noWrap w:val="0"/>
            <w:vAlign w:val="center"/>
          </w:tcPr>
          <w:p w14:paraId="40A3F65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p>
        </w:tc>
        <w:tc>
          <w:tcPr>
            <w:tcW w:w="662" w:type="pct"/>
            <w:tcBorders>
              <w:tl2br w:val="nil"/>
              <w:tr2bl w:val="nil"/>
            </w:tcBorders>
            <w:noWrap w:val="0"/>
            <w:vAlign w:val="center"/>
          </w:tcPr>
          <w:p w14:paraId="523CD718">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ZK1-10</w:t>
            </w:r>
          </w:p>
        </w:tc>
        <w:tc>
          <w:tcPr>
            <w:tcW w:w="740" w:type="pct"/>
            <w:tcBorders>
              <w:tl2br w:val="nil"/>
              <w:tr2bl w:val="nil"/>
            </w:tcBorders>
            <w:noWrap w:val="0"/>
            <w:vAlign w:val="center"/>
          </w:tcPr>
          <w:p w14:paraId="76DBD597">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113.573462</w:t>
            </w:r>
          </w:p>
        </w:tc>
        <w:tc>
          <w:tcPr>
            <w:tcW w:w="901" w:type="pct"/>
            <w:tcBorders>
              <w:tl2br w:val="nil"/>
              <w:tr2bl w:val="nil"/>
            </w:tcBorders>
            <w:noWrap w:val="0"/>
            <w:vAlign w:val="center"/>
          </w:tcPr>
          <w:p w14:paraId="485ABFF2">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28.629522</w:t>
            </w:r>
          </w:p>
        </w:tc>
        <w:tc>
          <w:tcPr>
            <w:tcW w:w="829" w:type="pct"/>
            <w:tcBorders>
              <w:tl2br w:val="nil"/>
              <w:tr2bl w:val="nil"/>
            </w:tcBorders>
            <w:noWrap w:val="0"/>
            <w:vAlign w:val="center"/>
          </w:tcPr>
          <w:p w14:paraId="3BC33CC9">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0~0.2</w:t>
            </w:r>
          </w:p>
        </w:tc>
        <w:tc>
          <w:tcPr>
            <w:tcW w:w="611" w:type="pct"/>
            <w:tcBorders>
              <w:tl2br w:val="nil"/>
              <w:tr2bl w:val="nil"/>
            </w:tcBorders>
            <w:noWrap w:val="0"/>
            <w:vAlign w:val="center"/>
          </w:tcPr>
          <w:p w14:paraId="11F9C7B4">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5FBDE9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1254" w:type="pct"/>
            <w:vMerge w:val="continue"/>
            <w:tcBorders>
              <w:tl2br w:val="nil"/>
              <w:tr2bl w:val="nil"/>
            </w:tcBorders>
            <w:noWrap w:val="0"/>
            <w:vAlign w:val="center"/>
          </w:tcPr>
          <w:p w14:paraId="16C94F2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p>
        </w:tc>
        <w:tc>
          <w:tcPr>
            <w:tcW w:w="662" w:type="pct"/>
            <w:tcBorders>
              <w:tl2br w:val="nil"/>
              <w:tr2bl w:val="nil"/>
            </w:tcBorders>
            <w:noWrap w:val="0"/>
            <w:vAlign w:val="center"/>
          </w:tcPr>
          <w:p w14:paraId="3A1606D0">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ZK1-11</w:t>
            </w:r>
          </w:p>
        </w:tc>
        <w:tc>
          <w:tcPr>
            <w:tcW w:w="740" w:type="pct"/>
            <w:tcBorders>
              <w:tl2br w:val="nil"/>
              <w:tr2bl w:val="nil"/>
            </w:tcBorders>
            <w:noWrap w:val="0"/>
            <w:vAlign w:val="center"/>
          </w:tcPr>
          <w:p w14:paraId="1EACC532">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113.573278</w:t>
            </w:r>
          </w:p>
        </w:tc>
        <w:tc>
          <w:tcPr>
            <w:tcW w:w="901" w:type="pct"/>
            <w:tcBorders>
              <w:tl2br w:val="nil"/>
              <w:tr2bl w:val="nil"/>
            </w:tcBorders>
            <w:noWrap w:val="0"/>
            <w:vAlign w:val="center"/>
          </w:tcPr>
          <w:p w14:paraId="3D70B575">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28.629494</w:t>
            </w:r>
          </w:p>
        </w:tc>
        <w:tc>
          <w:tcPr>
            <w:tcW w:w="829" w:type="pct"/>
            <w:tcBorders>
              <w:tl2br w:val="nil"/>
              <w:tr2bl w:val="nil"/>
            </w:tcBorders>
            <w:noWrap w:val="0"/>
            <w:vAlign w:val="center"/>
          </w:tcPr>
          <w:p w14:paraId="5E08D61B">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0~0.2</w:t>
            </w:r>
          </w:p>
        </w:tc>
        <w:tc>
          <w:tcPr>
            <w:tcW w:w="611" w:type="pct"/>
            <w:tcBorders>
              <w:tl2br w:val="nil"/>
              <w:tr2bl w:val="nil"/>
            </w:tcBorders>
            <w:noWrap w:val="0"/>
            <w:vAlign w:val="center"/>
          </w:tcPr>
          <w:p w14:paraId="4B80ED24">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0D0CC3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1254" w:type="pct"/>
            <w:vMerge w:val="continue"/>
            <w:tcBorders>
              <w:tl2br w:val="nil"/>
              <w:tr2bl w:val="nil"/>
            </w:tcBorders>
            <w:noWrap w:val="0"/>
            <w:vAlign w:val="center"/>
          </w:tcPr>
          <w:p w14:paraId="467B7FA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p>
        </w:tc>
        <w:tc>
          <w:tcPr>
            <w:tcW w:w="662" w:type="pct"/>
            <w:tcBorders>
              <w:tl2br w:val="nil"/>
              <w:tr2bl w:val="nil"/>
            </w:tcBorders>
            <w:noWrap w:val="0"/>
            <w:vAlign w:val="center"/>
          </w:tcPr>
          <w:p w14:paraId="14E0150D">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ZK1-12</w:t>
            </w:r>
          </w:p>
        </w:tc>
        <w:tc>
          <w:tcPr>
            <w:tcW w:w="740" w:type="pct"/>
            <w:tcBorders>
              <w:tl2br w:val="nil"/>
              <w:tr2bl w:val="nil"/>
            </w:tcBorders>
            <w:noWrap w:val="0"/>
            <w:vAlign w:val="center"/>
          </w:tcPr>
          <w:p w14:paraId="56503C69">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113.573421</w:t>
            </w:r>
          </w:p>
        </w:tc>
        <w:tc>
          <w:tcPr>
            <w:tcW w:w="901" w:type="pct"/>
            <w:tcBorders>
              <w:tl2br w:val="nil"/>
              <w:tr2bl w:val="nil"/>
            </w:tcBorders>
            <w:noWrap w:val="0"/>
            <w:vAlign w:val="center"/>
          </w:tcPr>
          <w:p w14:paraId="715004B8">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28.629586</w:t>
            </w:r>
          </w:p>
        </w:tc>
        <w:tc>
          <w:tcPr>
            <w:tcW w:w="829" w:type="pct"/>
            <w:tcBorders>
              <w:tl2br w:val="nil"/>
              <w:tr2bl w:val="nil"/>
            </w:tcBorders>
            <w:noWrap w:val="0"/>
            <w:vAlign w:val="center"/>
          </w:tcPr>
          <w:p w14:paraId="69E202D5">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0~0.2</w:t>
            </w:r>
          </w:p>
        </w:tc>
        <w:tc>
          <w:tcPr>
            <w:tcW w:w="611" w:type="pct"/>
            <w:tcBorders>
              <w:tl2br w:val="nil"/>
              <w:tr2bl w:val="nil"/>
            </w:tcBorders>
            <w:noWrap w:val="0"/>
            <w:vAlign w:val="center"/>
          </w:tcPr>
          <w:p w14:paraId="00368C8C">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r w14:paraId="19BB05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1254" w:type="pct"/>
            <w:vMerge w:val="continue"/>
            <w:tcBorders>
              <w:tl2br w:val="nil"/>
              <w:tr2bl w:val="nil"/>
            </w:tcBorders>
            <w:noWrap w:val="0"/>
            <w:vAlign w:val="center"/>
          </w:tcPr>
          <w:p w14:paraId="70D1E8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p>
        </w:tc>
        <w:tc>
          <w:tcPr>
            <w:tcW w:w="662" w:type="pct"/>
            <w:tcBorders>
              <w:tl2br w:val="nil"/>
              <w:tr2bl w:val="nil"/>
            </w:tcBorders>
            <w:noWrap w:val="0"/>
            <w:vAlign w:val="center"/>
          </w:tcPr>
          <w:p w14:paraId="03EE29DD">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ZK1-13</w:t>
            </w:r>
          </w:p>
        </w:tc>
        <w:tc>
          <w:tcPr>
            <w:tcW w:w="740" w:type="pct"/>
            <w:tcBorders>
              <w:tl2br w:val="nil"/>
              <w:tr2bl w:val="nil"/>
            </w:tcBorders>
            <w:noWrap w:val="0"/>
            <w:vAlign w:val="center"/>
          </w:tcPr>
          <w:p w14:paraId="7F5BF47C">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113.573538</w:t>
            </w:r>
          </w:p>
        </w:tc>
        <w:tc>
          <w:tcPr>
            <w:tcW w:w="901" w:type="pct"/>
            <w:tcBorders>
              <w:tl2br w:val="nil"/>
              <w:tr2bl w:val="nil"/>
            </w:tcBorders>
            <w:noWrap w:val="0"/>
            <w:vAlign w:val="center"/>
          </w:tcPr>
          <w:p w14:paraId="761FECB8">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28.629349</w:t>
            </w:r>
          </w:p>
        </w:tc>
        <w:tc>
          <w:tcPr>
            <w:tcW w:w="829" w:type="pct"/>
            <w:tcBorders>
              <w:tl2br w:val="nil"/>
              <w:tr2bl w:val="nil"/>
            </w:tcBorders>
            <w:noWrap w:val="0"/>
            <w:vAlign w:val="center"/>
          </w:tcPr>
          <w:p w14:paraId="29215574">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0~0.2</w:t>
            </w:r>
          </w:p>
        </w:tc>
        <w:tc>
          <w:tcPr>
            <w:tcW w:w="611" w:type="pct"/>
            <w:tcBorders>
              <w:tl2br w:val="nil"/>
              <w:tr2bl w:val="nil"/>
            </w:tcBorders>
            <w:noWrap w:val="0"/>
            <w:vAlign w:val="center"/>
          </w:tcPr>
          <w:p w14:paraId="5EEDF196">
            <w:pPr>
              <w:pStyle w:val="19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r>
    </w:tbl>
    <w:p w14:paraId="292834D5">
      <w:pPr>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5718810" cy="3122295"/>
            <wp:effectExtent l="0" t="0" r="15240" b="1905"/>
            <wp:docPr id="15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0"/>
                    <pic:cNvPicPr>
                      <a:picLocks noChangeAspect="1"/>
                    </pic:cNvPicPr>
                  </pic:nvPicPr>
                  <pic:blipFill>
                    <a:blip r:embed="rId59"/>
                    <a:stretch>
                      <a:fillRect/>
                    </a:stretch>
                  </pic:blipFill>
                  <pic:spPr>
                    <a:xfrm>
                      <a:off x="0" y="0"/>
                      <a:ext cx="5718810" cy="3122295"/>
                    </a:xfrm>
                    <a:prstGeom prst="rect">
                      <a:avLst/>
                    </a:prstGeom>
                    <a:noFill/>
                    <a:ln>
                      <a:noFill/>
                    </a:ln>
                  </pic:spPr>
                </pic:pic>
              </a:graphicData>
            </a:graphic>
          </wp:inline>
        </w:drawing>
      </w:r>
    </w:p>
    <w:p w14:paraId="7B07CA21">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图3.1-8  万古村1#废渣堆补充采样布点图</w:t>
      </w:r>
    </w:p>
    <w:p w14:paraId="01CDCC0B">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表3.1-11  万古村2#废渣堆固废补充监测布点方案</w:t>
      </w:r>
    </w:p>
    <w:tbl>
      <w:tblPr>
        <w:tblStyle w:val="111"/>
        <w:tblW w:w="507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09"/>
        <w:gridCol w:w="1270"/>
        <w:gridCol w:w="1658"/>
        <w:gridCol w:w="1750"/>
        <w:gridCol w:w="1686"/>
        <w:gridCol w:w="1112"/>
      </w:tblGrid>
      <w:tr w14:paraId="194870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tcBorders>
              <w:tl2br w:val="nil"/>
              <w:tr2bl w:val="nil"/>
            </w:tcBorders>
            <w:noWrap w:val="0"/>
            <w:vAlign w:val="center"/>
          </w:tcPr>
          <w:p w14:paraId="455BC9A4">
            <w:pPr>
              <w:pStyle w:val="19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b/>
                <w:bCs/>
                <w:color w:val="auto"/>
                <w:spacing w:val="0"/>
                <w:sz w:val="21"/>
                <w:szCs w:val="21"/>
              </w:rPr>
              <w:t>区域</w:t>
            </w:r>
          </w:p>
        </w:tc>
        <w:tc>
          <w:tcPr>
            <w:tcW w:w="691" w:type="pct"/>
            <w:tcBorders>
              <w:tl2br w:val="nil"/>
              <w:tr2bl w:val="nil"/>
            </w:tcBorders>
            <w:noWrap w:val="0"/>
            <w:vAlign w:val="center"/>
          </w:tcPr>
          <w:p w14:paraId="174BAA92">
            <w:pPr>
              <w:pStyle w:val="19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b/>
                <w:bCs/>
                <w:color w:val="auto"/>
                <w:spacing w:val="0"/>
                <w:sz w:val="21"/>
                <w:szCs w:val="21"/>
              </w:rPr>
              <w:t>点位号</w:t>
            </w:r>
          </w:p>
        </w:tc>
        <w:tc>
          <w:tcPr>
            <w:tcW w:w="902" w:type="pct"/>
            <w:tcBorders>
              <w:tl2br w:val="nil"/>
              <w:tr2bl w:val="nil"/>
            </w:tcBorders>
            <w:noWrap w:val="0"/>
            <w:vAlign w:val="center"/>
          </w:tcPr>
          <w:p w14:paraId="10B99B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0"/>
                <w:kern w:val="2"/>
                <w:sz w:val="21"/>
                <w:szCs w:val="21"/>
                <w:highlight w:val="none"/>
                <w:vertAlign w:val="baseline"/>
                <w:lang w:val="en-US" w:eastAsia="zh-CN" w:bidi="ar-SA"/>
              </w:rPr>
            </w:pPr>
            <w:r>
              <w:rPr>
                <w:rFonts w:hint="default" w:ascii="Times New Roman" w:hAnsi="Times New Roman" w:cs="Times New Roman"/>
                <w:b/>
                <w:bCs/>
                <w:color w:val="auto"/>
                <w:spacing w:val="0"/>
                <w:sz w:val="21"/>
                <w:szCs w:val="21"/>
                <w:highlight w:val="none"/>
                <w:vertAlign w:val="baseline"/>
                <w:lang w:val="en-US" w:eastAsia="zh-CN"/>
              </w:rPr>
              <w:t>经度（°）</w:t>
            </w:r>
          </w:p>
        </w:tc>
        <w:tc>
          <w:tcPr>
            <w:tcW w:w="952" w:type="pct"/>
            <w:tcBorders>
              <w:tl2br w:val="nil"/>
              <w:tr2bl w:val="nil"/>
            </w:tcBorders>
            <w:noWrap w:val="0"/>
            <w:vAlign w:val="center"/>
          </w:tcPr>
          <w:p w14:paraId="4620FA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spacing w:val="0"/>
                <w:kern w:val="2"/>
                <w:sz w:val="21"/>
                <w:szCs w:val="21"/>
                <w:highlight w:val="none"/>
                <w:vertAlign w:val="baseline"/>
                <w:lang w:val="en-US" w:eastAsia="zh-CN" w:bidi="ar-SA"/>
              </w:rPr>
            </w:pPr>
            <w:r>
              <w:rPr>
                <w:rFonts w:hint="default" w:ascii="Times New Roman" w:hAnsi="Times New Roman" w:cs="Times New Roman"/>
                <w:b/>
                <w:bCs/>
                <w:color w:val="auto"/>
                <w:spacing w:val="0"/>
                <w:sz w:val="21"/>
                <w:szCs w:val="21"/>
                <w:highlight w:val="none"/>
                <w:vertAlign w:val="baseline"/>
                <w:lang w:val="en-US" w:eastAsia="zh-CN"/>
              </w:rPr>
              <w:t>纬度（°）</w:t>
            </w:r>
          </w:p>
        </w:tc>
        <w:tc>
          <w:tcPr>
            <w:tcW w:w="917" w:type="pct"/>
            <w:tcBorders>
              <w:tl2br w:val="nil"/>
              <w:tr2bl w:val="nil"/>
            </w:tcBorders>
            <w:noWrap w:val="0"/>
            <w:vAlign w:val="center"/>
          </w:tcPr>
          <w:p w14:paraId="283B4CD3">
            <w:pPr>
              <w:pStyle w:val="19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b/>
                <w:bCs/>
                <w:color w:val="auto"/>
                <w:spacing w:val="0"/>
                <w:sz w:val="21"/>
                <w:szCs w:val="21"/>
              </w:rPr>
              <w:t>采样深度</w:t>
            </w:r>
            <w:r>
              <w:rPr>
                <w:rFonts w:hint="eastAsia" w:ascii="Times New Roman" w:hAnsi="Times New Roman" w:eastAsia="宋体" w:cs="Times New Roman"/>
                <w:b/>
                <w:bCs/>
                <w:color w:val="auto"/>
                <w:spacing w:val="0"/>
                <w:sz w:val="21"/>
                <w:szCs w:val="21"/>
                <w:lang w:eastAsia="zh-CN"/>
              </w:rPr>
              <w:t>（</w:t>
            </w:r>
            <w:r>
              <w:rPr>
                <w:rFonts w:hint="default" w:ascii="Times New Roman" w:hAnsi="Times New Roman" w:eastAsia="宋体" w:cs="Times New Roman"/>
                <w:b/>
                <w:bCs/>
                <w:color w:val="auto"/>
                <w:spacing w:val="0"/>
                <w:sz w:val="21"/>
                <w:szCs w:val="21"/>
              </w:rPr>
              <w:t>m</w:t>
            </w:r>
            <w:r>
              <w:rPr>
                <w:rFonts w:hint="eastAsia" w:ascii="Times New Roman" w:hAnsi="Times New Roman" w:eastAsia="宋体" w:cs="Times New Roman"/>
                <w:b/>
                <w:bCs/>
                <w:color w:val="auto"/>
                <w:spacing w:val="0"/>
                <w:sz w:val="21"/>
                <w:szCs w:val="21"/>
                <w:lang w:eastAsia="zh-CN"/>
              </w:rPr>
              <w:t>）</w:t>
            </w:r>
          </w:p>
        </w:tc>
        <w:tc>
          <w:tcPr>
            <w:tcW w:w="605" w:type="pct"/>
            <w:tcBorders>
              <w:tl2br w:val="nil"/>
              <w:tr2bl w:val="nil"/>
            </w:tcBorders>
            <w:noWrap w:val="0"/>
            <w:vAlign w:val="center"/>
          </w:tcPr>
          <w:p w14:paraId="1C823EE4">
            <w:pPr>
              <w:pStyle w:val="19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b/>
                <w:bCs/>
                <w:color w:val="auto"/>
                <w:spacing w:val="0"/>
                <w:sz w:val="21"/>
                <w:szCs w:val="21"/>
              </w:rPr>
              <w:t>样品数</w:t>
            </w:r>
          </w:p>
        </w:tc>
      </w:tr>
      <w:tr w14:paraId="3071CD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tcBorders>
              <w:tl2br w:val="nil"/>
              <w:tr2bl w:val="nil"/>
            </w:tcBorders>
            <w:noWrap w:val="0"/>
            <w:vAlign w:val="center"/>
          </w:tcPr>
          <w:p w14:paraId="34BF541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2号废渣堆Ⅱ区</w:t>
            </w:r>
          </w:p>
        </w:tc>
        <w:tc>
          <w:tcPr>
            <w:tcW w:w="691" w:type="pct"/>
            <w:tcBorders>
              <w:tl2br w:val="nil"/>
              <w:tr2bl w:val="nil"/>
            </w:tcBorders>
            <w:noWrap w:val="0"/>
            <w:vAlign w:val="center"/>
          </w:tcPr>
          <w:p w14:paraId="4C1B5B6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ZK2-1</w:t>
            </w:r>
          </w:p>
        </w:tc>
        <w:tc>
          <w:tcPr>
            <w:tcW w:w="902" w:type="pct"/>
            <w:tcBorders>
              <w:tl2br w:val="nil"/>
              <w:tr2bl w:val="nil"/>
            </w:tcBorders>
            <w:noWrap w:val="0"/>
            <w:vAlign w:val="center"/>
          </w:tcPr>
          <w:p w14:paraId="2CBCE63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113.571919</w:t>
            </w:r>
          </w:p>
        </w:tc>
        <w:tc>
          <w:tcPr>
            <w:tcW w:w="952" w:type="pct"/>
            <w:tcBorders>
              <w:tl2br w:val="nil"/>
              <w:tr2bl w:val="nil"/>
            </w:tcBorders>
            <w:noWrap w:val="0"/>
            <w:vAlign w:val="center"/>
          </w:tcPr>
          <w:p w14:paraId="68A7CA9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28.628558</w:t>
            </w:r>
          </w:p>
        </w:tc>
        <w:tc>
          <w:tcPr>
            <w:tcW w:w="917" w:type="pct"/>
            <w:tcBorders>
              <w:tl2br w:val="nil"/>
              <w:tr2bl w:val="nil"/>
            </w:tcBorders>
            <w:noWrap w:val="0"/>
            <w:vAlign w:val="center"/>
          </w:tcPr>
          <w:p w14:paraId="5560847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4.8</w:t>
            </w:r>
          </w:p>
        </w:tc>
        <w:tc>
          <w:tcPr>
            <w:tcW w:w="605" w:type="pct"/>
            <w:tcBorders>
              <w:tl2br w:val="nil"/>
              <w:tr2bl w:val="nil"/>
            </w:tcBorders>
            <w:noWrap w:val="0"/>
            <w:vAlign w:val="center"/>
          </w:tcPr>
          <w:p w14:paraId="025980D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413A24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restart"/>
            <w:tcBorders>
              <w:tl2br w:val="nil"/>
              <w:tr2bl w:val="nil"/>
            </w:tcBorders>
            <w:noWrap w:val="0"/>
            <w:vAlign w:val="center"/>
          </w:tcPr>
          <w:p w14:paraId="289C2A4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2号废渣堆Ⅲ区</w:t>
            </w:r>
          </w:p>
        </w:tc>
        <w:tc>
          <w:tcPr>
            <w:tcW w:w="691" w:type="pct"/>
            <w:tcBorders>
              <w:tl2br w:val="nil"/>
              <w:tr2bl w:val="nil"/>
            </w:tcBorders>
            <w:noWrap w:val="0"/>
            <w:vAlign w:val="center"/>
          </w:tcPr>
          <w:p w14:paraId="00E1D77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ZK2-11</w:t>
            </w:r>
          </w:p>
        </w:tc>
        <w:tc>
          <w:tcPr>
            <w:tcW w:w="902" w:type="pct"/>
            <w:tcBorders>
              <w:tl2br w:val="nil"/>
              <w:tr2bl w:val="nil"/>
            </w:tcBorders>
            <w:noWrap w:val="0"/>
            <w:vAlign w:val="center"/>
          </w:tcPr>
          <w:p w14:paraId="2333C8C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113.571615</w:t>
            </w:r>
          </w:p>
        </w:tc>
        <w:tc>
          <w:tcPr>
            <w:tcW w:w="952" w:type="pct"/>
            <w:tcBorders>
              <w:tl2br w:val="nil"/>
              <w:tr2bl w:val="nil"/>
            </w:tcBorders>
            <w:noWrap w:val="0"/>
            <w:vAlign w:val="center"/>
          </w:tcPr>
          <w:p w14:paraId="0EBAA30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28.628689</w:t>
            </w:r>
          </w:p>
        </w:tc>
        <w:tc>
          <w:tcPr>
            <w:tcW w:w="917" w:type="pct"/>
            <w:tcBorders>
              <w:tl2br w:val="nil"/>
              <w:tr2bl w:val="nil"/>
            </w:tcBorders>
            <w:noWrap w:val="0"/>
            <w:vAlign w:val="center"/>
          </w:tcPr>
          <w:p w14:paraId="435A165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6.0</w:t>
            </w:r>
          </w:p>
        </w:tc>
        <w:tc>
          <w:tcPr>
            <w:tcW w:w="605" w:type="pct"/>
            <w:tcBorders>
              <w:tl2br w:val="nil"/>
              <w:tr2bl w:val="nil"/>
            </w:tcBorders>
            <w:noWrap w:val="0"/>
            <w:vAlign w:val="center"/>
          </w:tcPr>
          <w:p w14:paraId="137C8A5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232611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3A9370F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719E731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ZK2-19</w:t>
            </w:r>
          </w:p>
        </w:tc>
        <w:tc>
          <w:tcPr>
            <w:tcW w:w="902" w:type="pct"/>
            <w:tcBorders>
              <w:tl2br w:val="nil"/>
              <w:tr2bl w:val="nil"/>
            </w:tcBorders>
            <w:noWrap w:val="0"/>
            <w:vAlign w:val="center"/>
          </w:tcPr>
          <w:p w14:paraId="751BF33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113.572306</w:t>
            </w:r>
          </w:p>
        </w:tc>
        <w:tc>
          <w:tcPr>
            <w:tcW w:w="952" w:type="pct"/>
            <w:tcBorders>
              <w:tl2br w:val="nil"/>
              <w:tr2bl w:val="nil"/>
            </w:tcBorders>
            <w:noWrap w:val="0"/>
            <w:vAlign w:val="center"/>
          </w:tcPr>
          <w:p w14:paraId="1253304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28.627860</w:t>
            </w:r>
          </w:p>
        </w:tc>
        <w:tc>
          <w:tcPr>
            <w:tcW w:w="917" w:type="pct"/>
            <w:tcBorders>
              <w:tl2br w:val="nil"/>
              <w:tr2bl w:val="nil"/>
            </w:tcBorders>
            <w:noWrap w:val="0"/>
            <w:vAlign w:val="center"/>
          </w:tcPr>
          <w:p w14:paraId="1CE2EA5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6.0</w:t>
            </w:r>
          </w:p>
        </w:tc>
        <w:tc>
          <w:tcPr>
            <w:tcW w:w="605" w:type="pct"/>
            <w:tcBorders>
              <w:tl2br w:val="nil"/>
              <w:tr2bl w:val="nil"/>
            </w:tcBorders>
            <w:noWrap w:val="0"/>
            <w:vAlign w:val="center"/>
          </w:tcPr>
          <w:p w14:paraId="4757165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0CEDA2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240D78E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549996C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ZK2-33</w:t>
            </w:r>
          </w:p>
        </w:tc>
        <w:tc>
          <w:tcPr>
            <w:tcW w:w="902" w:type="pct"/>
            <w:tcBorders>
              <w:tl2br w:val="nil"/>
              <w:tr2bl w:val="nil"/>
            </w:tcBorders>
            <w:noWrap w:val="0"/>
            <w:vAlign w:val="center"/>
          </w:tcPr>
          <w:p w14:paraId="55D96CB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113.571456</w:t>
            </w:r>
          </w:p>
        </w:tc>
        <w:tc>
          <w:tcPr>
            <w:tcW w:w="952" w:type="pct"/>
            <w:tcBorders>
              <w:tl2br w:val="nil"/>
              <w:tr2bl w:val="nil"/>
            </w:tcBorders>
            <w:noWrap w:val="0"/>
            <w:vAlign w:val="center"/>
          </w:tcPr>
          <w:p w14:paraId="4C35483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28.628745</w:t>
            </w:r>
          </w:p>
        </w:tc>
        <w:tc>
          <w:tcPr>
            <w:tcW w:w="917" w:type="pct"/>
            <w:tcBorders>
              <w:tl2br w:val="nil"/>
              <w:tr2bl w:val="nil"/>
            </w:tcBorders>
            <w:noWrap w:val="0"/>
            <w:vAlign w:val="center"/>
          </w:tcPr>
          <w:p w14:paraId="1A8E2A8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6.0</w:t>
            </w:r>
          </w:p>
        </w:tc>
        <w:tc>
          <w:tcPr>
            <w:tcW w:w="605" w:type="pct"/>
            <w:tcBorders>
              <w:tl2br w:val="nil"/>
              <w:tr2bl w:val="nil"/>
            </w:tcBorders>
            <w:noWrap w:val="0"/>
            <w:vAlign w:val="center"/>
          </w:tcPr>
          <w:p w14:paraId="074C7BC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6428D8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tcBorders>
              <w:tl2br w:val="nil"/>
              <w:tr2bl w:val="nil"/>
            </w:tcBorders>
            <w:noWrap w:val="0"/>
            <w:vAlign w:val="center"/>
          </w:tcPr>
          <w:p w14:paraId="7FBFF80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2号废渣堆</w:t>
            </w:r>
            <w:r>
              <w:rPr>
                <w:rFonts w:hint="eastAsia" w:ascii="Times New Roman" w:hAnsi="Times New Roman" w:eastAsia="宋体" w:cs="Times New Roman"/>
                <w:b w:val="0"/>
                <w:bCs w:val="0"/>
                <w:color w:val="auto"/>
                <w:spacing w:val="0"/>
                <w:sz w:val="21"/>
                <w:szCs w:val="21"/>
                <w:lang w:eastAsia="zh-CN"/>
              </w:rPr>
              <w:t>Ⅳ</w:t>
            </w:r>
            <w:r>
              <w:rPr>
                <w:rFonts w:hint="default" w:ascii="Times New Roman" w:hAnsi="Times New Roman" w:eastAsia="宋体" w:cs="Times New Roman"/>
                <w:b w:val="0"/>
                <w:bCs w:val="0"/>
                <w:color w:val="auto"/>
                <w:spacing w:val="0"/>
                <w:sz w:val="21"/>
                <w:szCs w:val="21"/>
              </w:rPr>
              <w:t>区</w:t>
            </w:r>
          </w:p>
        </w:tc>
        <w:tc>
          <w:tcPr>
            <w:tcW w:w="691" w:type="pct"/>
            <w:tcBorders>
              <w:tl2br w:val="nil"/>
              <w:tr2bl w:val="nil"/>
            </w:tcBorders>
            <w:noWrap w:val="0"/>
            <w:vAlign w:val="center"/>
          </w:tcPr>
          <w:p w14:paraId="4617AE3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ZK2-34</w:t>
            </w:r>
          </w:p>
        </w:tc>
        <w:tc>
          <w:tcPr>
            <w:tcW w:w="902" w:type="pct"/>
            <w:tcBorders>
              <w:tl2br w:val="nil"/>
              <w:tr2bl w:val="nil"/>
            </w:tcBorders>
            <w:noWrap w:val="0"/>
            <w:vAlign w:val="center"/>
          </w:tcPr>
          <w:p w14:paraId="740AEF4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113.571407</w:t>
            </w:r>
          </w:p>
        </w:tc>
        <w:tc>
          <w:tcPr>
            <w:tcW w:w="952" w:type="pct"/>
            <w:tcBorders>
              <w:tl2br w:val="nil"/>
              <w:tr2bl w:val="nil"/>
            </w:tcBorders>
            <w:noWrap w:val="0"/>
            <w:vAlign w:val="center"/>
          </w:tcPr>
          <w:p w14:paraId="5D13869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28.628697</w:t>
            </w:r>
          </w:p>
        </w:tc>
        <w:tc>
          <w:tcPr>
            <w:tcW w:w="917" w:type="pct"/>
            <w:tcBorders>
              <w:tl2br w:val="nil"/>
              <w:tr2bl w:val="nil"/>
            </w:tcBorders>
            <w:noWrap w:val="0"/>
            <w:vAlign w:val="center"/>
          </w:tcPr>
          <w:p w14:paraId="1D958FE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3.2</w:t>
            </w:r>
          </w:p>
        </w:tc>
        <w:tc>
          <w:tcPr>
            <w:tcW w:w="605" w:type="pct"/>
            <w:tcBorders>
              <w:tl2br w:val="nil"/>
              <w:tr2bl w:val="nil"/>
            </w:tcBorders>
            <w:noWrap w:val="0"/>
            <w:vAlign w:val="center"/>
          </w:tcPr>
          <w:p w14:paraId="542CF67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0EF826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restart"/>
            <w:tcBorders>
              <w:tl2br w:val="nil"/>
              <w:tr2bl w:val="nil"/>
            </w:tcBorders>
            <w:noWrap w:val="0"/>
            <w:vAlign w:val="center"/>
          </w:tcPr>
          <w:p w14:paraId="1EB2F3D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2号废渣堆红线外1m内</w:t>
            </w:r>
          </w:p>
        </w:tc>
        <w:tc>
          <w:tcPr>
            <w:tcW w:w="691" w:type="pct"/>
            <w:tcBorders>
              <w:tl2br w:val="nil"/>
              <w:tr2bl w:val="nil"/>
            </w:tcBorders>
            <w:noWrap w:val="0"/>
            <w:vAlign w:val="center"/>
          </w:tcPr>
          <w:p w14:paraId="09B591D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ZK2-20</w:t>
            </w:r>
          </w:p>
        </w:tc>
        <w:tc>
          <w:tcPr>
            <w:tcW w:w="902" w:type="pct"/>
            <w:tcBorders>
              <w:tl2br w:val="nil"/>
              <w:tr2bl w:val="nil"/>
            </w:tcBorders>
            <w:noWrap w:val="0"/>
            <w:vAlign w:val="center"/>
          </w:tcPr>
          <w:p w14:paraId="6005562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113.572407</w:t>
            </w:r>
          </w:p>
        </w:tc>
        <w:tc>
          <w:tcPr>
            <w:tcW w:w="952" w:type="pct"/>
            <w:tcBorders>
              <w:tl2br w:val="nil"/>
              <w:tr2bl w:val="nil"/>
            </w:tcBorders>
            <w:noWrap w:val="0"/>
            <w:vAlign w:val="center"/>
          </w:tcPr>
          <w:p w14:paraId="06D71EA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28.627708</w:t>
            </w:r>
          </w:p>
        </w:tc>
        <w:tc>
          <w:tcPr>
            <w:tcW w:w="917" w:type="pct"/>
            <w:tcBorders>
              <w:tl2br w:val="nil"/>
              <w:tr2bl w:val="nil"/>
            </w:tcBorders>
            <w:noWrap w:val="0"/>
            <w:vAlign w:val="center"/>
          </w:tcPr>
          <w:p w14:paraId="09604C5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5DE6AF9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77F4E4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3F14A09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4965A6A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ZK2-21</w:t>
            </w:r>
          </w:p>
        </w:tc>
        <w:tc>
          <w:tcPr>
            <w:tcW w:w="902" w:type="pct"/>
            <w:tcBorders>
              <w:tl2br w:val="nil"/>
              <w:tr2bl w:val="nil"/>
            </w:tcBorders>
            <w:noWrap w:val="0"/>
            <w:vAlign w:val="center"/>
          </w:tcPr>
          <w:p w14:paraId="50E6765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113.572430</w:t>
            </w:r>
          </w:p>
        </w:tc>
        <w:tc>
          <w:tcPr>
            <w:tcW w:w="952" w:type="pct"/>
            <w:tcBorders>
              <w:tl2br w:val="nil"/>
              <w:tr2bl w:val="nil"/>
            </w:tcBorders>
            <w:noWrap w:val="0"/>
            <w:vAlign w:val="center"/>
          </w:tcPr>
          <w:p w14:paraId="0C0F746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28.627994</w:t>
            </w:r>
          </w:p>
        </w:tc>
        <w:tc>
          <w:tcPr>
            <w:tcW w:w="917" w:type="pct"/>
            <w:tcBorders>
              <w:tl2br w:val="nil"/>
              <w:tr2bl w:val="nil"/>
            </w:tcBorders>
            <w:noWrap w:val="0"/>
            <w:vAlign w:val="center"/>
          </w:tcPr>
          <w:p w14:paraId="20D83E3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4F87932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5AEEEE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32FA2EB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76842CB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ZK2-22</w:t>
            </w:r>
          </w:p>
        </w:tc>
        <w:tc>
          <w:tcPr>
            <w:tcW w:w="902" w:type="pct"/>
            <w:tcBorders>
              <w:tl2br w:val="nil"/>
              <w:tr2bl w:val="nil"/>
            </w:tcBorders>
            <w:noWrap w:val="0"/>
            <w:vAlign w:val="center"/>
          </w:tcPr>
          <w:p w14:paraId="55600AB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113.572372</w:t>
            </w:r>
          </w:p>
        </w:tc>
        <w:tc>
          <w:tcPr>
            <w:tcW w:w="952" w:type="pct"/>
            <w:tcBorders>
              <w:tl2br w:val="nil"/>
              <w:tr2bl w:val="nil"/>
            </w:tcBorders>
            <w:noWrap w:val="0"/>
            <w:vAlign w:val="center"/>
          </w:tcPr>
          <w:p w14:paraId="5E3480F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28.628024</w:t>
            </w:r>
          </w:p>
        </w:tc>
        <w:tc>
          <w:tcPr>
            <w:tcW w:w="917" w:type="pct"/>
            <w:tcBorders>
              <w:tl2br w:val="nil"/>
              <w:tr2bl w:val="nil"/>
            </w:tcBorders>
            <w:noWrap w:val="0"/>
            <w:vAlign w:val="center"/>
          </w:tcPr>
          <w:p w14:paraId="3BC0234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527DD16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677E91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012AB7C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21F4ED7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ZK2-23</w:t>
            </w:r>
          </w:p>
        </w:tc>
        <w:tc>
          <w:tcPr>
            <w:tcW w:w="902" w:type="pct"/>
            <w:tcBorders>
              <w:tl2br w:val="nil"/>
              <w:tr2bl w:val="nil"/>
            </w:tcBorders>
            <w:noWrap w:val="0"/>
            <w:vAlign w:val="center"/>
          </w:tcPr>
          <w:p w14:paraId="6315DFC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113.572325</w:t>
            </w:r>
          </w:p>
        </w:tc>
        <w:tc>
          <w:tcPr>
            <w:tcW w:w="952" w:type="pct"/>
            <w:tcBorders>
              <w:tl2br w:val="nil"/>
              <w:tr2bl w:val="nil"/>
            </w:tcBorders>
            <w:noWrap w:val="0"/>
            <w:vAlign w:val="center"/>
          </w:tcPr>
          <w:p w14:paraId="47A34F5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28.627825</w:t>
            </w:r>
          </w:p>
        </w:tc>
        <w:tc>
          <w:tcPr>
            <w:tcW w:w="917" w:type="pct"/>
            <w:tcBorders>
              <w:tl2br w:val="nil"/>
              <w:tr2bl w:val="nil"/>
            </w:tcBorders>
            <w:noWrap w:val="0"/>
            <w:vAlign w:val="center"/>
          </w:tcPr>
          <w:p w14:paraId="3E469E6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10D1902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6B9D8D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1ACF996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5214C10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ZK2-24</w:t>
            </w:r>
          </w:p>
        </w:tc>
        <w:tc>
          <w:tcPr>
            <w:tcW w:w="902" w:type="pct"/>
            <w:tcBorders>
              <w:tl2br w:val="nil"/>
              <w:tr2bl w:val="nil"/>
            </w:tcBorders>
            <w:noWrap w:val="0"/>
            <w:vAlign w:val="center"/>
          </w:tcPr>
          <w:p w14:paraId="697BDDC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113.571724</w:t>
            </w:r>
          </w:p>
        </w:tc>
        <w:tc>
          <w:tcPr>
            <w:tcW w:w="952" w:type="pct"/>
            <w:tcBorders>
              <w:tl2br w:val="nil"/>
              <w:tr2bl w:val="nil"/>
            </w:tcBorders>
            <w:noWrap w:val="0"/>
            <w:vAlign w:val="center"/>
          </w:tcPr>
          <w:p w14:paraId="33E2749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28.628004</w:t>
            </w:r>
          </w:p>
        </w:tc>
        <w:tc>
          <w:tcPr>
            <w:tcW w:w="917" w:type="pct"/>
            <w:tcBorders>
              <w:tl2br w:val="nil"/>
              <w:tr2bl w:val="nil"/>
            </w:tcBorders>
            <w:noWrap w:val="0"/>
            <w:vAlign w:val="center"/>
          </w:tcPr>
          <w:p w14:paraId="621FFA3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542E0AD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4752CC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1CCD5FE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7F24A81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ZK2-25</w:t>
            </w:r>
          </w:p>
        </w:tc>
        <w:tc>
          <w:tcPr>
            <w:tcW w:w="902" w:type="pct"/>
            <w:tcBorders>
              <w:tl2br w:val="nil"/>
              <w:tr2bl w:val="nil"/>
            </w:tcBorders>
            <w:noWrap w:val="0"/>
            <w:vAlign w:val="center"/>
          </w:tcPr>
          <w:p w14:paraId="75F892B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113.572046</w:t>
            </w:r>
          </w:p>
        </w:tc>
        <w:tc>
          <w:tcPr>
            <w:tcW w:w="952" w:type="pct"/>
            <w:tcBorders>
              <w:tl2br w:val="nil"/>
              <w:tr2bl w:val="nil"/>
            </w:tcBorders>
            <w:noWrap w:val="0"/>
            <w:vAlign w:val="center"/>
          </w:tcPr>
          <w:p w14:paraId="08B1492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28.628441</w:t>
            </w:r>
          </w:p>
        </w:tc>
        <w:tc>
          <w:tcPr>
            <w:tcW w:w="917" w:type="pct"/>
            <w:tcBorders>
              <w:tl2br w:val="nil"/>
              <w:tr2bl w:val="nil"/>
            </w:tcBorders>
            <w:noWrap w:val="0"/>
            <w:vAlign w:val="center"/>
          </w:tcPr>
          <w:p w14:paraId="465A6EB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1B70E0E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3DB823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531DAF3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7849049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ZK2-26</w:t>
            </w:r>
          </w:p>
        </w:tc>
        <w:tc>
          <w:tcPr>
            <w:tcW w:w="902" w:type="pct"/>
            <w:tcBorders>
              <w:tl2br w:val="nil"/>
              <w:tr2bl w:val="nil"/>
            </w:tcBorders>
            <w:noWrap w:val="0"/>
            <w:vAlign w:val="center"/>
          </w:tcPr>
          <w:p w14:paraId="4647EA2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113.571872</w:t>
            </w:r>
          </w:p>
        </w:tc>
        <w:tc>
          <w:tcPr>
            <w:tcW w:w="952" w:type="pct"/>
            <w:tcBorders>
              <w:tl2br w:val="nil"/>
              <w:tr2bl w:val="nil"/>
            </w:tcBorders>
            <w:noWrap w:val="0"/>
            <w:vAlign w:val="center"/>
          </w:tcPr>
          <w:p w14:paraId="2FB954C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28.628416</w:t>
            </w:r>
          </w:p>
        </w:tc>
        <w:tc>
          <w:tcPr>
            <w:tcW w:w="917" w:type="pct"/>
            <w:tcBorders>
              <w:tl2br w:val="nil"/>
              <w:tr2bl w:val="nil"/>
            </w:tcBorders>
            <w:noWrap w:val="0"/>
            <w:vAlign w:val="center"/>
          </w:tcPr>
          <w:p w14:paraId="2ECE25A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638A497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776EFD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3973E79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1A3A523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ZK2-27</w:t>
            </w:r>
          </w:p>
        </w:tc>
        <w:tc>
          <w:tcPr>
            <w:tcW w:w="902" w:type="pct"/>
            <w:tcBorders>
              <w:tl2br w:val="nil"/>
              <w:tr2bl w:val="nil"/>
            </w:tcBorders>
            <w:noWrap w:val="0"/>
            <w:vAlign w:val="center"/>
          </w:tcPr>
          <w:p w14:paraId="27726EB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113.571714</w:t>
            </w:r>
          </w:p>
        </w:tc>
        <w:tc>
          <w:tcPr>
            <w:tcW w:w="952" w:type="pct"/>
            <w:tcBorders>
              <w:tl2br w:val="nil"/>
              <w:tr2bl w:val="nil"/>
            </w:tcBorders>
            <w:noWrap w:val="0"/>
            <w:vAlign w:val="center"/>
          </w:tcPr>
          <w:p w14:paraId="4BB333B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28.628477</w:t>
            </w:r>
          </w:p>
        </w:tc>
        <w:tc>
          <w:tcPr>
            <w:tcW w:w="917" w:type="pct"/>
            <w:tcBorders>
              <w:tl2br w:val="nil"/>
              <w:tr2bl w:val="nil"/>
            </w:tcBorders>
            <w:noWrap w:val="0"/>
            <w:vAlign w:val="center"/>
          </w:tcPr>
          <w:p w14:paraId="77EFE6C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7F0EEDD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31312B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411B3E5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342C57F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ZK2-28</w:t>
            </w:r>
          </w:p>
        </w:tc>
        <w:tc>
          <w:tcPr>
            <w:tcW w:w="902" w:type="pct"/>
            <w:tcBorders>
              <w:tl2br w:val="nil"/>
              <w:tr2bl w:val="nil"/>
            </w:tcBorders>
            <w:noWrap w:val="0"/>
            <w:vAlign w:val="center"/>
          </w:tcPr>
          <w:p w14:paraId="4F800C7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113.571906</w:t>
            </w:r>
          </w:p>
        </w:tc>
        <w:tc>
          <w:tcPr>
            <w:tcW w:w="952" w:type="pct"/>
            <w:tcBorders>
              <w:tl2br w:val="nil"/>
              <w:tr2bl w:val="nil"/>
            </w:tcBorders>
            <w:noWrap w:val="0"/>
            <w:vAlign w:val="center"/>
          </w:tcPr>
          <w:p w14:paraId="1A950C8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28.628528</w:t>
            </w:r>
          </w:p>
        </w:tc>
        <w:tc>
          <w:tcPr>
            <w:tcW w:w="917" w:type="pct"/>
            <w:tcBorders>
              <w:tl2br w:val="nil"/>
              <w:tr2bl w:val="nil"/>
            </w:tcBorders>
            <w:noWrap w:val="0"/>
            <w:vAlign w:val="center"/>
          </w:tcPr>
          <w:p w14:paraId="4367F8E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48B9E83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28ABF6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2297B11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07E8C63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ZK2-29</w:t>
            </w:r>
          </w:p>
        </w:tc>
        <w:tc>
          <w:tcPr>
            <w:tcW w:w="902" w:type="pct"/>
            <w:tcBorders>
              <w:tl2br w:val="nil"/>
              <w:tr2bl w:val="nil"/>
            </w:tcBorders>
            <w:noWrap w:val="0"/>
            <w:vAlign w:val="center"/>
          </w:tcPr>
          <w:p w14:paraId="5AAF274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113.572308</w:t>
            </w:r>
          </w:p>
        </w:tc>
        <w:tc>
          <w:tcPr>
            <w:tcW w:w="952" w:type="pct"/>
            <w:tcBorders>
              <w:tl2br w:val="nil"/>
              <w:tr2bl w:val="nil"/>
            </w:tcBorders>
            <w:noWrap w:val="0"/>
            <w:vAlign w:val="center"/>
          </w:tcPr>
          <w:p w14:paraId="56B585F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28.628814</w:t>
            </w:r>
          </w:p>
        </w:tc>
        <w:tc>
          <w:tcPr>
            <w:tcW w:w="917" w:type="pct"/>
            <w:tcBorders>
              <w:tl2br w:val="nil"/>
              <w:tr2bl w:val="nil"/>
            </w:tcBorders>
            <w:noWrap w:val="0"/>
            <w:vAlign w:val="center"/>
          </w:tcPr>
          <w:p w14:paraId="2A35E7F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41A9ACE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119582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78136A2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1B19459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ZK2-30</w:t>
            </w:r>
          </w:p>
        </w:tc>
        <w:tc>
          <w:tcPr>
            <w:tcW w:w="902" w:type="pct"/>
            <w:tcBorders>
              <w:tl2br w:val="nil"/>
              <w:tr2bl w:val="nil"/>
            </w:tcBorders>
            <w:noWrap w:val="0"/>
            <w:vAlign w:val="center"/>
          </w:tcPr>
          <w:p w14:paraId="6AC912C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113.572147</w:t>
            </w:r>
          </w:p>
        </w:tc>
        <w:tc>
          <w:tcPr>
            <w:tcW w:w="952" w:type="pct"/>
            <w:tcBorders>
              <w:tl2br w:val="nil"/>
              <w:tr2bl w:val="nil"/>
            </w:tcBorders>
            <w:noWrap w:val="0"/>
            <w:vAlign w:val="center"/>
          </w:tcPr>
          <w:p w14:paraId="07325AF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28.628820</w:t>
            </w:r>
          </w:p>
        </w:tc>
        <w:tc>
          <w:tcPr>
            <w:tcW w:w="917" w:type="pct"/>
            <w:tcBorders>
              <w:tl2br w:val="nil"/>
              <w:tr2bl w:val="nil"/>
            </w:tcBorders>
            <w:noWrap w:val="0"/>
            <w:vAlign w:val="center"/>
          </w:tcPr>
          <w:p w14:paraId="5A73C3F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72680BE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43AC8C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1D1A013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193ED21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ZK2-31</w:t>
            </w:r>
          </w:p>
        </w:tc>
        <w:tc>
          <w:tcPr>
            <w:tcW w:w="902" w:type="pct"/>
            <w:tcBorders>
              <w:tl2br w:val="nil"/>
              <w:tr2bl w:val="nil"/>
            </w:tcBorders>
            <w:noWrap w:val="0"/>
            <w:vAlign w:val="center"/>
          </w:tcPr>
          <w:p w14:paraId="50957C3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113.571931</w:t>
            </w:r>
          </w:p>
        </w:tc>
        <w:tc>
          <w:tcPr>
            <w:tcW w:w="952" w:type="pct"/>
            <w:tcBorders>
              <w:tl2br w:val="nil"/>
              <w:tr2bl w:val="nil"/>
            </w:tcBorders>
            <w:noWrap w:val="0"/>
            <w:vAlign w:val="center"/>
          </w:tcPr>
          <w:p w14:paraId="30731A7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28.628727</w:t>
            </w:r>
          </w:p>
        </w:tc>
        <w:tc>
          <w:tcPr>
            <w:tcW w:w="917" w:type="pct"/>
            <w:tcBorders>
              <w:tl2br w:val="nil"/>
              <w:tr2bl w:val="nil"/>
            </w:tcBorders>
            <w:noWrap w:val="0"/>
            <w:vAlign w:val="center"/>
          </w:tcPr>
          <w:p w14:paraId="2CC97E7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5BCD4F2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1483AC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2509291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335FBC1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ZK2-32</w:t>
            </w:r>
          </w:p>
        </w:tc>
        <w:tc>
          <w:tcPr>
            <w:tcW w:w="902" w:type="pct"/>
            <w:tcBorders>
              <w:tl2br w:val="nil"/>
              <w:tr2bl w:val="nil"/>
            </w:tcBorders>
            <w:noWrap w:val="0"/>
            <w:vAlign w:val="center"/>
          </w:tcPr>
          <w:p w14:paraId="4F03CE0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113.571586</w:t>
            </w:r>
          </w:p>
        </w:tc>
        <w:tc>
          <w:tcPr>
            <w:tcW w:w="952" w:type="pct"/>
            <w:tcBorders>
              <w:tl2br w:val="nil"/>
              <w:tr2bl w:val="nil"/>
            </w:tcBorders>
            <w:noWrap w:val="0"/>
            <w:vAlign w:val="center"/>
          </w:tcPr>
          <w:p w14:paraId="24B470A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28.628834</w:t>
            </w:r>
          </w:p>
        </w:tc>
        <w:tc>
          <w:tcPr>
            <w:tcW w:w="917" w:type="pct"/>
            <w:tcBorders>
              <w:tl2br w:val="nil"/>
              <w:tr2bl w:val="nil"/>
            </w:tcBorders>
            <w:noWrap w:val="0"/>
            <w:vAlign w:val="center"/>
          </w:tcPr>
          <w:p w14:paraId="5759D15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5879890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5D950F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930" w:type="pct"/>
            <w:vMerge w:val="continue"/>
            <w:tcBorders>
              <w:tl2br w:val="nil"/>
              <w:tr2bl w:val="nil"/>
            </w:tcBorders>
            <w:noWrap w:val="0"/>
            <w:vAlign w:val="center"/>
          </w:tcPr>
          <w:p w14:paraId="2AD46CE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691" w:type="pct"/>
            <w:tcBorders>
              <w:tl2br w:val="nil"/>
              <w:tr2bl w:val="nil"/>
            </w:tcBorders>
            <w:noWrap w:val="0"/>
            <w:vAlign w:val="center"/>
          </w:tcPr>
          <w:p w14:paraId="67E2046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ZK2-35</w:t>
            </w:r>
          </w:p>
        </w:tc>
        <w:tc>
          <w:tcPr>
            <w:tcW w:w="902" w:type="pct"/>
            <w:tcBorders>
              <w:tl2br w:val="nil"/>
              <w:tr2bl w:val="nil"/>
            </w:tcBorders>
            <w:noWrap w:val="0"/>
            <w:vAlign w:val="center"/>
          </w:tcPr>
          <w:p w14:paraId="1766241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113.571247</w:t>
            </w:r>
          </w:p>
        </w:tc>
        <w:tc>
          <w:tcPr>
            <w:tcW w:w="952" w:type="pct"/>
            <w:tcBorders>
              <w:tl2br w:val="nil"/>
              <w:tr2bl w:val="nil"/>
            </w:tcBorders>
            <w:noWrap w:val="0"/>
            <w:vAlign w:val="center"/>
          </w:tcPr>
          <w:p w14:paraId="5FEC353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28.628825</w:t>
            </w:r>
          </w:p>
        </w:tc>
        <w:tc>
          <w:tcPr>
            <w:tcW w:w="917" w:type="pct"/>
            <w:tcBorders>
              <w:tl2br w:val="nil"/>
              <w:tr2bl w:val="nil"/>
            </w:tcBorders>
            <w:noWrap w:val="0"/>
            <w:vAlign w:val="center"/>
          </w:tcPr>
          <w:p w14:paraId="5882A5B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605" w:type="pct"/>
            <w:tcBorders>
              <w:tl2br w:val="nil"/>
              <w:tr2bl w:val="nil"/>
            </w:tcBorders>
            <w:noWrap w:val="0"/>
            <w:vAlign w:val="center"/>
          </w:tcPr>
          <w:p w14:paraId="368B2E9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bl>
    <w:p w14:paraId="5704AE5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bCs/>
          <w:sz w:val="21"/>
          <w:szCs w:val="21"/>
          <w:highlight w:val="yellow"/>
          <w:lang w:val="en-US" w:eastAsia="zh-CN"/>
        </w:rPr>
      </w:pPr>
      <w:r>
        <w:rPr>
          <w:sz w:val="21"/>
          <w:szCs w:val="21"/>
        </w:rPr>
        <w:drawing>
          <wp:inline distT="0" distB="0" distL="114300" distR="114300">
            <wp:extent cx="5722620" cy="3119755"/>
            <wp:effectExtent l="0" t="0" r="11430" b="4445"/>
            <wp:docPr id="15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1"/>
                    <pic:cNvPicPr>
                      <a:picLocks noChangeAspect="1"/>
                    </pic:cNvPicPr>
                  </pic:nvPicPr>
                  <pic:blipFill>
                    <a:blip r:embed="rId60"/>
                    <a:stretch>
                      <a:fillRect/>
                    </a:stretch>
                  </pic:blipFill>
                  <pic:spPr>
                    <a:xfrm>
                      <a:off x="0" y="0"/>
                      <a:ext cx="5722620" cy="3119755"/>
                    </a:xfrm>
                    <a:prstGeom prst="rect">
                      <a:avLst/>
                    </a:prstGeom>
                    <a:noFill/>
                    <a:ln>
                      <a:noFill/>
                    </a:ln>
                  </pic:spPr>
                </pic:pic>
              </a:graphicData>
            </a:graphic>
          </wp:inline>
        </w:drawing>
      </w:r>
    </w:p>
    <w:p w14:paraId="04E1774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图3.1-9  万古村2#废渣堆补充采样布点图（1）</w:t>
      </w:r>
    </w:p>
    <w:p w14:paraId="2FB0C24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bCs/>
          <w:sz w:val="21"/>
          <w:szCs w:val="21"/>
          <w:highlight w:val="none"/>
          <w:lang w:val="en-US" w:eastAsia="zh-CN"/>
        </w:rPr>
      </w:pPr>
      <w:r>
        <w:rPr>
          <w:sz w:val="24"/>
        </w:rPr>
        <mc:AlternateContent>
          <mc:Choice Requires="wps">
            <w:drawing>
              <wp:anchor distT="0" distB="0" distL="114300" distR="114300" simplePos="0" relativeHeight="251667456" behindDoc="0" locked="0" layoutInCell="1" allowOverlap="1">
                <wp:simplePos x="0" y="0"/>
                <wp:positionH relativeFrom="column">
                  <wp:posOffset>920750</wp:posOffset>
                </wp:positionH>
                <wp:positionV relativeFrom="paragraph">
                  <wp:posOffset>1001395</wp:posOffset>
                </wp:positionV>
                <wp:extent cx="584200" cy="316865"/>
                <wp:effectExtent l="0" t="0" r="0" b="0"/>
                <wp:wrapNone/>
                <wp:docPr id="158" name="文本框 158"/>
                <wp:cNvGraphicFramePr/>
                <a:graphic xmlns:a="http://schemas.openxmlformats.org/drawingml/2006/main">
                  <a:graphicData uri="http://schemas.microsoft.com/office/word/2010/wordprocessingShape">
                    <wps:wsp>
                      <wps:cNvSpPr txBox="1"/>
                      <wps:spPr>
                        <a:xfrm>
                          <a:off x="2040890" y="8942070"/>
                          <a:ext cx="584200" cy="316865"/>
                        </a:xfrm>
                        <a:prstGeom prst="rect">
                          <a:avLst/>
                        </a:prstGeom>
                        <a:noFill/>
                        <a:ln w="6350">
                          <a:noFill/>
                        </a:ln>
                        <a:effectLst/>
                      </wps:spPr>
                      <wps:txbx>
                        <w:txbxContent>
                          <w:p w14:paraId="61E134A6">
                            <w:pPr>
                              <w:spacing w:line="240" w:lineRule="auto"/>
                              <w:ind w:left="0" w:leftChars="0" w:firstLine="0" w:firstLineChars="0"/>
                              <w:rPr>
                                <w:rFonts w:hint="default" w:eastAsia="宋体"/>
                                <w:color w:val="FFFFFF"/>
                                <w:sz w:val="16"/>
                                <w:szCs w:val="16"/>
                                <w:lang w:val="en-US" w:eastAsia="zh-CN"/>
                              </w:rPr>
                            </w:pPr>
                            <w:r>
                              <w:rPr>
                                <w:rFonts w:hint="eastAsia"/>
                                <w:color w:val="FFFFFF"/>
                                <w:sz w:val="16"/>
                                <w:szCs w:val="16"/>
                                <w:lang w:val="en-US" w:eastAsia="zh-CN"/>
                              </w:rPr>
                              <w:t>ZK2-24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5pt;margin-top:78.85pt;height:24.95pt;width:46pt;z-index:251667456;mso-width-relative:page;mso-height-relative:page;" filled="f" stroked="f" coordsize="21600,21600" o:gfxdata="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HQHHNoAAAALAQAADwAA&#10;AAAAAAABACAAAAAiAAAAZHJzL2Rvd25yZXYueG1sUEsBAhQAFAAAAAgAh07iQCgj9hRNAgAAgwQA&#10;AA4AAAAAAAAAAQAgAAAAKQEAAGRycy9lMm9Eb2MueG1sUEsFBgAAAAAGAAYAWQEAAOgFAAAAAA==&#10;">
                <v:fill on="f" focussize="0,0"/>
                <v:stroke on="f" weight="0.5pt"/>
                <v:imagedata o:title=""/>
                <o:lock v:ext="edit" aspectratio="f"/>
                <v:textbox>
                  <w:txbxContent>
                    <w:p w14:paraId="61E134A6">
                      <w:pPr>
                        <w:spacing w:line="240" w:lineRule="auto"/>
                        <w:ind w:left="0" w:leftChars="0" w:firstLine="0" w:firstLineChars="0"/>
                        <w:rPr>
                          <w:rFonts w:hint="default" w:eastAsia="宋体"/>
                          <w:color w:val="FFFFFF"/>
                          <w:sz w:val="16"/>
                          <w:szCs w:val="16"/>
                          <w:lang w:val="en-US" w:eastAsia="zh-CN"/>
                        </w:rPr>
                      </w:pPr>
                      <w:r>
                        <w:rPr>
                          <w:rFonts w:hint="eastAsia"/>
                          <w:color w:val="FFFFFF"/>
                          <w:sz w:val="16"/>
                          <w:szCs w:val="16"/>
                          <w:lang w:val="en-US" w:eastAsia="zh-CN"/>
                        </w:rPr>
                        <w:t>ZK2-24</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983615</wp:posOffset>
                </wp:positionH>
                <wp:positionV relativeFrom="paragraph">
                  <wp:posOffset>1016000</wp:posOffset>
                </wp:positionV>
                <wp:extent cx="76200" cy="76200"/>
                <wp:effectExtent l="6350" t="6350" r="12700" b="12700"/>
                <wp:wrapNone/>
                <wp:docPr id="159" name="椭圆 159"/>
                <wp:cNvGraphicFramePr/>
                <a:graphic xmlns:a="http://schemas.openxmlformats.org/drawingml/2006/main">
                  <a:graphicData uri="http://schemas.microsoft.com/office/word/2010/wordprocessingShape">
                    <wps:wsp>
                      <wps:cNvSpPr/>
                      <wps:spPr>
                        <a:xfrm>
                          <a:off x="1864360" y="8890635"/>
                          <a:ext cx="76200" cy="76200"/>
                        </a:xfrm>
                        <a:prstGeom prst="ellipse">
                          <a:avLst/>
                        </a:prstGeom>
                        <a:noFill/>
                        <a:ln w="12700" cap="flat" cmpd="sng" algn="ctr">
                          <a:solidFill>
                            <a:srgbClr val="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7.45pt;margin-top:80pt;height:6pt;width:6pt;z-index:251666432;v-text-anchor:middle;mso-width-relative:page;mso-height-relative:page;" filled="f" stroked="t" coordsize="21600,21600" o:gfxdata="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3FuyvWAAAACwEAAA8AAAAAAAAAAQAgAAAAIgAA&#10;AGRycy9kb3ducmV2LnhtbFBLAQIUABQAAAAIAIdO4kB7aTeDfAIAAOkEAAAOAAAAAAAAAAEAIAAA&#10;ACUBAABkcnMvZTJvRG9jLnhtbFBLBQYAAAAABgAGAFkBAAATBgAAAAA=&#10;">
                <v:fill on="f" focussize="0,0"/>
                <v:stroke weight="1pt" color="#FFFFFF" miterlimit="8" joinstyle="miter"/>
                <v:imagedata o:title=""/>
                <o:lock v:ext="edit" aspectratio="f"/>
              </v:shape>
            </w:pict>
          </mc:Fallback>
        </mc:AlternateContent>
      </w:r>
      <w:r>
        <w:drawing>
          <wp:inline distT="0" distB="0" distL="114300" distR="114300">
            <wp:extent cx="5715635" cy="2880995"/>
            <wp:effectExtent l="0" t="0" r="18415" b="14605"/>
            <wp:docPr id="16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2"/>
                    <pic:cNvPicPr>
                      <a:picLocks noChangeAspect="1"/>
                    </pic:cNvPicPr>
                  </pic:nvPicPr>
                  <pic:blipFill>
                    <a:blip r:embed="rId61"/>
                    <a:stretch>
                      <a:fillRect/>
                    </a:stretch>
                  </pic:blipFill>
                  <pic:spPr>
                    <a:xfrm>
                      <a:off x="0" y="0"/>
                      <a:ext cx="5715635" cy="2880995"/>
                    </a:xfrm>
                    <a:prstGeom prst="rect">
                      <a:avLst/>
                    </a:prstGeom>
                    <a:noFill/>
                    <a:ln>
                      <a:noFill/>
                    </a:ln>
                  </pic:spPr>
                </pic:pic>
              </a:graphicData>
            </a:graphic>
          </wp:inline>
        </w:drawing>
      </w:r>
    </w:p>
    <w:p w14:paraId="20684A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图3.1-10  万古村2#废渣堆补充采样布点图（2）</w:t>
      </w:r>
    </w:p>
    <w:p w14:paraId="07F07185">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表3.1-12  万古水库废渣堆固废补充监测布点方案</w:t>
      </w:r>
    </w:p>
    <w:tbl>
      <w:tblPr>
        <w:tblStyle w:val="111"/>
        <w:tblW w:w="5062"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69"/>
        <w:gridCol w:w="1596"/>
        <w:gridCol w:w="1827"/>
        <w:gridCol w:w="1754"/>
        <w:gridCol w:w="1336"/>
        <w:gridCol w:w="1076"/>
      </w:tblGrid>
      <w:tr w14:paraId="197623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856" w:type="pct"/>
            <w:tcBorders>
              <w:tl2br w:val="nil"/>
              <w:tr2bl w:val="nil"/>
            </w:tcBorders>
            <w:noWrap w:val="0"/>
            <w:vAlign w:val="center"/>
          </w:tcPr>
          <w:p w14:paraId="404C7B8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区域</w:t>
            </w:r>
          </w:p>
        </w:tc>
        <w:tc>
          <w:tcPr>
            <w:tcW w:w="871" w:type="pct"/>
            <w:tcBorders>
              <w:tl2br w:val="nil"/>
              <w:tr2bl w:val="nil"/>
            </w:tcBorders>
            <w:noWrap w:val="0"/>
            <w:vAlign w:val="center"/>
          </w:tcPr>
          <w:p w14:paraId="5E152C7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点位号</w:t>
            </w:r>
          </w:p>
        </w:tc>
        <w:tc>
          <w:tcPr>
            <w:tcW w:w="997" w:type="pct"/>
            <w:tcBorders>
              <w:tl2br w:val="nil"/>
              <w:tr2bl w:val="nil"/>
            </w:tcBorders>
            <w:noWrap w:val="0"/>
            <w:vAlign w:val="center"/>
          </w:tcPr>
          <w:p w14:paraId="3A0FC3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cs="Times New Roman"/>
                <w:b/>
                <w:bCs/>
                <w:sz w:val="21"/>
                <w:szCs w:val="21"/>
                <w:highlight w:val="none"/>
                <w:vertAlign w:val="baseline"/>
                <w:lang w:val="en-US" w:eastAsia="zh-CN"/>
              </w:rPr>
              <w:t>经度（°）</w:t>
            </w:r>
          </w:p>
        </w:tc>
        <w:tc>
          <w:tcPr>
            <w:tcW w:w="957" w:type="pct"/>
            <w:tcBorders>
              <w:tl2br w:val="nil"/>
              <w:tr2bl w:val="nil"/>
            </w:tcBorders>
            <w:noWrap w:val="0"/>
            <w:vAlign w:val="center"/>
          </w:tcPr>
          <w:p w14:paraId="2BD528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highlight w:val="none"/>
                <w:vertAlign w:val="baseline"/>
                <w:lang w:val="en-US" w:eastAsia="zh-CN" w:bidi="ar-SA"/>
              </w:rPr>
            </w:pPr>
            <w:r>
              <w:rPr>
                <w:rFonts w:hint="default" w:ascii="Times New Roman" w:hAnsi="Times New Roman" w:cs="Times New Roman"/>
                <w:b/>
                <w:bCs/>
                <w:sz w:val="21"/>
                <w:szCs w:val="21"/>
                <w:highlight w:val="none"/>
                <w:vertAlign w:val="baseline"/>
                <w:lang w:val="en-US" w:eastAsia="zh-CN"/>
              </w:rPr>
              <w:t>纬度（°）</w:t>
            </w:r>
          </w:p>
        </w:tc>
        <w:tc>
          <w:tcPr>
            <w:tcW w:w="729" w:type="pct"/>
            <w:tcBorders>
              <w:tl2br w:val="nil"/>
              <w:tr2bl w:val="nil"/>
            </w:tcBorders>
            <w:noWrap w:val="0"/>
            <w:vAlign w:val="center"/>
          </w:tcPr>
          <w:p w14:paraId="2D0DC59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采样深度</w:t>
            </w:r>
            <w:r>
              <w:rPr>
                <w:rFonts w:hint="eastAsia" w:ascii="Times New Roman" w:hAnsi="Times New Roman" w:eastAsia="宋体" w:cs="Times New Roman"/>
                <w:b/>
                <w:bCs/>
                <w:color w:val="auto"/>
                <w:spacing w:val="0"/>
                <w:sz w:val="21"/>
                <w:szCs w:val="21"/>
                <w:lang w:eastAsia="zh-CN"/>
              </w:rPr>
              <w:t>（</w:t>
            </w:r>
            <w:r>
              <w:rPr>
                <w:rFonts w:hint="default" w:ascii="Times New Roman" w:hAnsi="Times New Roman" w:eastAsia="宋体" w:cs="Times New Roman"/>
                <w:b/>
                <w:bCs/>
                <w:color w:val="auto"/>
                <w:spacing w:val="0"/>
                <w:sz w:val="21"/>
                <w:szCs w:val="21"/>
              </w:rPr>
              <w:t>m</w:t>
            </w:r>
            <w:r>
              <w:rPr>
                <w:rFonts w:hint="eastAsia" w:ascii="Times New Roman" w:hAnsi="Times New Roman" w:eastAsia="宋体" w:cs="Times New Roman"/>
                <w:b/>
                <w:bCs/>
                <w:color w:val="auto"/>
                <w:spacing w:val="0"/>
                <w:sz w:val="21"/>
                <w:szCs w:val="21"/>
                <w:lang w:eastAsia="zh-CN"/>
              </w:rPr>
              <w:t>）</w:t>
            </w:r>
          </w:p>
        </w:tc>
        <w:tc>
          <w:tcPr>
            <w:tcW w:w="587" w:type="pct"/>
            <w:tcBorders>
              <w:tl2br w:val="nil"/>
              <w:tr2bl w:val="nil"/>
            </w:tcBorders>
            <w:noWrap w:val="0"/>
            <w:vAlign w:val="center"/>
          </w:tcPr>
          <w:p w14:paraId="4956A22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样品数</w:t>
            </w:r>
          </w:p>
        </w:tc>
      </w:tr>
      <w:tr w14:paraId="224599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56" w:type="pct"/>
            <w:vMerge w:val="restart"/>
            <w:tcBorders>
              <w:tl2br w:val="nil"/>
              <w:tr2bl w:val="nil"/>
            </w:tcBorders>
            <w:noWrap w:val="0"/>
            <w:vAlign w:val="center"/>
          </w:tcPr>
          <w:p w14:paraId="0D9766E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万古水库废渣堆3A-3区</w:t>
            </w:r>
          </w:p>
        </w:tc>
        <w:tc>
          <w:tcPr>
            <w:tcW w:w="871" w:type="pct"/>
            <w:tcBorders>
              <w:tl2br w:val="nil"/>
              <w:tr2bl w:val="nil"/>
            </w:tcBorders>
            <w:noWrap w:val="0"/>
            <w:vAlign w:val="center"/>
          </w:tcPr>
          <w:p w14:paraId="76E1D20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ZK3A-10</w:t>
            </w:r>
          </w:p>
        </w:tc>
        <w:tc>
          <w:tcPr>
            <w:tcW w:w="997" w:type="pct"/>
            <w:tcBorders>
              <w:tl2br w:val="nil"/>
              <w:tr2bl w:val="nil"/>
            </w:tcBorders>
            <w:noWrap w:val="0"/>
            <w:vAlign w:val="center"/>
          </w:tcPr>
          <w:p w14:paraId="38DFEAD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113.568174</w:t>
            </w:r>
          </w:p>
        </w:tc>
        <w:tc>
          <w:tcPr>
            <w:tcW w:w="957" w:type="pct"/>
            <w:tcBorders>
              <w:tl2br w:val="nil"/>
              <w:tr2bl w:val="nil"/>
            </w:tcBorders>
            <w:noWrap w:val="0"/>
            <w:vAlign w:val="center"/>
          </w:tcPr>
          <w:p w14:paraId="3053DD5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28.632666</w:t>
            </w:r>
          </w:p>
        </w:tc>
        <w:tc>
          <w:tcPr>
            <w:tcW w:w="729" w:type="pct"/>
            <w:tcBorders>
              <w:tl2br w:val="nil"/>
              <w:tr2bl w:val="nil"/>
            </w:tcBorders>
            <w:noWrap w:val="0"/>
            <w:vAlign w:val="center"/>
          </w:tcPr>
          <w:p w14:paraId="75A25AB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5.5</w:t>
            </w:r>
          </w:p>
        </w:tc>
        <w:tc>
          <w:tcPr>
            <w:tcW w:w="587" w:type="pct"/>
            <w:tcBorders>
              <w:tl2br w:val="nil"/>
              <w:tr2bl w:val="nil"/>
            </w:tcBorders>
            <w:noWrap w:val="0"/>
            <w:vAlign w:val="center"/>
          </w:tcPr>
          <w:p w14:paraId="2F7F530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20679D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56" w:type="pct"/>
            <w:vMerge w:val="continue"/>
            <w:tcBorders>
              <w:tl2br w:val="nil"/>
              <w:tr2bl w:val="nil"/>
            </w:tcBorders>
            <w:noWrap w:val="0"/>
            <w:vAlign w:val="center"/>
          </w:tcPr>
          <w:p w14:paraId="348ECEE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21C9D23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ZK3A-13</w:t>
            </w:r>
          </w:p>
        </w:tc>
        <w:tc>
          <w:tcPr>
            <w:tcW w:w="997" w:type="pct"/>
            <w:tcBorders>
              <w:tl2br w:val="nil"/>
              <w:tr2bl w:val="nil"/>
            </w:tcBorders>
            <w:noWrap w:val="0"/>
            <w:vAlign w:val="center"/>
          </w:tcPr>
          <w:p w14:paraId="24310A6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113.568135</w:t>
            </w:r>
          </w:p>
        </w:tc>
        <w:tc>
          <w:tcPr>
            <w:tcW w:w="957" w:type="pct"/>
            <w:tcBorders>
              <w:tl2br w:val="nil"/>
              <w:tr2bl w:val="nil"/>
            </w:tcBorders>
            <w:noWrap w:val="0"/>
            <w:vAlign w:val="center"/>
          </w:tcPr>
          <w:p w14:paraId="5C66458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28.632540</w:t>
            </w:r>
          </w:p>
        </w:tc>
        <w:tc>
          <w:tcPr>
            <w:tcW w:w="729" w:type="pct"/>
            <w:tcBorders>
              <w:tl2br w:val="nil"/>
              <w:tr2bl w:val="nil"/>
            </w:tcBorders>
            <w:noWrap w:val="0"/>
            <w:vAlign w:val="center"/>
          </w:tcPr>
          <w:p w14:paraId="2E835A6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5.5</w:t>
            </w:r>
          </w:p>
        </w:tc>
        <w:tc>
          <w:tcPr>
            <w:tcW w:w="587" w:type="pct"/>
            <w:tcBorders>
              <w:tl2br w:val="nil"/>
              <w:tr2bl w:val="nil"/>
            </w:tcBorders>
            <w:noWrap w:val="0"/>
            <w:vAlign w:val="center"/>
          </w:tcPr>
          <w:p w14:paraId="7747A55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6CF5EC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856" w:type="pct"/>
            <w:vMerge w:val="restart"/>
            <w:tcBorders>
              <w:tl2br w:val="nil"/>
              <w:tr2bl w:val="nil"/>
            </w:tcBorders>
            <w:noWrap w:val="0"/>
            <w:vAlign w:val="center"/>
          </w:tcPr>
          <w:p w14:paraId="6472927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万古水库废 渣堆3A-5区</w:t>
            </w:r>
          </w:p>
        </w:tc>
        <w:tc>
          <w:tcPr>
            <w:tcW w:w="871" w:type="pct"/>
            <w:tcBorders>
              <w:tl2br w:val="nil"/>
              <w:tr2bl w:val="nil"/>
            </w:tcBorders>
            <w:noWrap w:val="0"/>
            <w:vAlign w:val="center"/>
          </w:tcPr>
          <w:p w14:paraId="71F0A31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ZK3A-8</w:t>
            </w:r>
          </w:p>
        </w:tc>
        <w:tc>
          <w:tcPr>
            <w:tcW w:w="997" w:type="pct"/>
            <w:tcBorders>
              <w:tl2br w:val="nil"/>
              <w:tr2bl w:val="nil"/>
            </w:tcBorders>
            <w:noWrap w:val="0"/>
            <w:vAlign w:val="center"/>
          </w:tcPr>
          <w:p w14:paraId="26BEED7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113.568160</w:t>
            </w:r>
          </w:p>
        </w:tc>
        <w:tc>
          <w:tcPr>
            <w:tcW w:w="957" w:type="pct"/>
            <w:tcBorders>
              <w:tl2br w:val="nil"/>
              <w:tr2bl w:val="nil"/>
            </w:tcBorders>
            <w:noWrap w:val="0"/>
            <w:vAlign w:val="center"/>
          </w:tcPr>
          <w:p w14:paraId="1E413E4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28.632891</w:t>
            </w:r>
          </w:p>
        </w:tc>
        <w:tc>
          <w:tcPr>
            <w:tcW w:w="729" w:type="pct"/>
            <w:tcBorders>
              <w:tl2br w:val="nil"/>
              <w:tr2bl w:val="nil"/>
            </w:tcBorders>
            <w:noWrap w:val="0"/>
            <w:vAlign w:val="center"/>
          </w:tcPr>
          <w:p w14:paraId="55BDB9F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2.2</w:t>
            </w:r>
          </w:p>
        </w:tc>
        <w:tc>
          <w:tcPr>
            <w:tcW w:w="587" w:type="pct"/>
            <w:tcBorders>
              <w:tl2br w:val="nil"/>
              <w:tr2bl w:val="nil"/>
            </w:tcBorders>
            <w:noWrap w:val="0"/>
            <w:vAlign w:val="center"/>
          </w:tcPr>
          <w:p w14:paraId="1F0654A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5B10ED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56" w:type="pct"/>
            <w:vMerge w:val="continue"/>
            <w:tcBorders>
              <w:tl2br w:val="nil"/>
              <w:tr2bl w:val="nil"/>
            </w:tcBorders>
            <w:noWrap w:val="0"/>
            <w:vAlign w:val="center"/>
          </w:tcPr>
          <w:p w14:paraId="62C0A6B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2AAD4F5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ZK3A-11</w:t>
            </w:r>
          </w:p>
        </w:tc>
        <w:tc>
          <w:tcPr>
            <w:tcW w:w="997" w:type="pct"/>
            <w:tcBorders>
              <w:tl2br w:val="nil"/>
              <w:tr2bl w:val="nil"/>
            </w:tcBorders>
            <w:noWrap w:val="0"/>
            <w:vAlign w:val="center"/>
          </w:tcPr>
          <w:p w14:paraId="2FBBDB4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113.568204</w:t>
            </w:r>
          </w:p>
        </w:tc>
        <w:tc>
          <w:tcPr>
            <w:tcW w:w="957" w:type="pct"/>
            <w:tcBorders>
              <w:tl2br w:val="nil"/>
              <w:tr2bl w:val="nil"/>
            </w:tcBorders>
            <w:noWrap w:val="0"/>
            <w:vAlign w:val="center"/>
          </w:tcPr>
          <w:p w14:paraId="622542B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28.632944</w:t>
            </w:r>
          </w:p>
        </w:tc>
        <w:tc>
          <w:tcPr>
            <w:tcW w:w="729" w:type="pct"/>
            <w:tcBorders>
              <w:tl2br w:val="nil"/>
              <w:tr2bl w:val="nil"/>
            </w:tcBorders>
            <w:noWrap w:val="0"/>
            <w:vAlign w:val="center"/>
          </w:tcPr>
          <w:p w14:paraId="2DB43F3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2.2</w:t>
            </w:r>
          </w:p>
        </w:tc>
        <w:tc>
          <w:tcPr>
            <w:tcW w:w="587" w:type="pct"/>
            <w:tcBorders>
              <w:tl2br w:val="nil"/>
              <w:tr2bl w:val="nil"/>
            </w:tcBorders>
            <w:noWrap w:val="0"/>
            <w:vAlign w:val="center"/>
          </w:tcPr>
          <w:p w14:paraId="005A9B7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766977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856" w:type="pct"/>
            <w:vMerge w:val="restart"/>
            <w:tcBorders>
              <w:tl2br w:val="nil"/>
              <w:tr2bl w:val="nil"/>
            </w:tcBorders>
            <w:noWrap w:val="0"/>
            <w:vAlign w:val="center"/>
          </w:tcPr>
          <w:p w14:paraId="4697454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万古水库废渣堆3A红线外1m</w:t>
            </w:r>
          </w:p>
        </w:tc>
        <w:tc>
          <w:tcPr>
            <w:tcW w:w="871" w:type="pct"/>
            <w:tcBorders>
              <w:tl2br w:val="nil"/>
              <w:tr2bl w:val="nil"/>
            </w:tcBorders>
            <w:noWrap w:val="0"/>
            <w:vAlign w:val="center"/>
          </w:tcPr>
          <w:p w14:paraId="2135A82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ZK3A-7</w:t>
            </w:r>
          </w:p>
        </w:tc>
        <w:tc>
          <w:tcPr>
            <w:tcW w:w="997" w:type="pct"/>
            <w:tcBorders>
              <w:tl2br w:val="nil"/>
              <w:tr2bl w:val="nil"/>
            </w:tcBorders>
            <w:noWrap w:val="0"/>
            <w:vAlign w:val="center"/>
          </w:tcPr>
          <w:p w14:paraId="0A6118A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113.567819</w:t>
            </w:r>
          </w:p>
        </w:tc>
        <w:tc>
          <w:tcPr>
            <w:tcW w:w="957" w:type="pct"/>
            <w:tcBorders>
              <w:tl2br w:val="nil"/>
              <w:tr2bl w:val="nil"/>
            </w:tcBorders>
            <w:noWrap w:val="0"/>
            <w:vAlign w:val="center"/>
          </w:tcPr>
          <w:p w14:paraId="6774BEF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28.632657</w:t>
            </w:r>
          </w:p>
        </w:tc>
        <w:tc>
          <w:tcPr>
            <w:tcW w:w="729" w:type="pct"/>
            <w:tcBorders>
              <w:tl2br w:val="nil"/>
              <w:tr2bl w:val="nil"/>
            </w:tcBorders>
            <w:noWrap w:val="0"/>
            <w:vAlign w:val="center"/>
          </w:tcPr>
          <w:p w14:paraId="29A020D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51B3837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529B0A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56" w:type="pct"/>
            <w:vMerge w:val="continue"/>
            <w:tcBorders>
              <w:tl2br w:val="nil"/>
              <w:tr2bl w:val="nil"/>
            </w:tcBorders>
            <w:noWrap w:val="0"/>
            <w:vAlign w:val="center"/>
          </w:tcPr>
          <w:p w14:paraId="7713453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085F7F8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ZK3A-9</w:t>
            </w:r>
          </w:p>
        </w:tc>
        <w:tc>
          <w:tcPr>
            <w:tcW w:w="997" w:type="pct"/>
            <w:tcBorders>
              <w:tl2br w:val="nil"/>
              <w:tr2bl w:val="nil"/>
            </w:tcBorders>
            <w:noWrap w:val="0"/>
            <w:vAlign w:val="center"/>
          </w:tcPr>
          <w:p w14:paraId="3929CB5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113.568124</w:t>
            </w:r>
          </w:p>
        </w:tc>
        <w:tc>
          <w:tcPr>
            <w:tcW w:w="957" w:type="pct"/>
            <w:tcBorders>
              <w:tl2br w:val="nil"/>
              <w:tr2bl w:val="nil"/>
            </w:tcBorders>
            <w:noWrap w:val="0"/>
            <w:vAlign w:val="center"/>
          </w:tcPr>
          <w:p w14:paraId="25C8E2A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28.632893</w:t>
            </w:r>
          </w:p>
        </w:tc>
        <w:tc>
          <w:tcPr>
            <w:tcW w:w="729" w:type="pct"/>
            <w:tcBorders>
              <w:tl2br w:val="nil"/>
              <w:tr2bl w:val="nil"/>
            </w:tcBorders>
            <w:noWrap w:val="0"/>
            <w:vAlign w:val="center"/>
          </w:tcPr>
          <w:p w14:paraId="21F2DE6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1595A31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0B86DB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856" w:type="pct"/>
            <w:vMerge w:val="continue"/>
            <w:tcBorders>
              <w:tl2br w:val="nil"/>
              <w:tr2bl w:val="nil"/>
            </w:tcBorders>
            <w:noWrap w:val="0"/>
            <w:vAlign w:val="center"/>
          </w:tcPr>
          <w:p w14:paraId="427A0B7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555AF07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ZK3A-12</w:t>
            </w:r>
          </w:p>
        </w:tc>
        <w:tc>
          <w:tcPr>
            <w:tcW w:w="997" w:type="pct"/>
            <w:tcBorders>
              <w:tl2br w:val="nil"/>
              <w:tr2bl w:val="nil"/>
            </w:tcBorders>
            <w:noWrap w:val="0"/>
            <w:vAlign w:val="center"/>
          </w:tcPr>
          <w:p w14:paraId="605BCE0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113.568049</w:t>
            </w:r>
          </w:p>
        </w:tc>
        <w:tc>
          <w:tcPr>
            <w:tcW w:w="957" w:type="pct"/>
            <w:tcBorders>
              <w:tl2br w:val="nil"/>
              <w:tr2bl w:val="nil"/>
            </w:tcBorders>
            <w:noWrap w:val="0"/>
            <w:vAlign w:val="center"/>
          </w:tcPr>
          <w:p w14:paraId="1EBF632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28.632585</w:t>
            </w:r>
          </w:p>
        </w:tc>
        <w:tc>
          <w:tcPr>
            <w:tcW w:w="729" w:type="pct"/>
            <w:tcBorders>
              <w:tl2br w:val="nil"/>
              <w:tr2bl w:val="nil"/>
            </w:tcBorders>
            <w:noWrap w:val="0"/>
            <w:vAlign w:val="center"/>
          </w:tcPr>
          <w:p w14:paraId="1F298E0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2F352EF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028B2E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56" w:type="pct"/>
            <w:vMerge w:val="continue"/>
            <w:tcBorders>
              <w:tl2br w:val="nil"/>
              <w:tr2bl w:val="nil"/>
            </w:tcBorders>
            <w:noWrap w:val="0"/>
            <w:vAlign w:val="center"/>
          </w:tcPr>
          <w:p w14:paraId="7B77973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15E2204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ZK3A-14</w:t>
            </w:r>
          </w:p>
        </w:tc>
        <w:tc>
          <w:tcPr>
            <w:tcW w:w="997" w:type="pct"/>
            <w:tcBorders>
              <w:tl2br w:val="nil"/>
              <w:tr2bl w:val="nil"/>
            </w:tcBorders>
            <w:noWrap w:val="0"/>
            <w:vAlign w:val="center"/>
          </w:tcPr>
          <w:p w14:paraId="5895DA5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113.568054</w:t>
            </w:r>
          </w:p>
        </w:tc>
        <w:tc>
          <w:tcPr>
            <w:tcW w:w="957" w:type="pct"/>
            <w:tcBorders>
              <w:tl2br w:val="nil"/>
              <w:tr2bl w:val="nil"/>
            </w:tcBorders>
            <w:noWrap w:val="0"/>
            <w:vAlign w:val="center"/>
          </w:tcPr>
          <w:p w14:paraId="649D6A1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28.632505</w:t>
            </w:r>
          </w:p>
        </w:tc>
        <w:tc>
          <w:tcPr>
            <w:tcW w:w="729" w:type="pct"/>
            <w:tcBorders>
              <w:tl2br w:val="nil"/>
              <w:tr2bl w:val="nil"/>
            </w:tcBorders>
            <w:noWrap w:val="0"/>
            <w:vAlign w:val="center"/>
          </w:tcPr>
          <w:p w14:paraId="1651EDE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2F546FC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7C1476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856" w:type="pct"/>
            <w:vMerge w:val="restart"/>
            <w:tcBorders>
              <w:tl2br w:val="nil"/>
              <w:tr2bl w:val="nil"/>
            </w:tcBorders>
            <w:noWrap w:val="0"/>
            <w:vAlign w:val="center"/>
          </w:tcPr>
          <w:p w14:paraId="0C0DBD7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万古水库废渣堆3B-1区</w:t>
            </w:r>
          </w:p>
        </w:tc>
        <w:tc>
          <w:tcPr>
            <w:tcW w:w="871" w:type="pct"/>
            <w:tcBorders>
              <w:tl2br w:val="nil"/>
              <w:tr2bl w:val="nil"/>
            </w:tcBorders>
            <w:noWrap w:val="0"/>
            <w:vAlign w:val="center"/>
          </w:tcPr>
          <w:p w14:paraId="3389E34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ZK3B-9</w:t>
            </w:r>
          </w:p>
        </w:tc>
        <w:tc>
          <w:tcPr>
            <w:tcW w:w="997" w:type="pct"/>
            <w:tcBorders>
              <w:tl2br w:val="nil"/>
              <w:tr2bl w:val="nil"/>
            </w:tcBorders>
            <w:noWrap w:val="0"/>
            <w:vAlign w:val="center"/>
          </w:tcPr>
          <w:p w14:paraId="5DC5ACD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113.567329</w:t>
            </w:r>
          </w:p>
        </w:tc>
        <w:tc>
          <w:tcPr>
            <w:tcW w:w="957" w:type="pct"/>
            <w:tcBorders>
              <w:tl2br w:val="nil"/>
              <w:tr2bl w:val="nil"/>
            </w:tcBorders>
            <w:noWrap w:val="0"/>
            <w:vAlign w:val="center"/>
          </w:tcPr>
          <w:p w14:paraId="7911340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28.633419</w:t>
            </w:r>
          </w:p>
        </w:tc>
        <w:tc>
          <w:tcPr>
            <w:tcW w:w="729" w:type="pct"/>
            <w:tcBorders>
              <w:tl2br w:val="nil"/>
              <w:tr2bl w:val="nil"/>
            </w:tcBorders>
            <w:noWrap w:val="0"/>
            <w:vAlign w:val="center"/>
          </w:tcPr>
          <w:p w14:paraId="5ECF03B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1.5</w:t>
            </w:r>
          </w:p>
        </w:tc>
        <w:tc>
          <w:tcPr>
            <w:tcW w:w="587" w:type="pct"/>
            <w:tcBorders>
              <w:tl2br w:val="nil"/>
              <w:tr2bl w:val="nil"/>
            </w:tcBorders>
            <w:noWrap w:val="0"/>
            <w:vAlign w:val="center"/>
          </w:tcPr>
          <w:p w14:paraId="51B7A57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7130DE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56" w:type="pct"/>
            <w:vMerge w:val="continue"/>
            <w:tcBorders>
              <w:tl2br w:val="nil"/>
              <w:tr2bl w:val="nil"/>
            </w:tcBorders>
            <w:noWrap w:val="0"/>
            <w:vAlign w:val="center"/>
          </w:tcPr>
          <w:p w14:paraId="189D22C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0E4849E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ZK3B-10</w:t>
            </w:r>
          </w:p>
        </w:tc>
        <w:tc>
          <w:tcPr>
            <w:tcW w:w="997" w:type="pct"/>
            <w:tcBorders>
              <w:tl2br w:val="nil"/>
              <w:tr2bl w:val="nil"/>
            </w:tcBorders>
            <w:noWrap w:val="0"/>
            <w:vAlign w:val="center"/>
          </w:tcPr>
          <w:p w14:paraId="4051EF9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113.567345</w:t>
            </w:r>
          </w:p>
        </w:tc>
        <w:tc>
          <w:tcPr>
            <w:tcW w:w="957" w:type="pct"/>
            <w:tcBorders>
              <w:tl2br w:val="nil"/>
              <w:tr2bl w:val="nil"/>
            </w:tcBorders>
            <w:noWrap w:val="0"/>
            <w:vAlign w:val="center"/>
          </w:tcPr>
          <w:p w14:paraId="00DB9FF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28.633415</w:t>
            </w:r>
          </w:p>
        </w:tc>
        <w:tc>
          <w:tcPr>
            <w:tcW w:w="729" w:type="pct"/>
            <w:tcBorders>
              <w:tl2br w:val="nil"/>
              <w:tr2bl w:val="nil"/>
            </w:tcBorders>
            <w:noWrap w:val="0"/>
            <w:vAlign w:val="center"/>
          </w:tcPr>
          <w:p w14:paraId="4B79735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1.5</w:t>
            </w:r>
          </w:p>
        </w:tc>
        <w:tc>
          <w:tcPr>
            <w:tcW w:w="587" w:type="pct"/>
            <w:tcBorders>
              <w:tl2br w:val="nil"/>
              <w:tr2bl w:val="nil"/>
            </w:tcBorders>
            <w:noWrap w:val="0"/>
            <w:vAlign w:val="center"/>
          </w:tcPr>
          <w:p w14:paraId="5EE7483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724086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856" w:type="pct"/>
            <w:vMerge w:val="continue"/>
            <w:tcBorders>
              <w:tl2br w:val="nil"/>
              <w:tr2bl w:val="nil"/>
            </w:tcBorders>
            <w:noWrap w:val="0"/>
            <w:vAlign w:val="center"/>
          </w:tcPr>
          <w:p w14:paraId="53F60D2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0294B95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ZK3B-12</w:t>
            </w:r>
          </w:p>
        </w:tc>
        <w:tc>
          <w:tcPr>
            <w:tcW w:w="997" w:type="pct"/>
            <w:tcBorders>
              <w:tl2br w:val="nil"/>
              <w:tr2bl w:val="nil"/>
            </w:tcBorders>
            <w:noWrap w:val="0"/>
            <w:vAlign w:val="center"/>
          </w:tcPr>
          <w:p w14:paraId="728F00B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113.567291</w:t>
            </w:r>
          </w:p>
        </w:tc>
        <w:tc>
          <w:tcPr>
            <w:tcW w:w="957" w:type="pct"/>
            <w:tcBorders>
              <w:tl2br w:val="nil"/>
              <w:tr2bl w:val="nil"/>
            </w:tcBorders>
            <w:noWrap w:val="0"/>
            <w:vAlign w:val="center"/>
          </w:tcPr>
          <w:p w14:paraId="48AD1CC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28.633420</w:t>
            </w:r>
          </w:p>
        </w:tc>
        <w:tc>
          <w:tcPr>
            <w:tcW w:w="729" w:type="pct"/>
            <w:tcBorders>
              <w:tl2br w:val="nil"/>
              <w:tr2bl w:val="nil"/>
            </w:tcBorders>
            <w:noWrap w:val="0"/>
            <w:vAlign w:val="center"/>
          </w:tcPr>
          <w:p w14:paraId="3E27C88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1.5</w:t>
            </w:r>
          </w:p>
        </w:tc>
        <w:tc>
          <w:tcPr>
            <w:tcW w:w="587" w:type="pct"/>
            <w:tcBorders>
              <w:tl2br w:val="nil"/>
              <w:tr2bl w:val="nil"/>
            </w:tcBorders>
            <w:noWrap w:val="0"/>
            <w:vAlign w:val="center"/>
          </w:tcPr>
          <w:p w14:paraId="7FC36C2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6FFC5F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56" w:type="pct"/>
            <w:vMerge w:val="continue"/>
            <w:tcBorders>
              <w:tl2br w:val="nil"/>
              <w:tr2bl w:val="nil"/>
            </w:tcBorders>
            <w:noWrap w:val="0"/>
            <w:vAlign w:val="center"/>
          </w:tcPr>
          <w:p w14:paraId="43FD0B4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1F9DC03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ZK3B-13</w:t>
            </w:r>
          </w:p>
        </w:tc>
        <w:tc>
          <w:tcPr>
            <w:tcW w:w="997" w:type="pct"/>
            <w:tcBorders>
              <w:tl2br w:val="nil"/>
              <w:tr2bl w:val="nil"/>
            </w:tcBorders>
            <w:noWrap w:val="0"/>
            <w:vAlign w:val="center"/>
          </w:tcPr>
          <w:p w14:paraId="22ECBC6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113.567264</w:t>
            </w:r>
          </w:p>
        </w:tc>
        <w:tc>
          <w:tcPr>
            <w:tcW w:w="957" w:type="pct"/>
            <w:tcBorders>
              <w:tl2br w:val="nil"/>
              <w:tr2bl w:val="nil"/>
            </w:tcBorders>
            <w:noWrap w:val="0"/>
            <w:vAlign w:val="center"/>
          </w:tcPr>
          <w:p w14:paraId="26409BB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28.633496</w:t>
            </w:r>
          </w:p>
        </w:tc>
        <w:tc>
          <w:tcPr>
            <w:tcW w:w="729" w:type="pct"/>
            <w:tcBorders>
              <w:tl2br w:val="nil"/>
              <w:tr2bl w:val="nil"/>
            </w:tcBorders>
            <w:noWrap w:val="0"/>
            <w:vAlign w:val="center"/>
          </w:tcPr>
          <w:p w14:paraId="660BC7E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1.5</w:t>
            </w:r>
          </w:p>
        </w:tc>
        <w:tc>
          <w:tcPr>
            <w:tcW w:w="587" w:type="pct"/>
            <w:tcBorders>
              <w:tl2br w:val="nil"/>
              <w:tr2bl w:val="nil"/>
            </w:tcBorders>
            <w:noWrap w:val="0"/>
            <w:vAlign w:val="center"/>
          </w:tcPr>
          <w:p w14:paraId="1A4F7AD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03CC2F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856" w:type="pct"/>
            <w:tcBorders>
              <w:tl2br w:val="nil"/>
              <w:tr2bl w:val="nil"/>
            </w:tcBorders>
            <w:noWrap w:val="0"/>
            <w:vAlign w:val="center"/>
          </w:tcPr>
          <w:p w14:paraId="5474036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万古水库废渣堆3B-2区</w:t>
            </w:r>
          </w:p>
        </w:tc>
        <w:tc>
          <w:tcPr>
            <w:tcW w:w="871" w:type="pct"/>
            <w:tcBorders>
              <w:tl2br w:val="nil"/>
              <w:tr2bl w:val="nil"/>
            </w:tcBorders>
            <w:noWrap w:val="0"/>
            <w:vAlign w:val="center"/>
          </w:tcPr>
          <w:p w14:paraId="0421A794">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ZK3B-6</w:t>
            </w:r>
          </w:p>
        </w:tc>
        <w:tc>
          <w:tcPr>
            <w:tcW w:w="997" w:type="pct"/>
            <w:tcBorders>
              <w:tl2br w:val="nil"/>
              <w:tr2bl w:val="nil"/>
            </w:tcBorders>
            <w:noWrap w:val="0"/>
            <w:vAlign w:val="center"/>
          </w:tcPr>
          <w:p w14:paraId="0569E59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113.567315</w:t>
            </w:r>
          </w:p>
        </w:tc>
        <w:tc>
          <w:tcPr>
            <w:tcW w:w="957" w:type="pct"/>
            <w:tcBorders>
              <w:tl2br w:val="nil"/>
              <w:tr2bl w:val="nil"/>
            </w:tcBorders>
            <w:noWrap w:val="0"/>
            <w:vAlign w:val="center"/>
          </w:tcPr>
          <w:p w14:paraId="5824BC2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28.633154</w:t>
            </w:r>
          </w:p>
        </w:tc>
        <w:tc>
          <w:tcPr>
            <w:tcW w:w="729" w:type="pct"/>
            <w:tcBorders>
              <w:tl2br w:val="nil"/>
              <w:tr2bl w:val="nil"/>
            </w:tcBorders>
            <w:noWrap w:val="0"/>
            <w:vAlign w:val="center"/>
          </w:tcPr>
          <w:p w14:paraId="704E447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5.5</w:t>
            </w:r>
          </w:p>
        </w:tc>
        <w:tc>
          <w:tcPr>
            <w:tcW w:w="587" w:type="pct"/>
            <w:tcBorders>
              <w:tl2br w:val="nil"/>
              <w:tr2bl w:val="nil"/>
            </w:tcBorders>
            <w:noWrap w:val="0"/>
            <w:vAlign w:val="center"/>
          </w:tcPr>
          <w:p w14:paraId="1D926F5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4DD054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56" w:type="pct"/>
            <w:vMerge w:val="restart"/>
            <w:tcBorders>
              <w:tl2br w:val="nil"/>
              <w:tr2bl w:val="nil"/>
            </w:tcBorders>
            <w:noWrap w:val="0"/>
            <w:vAlign w:val="center"/>
          </w:tcPr>
          <w:p w14:paraId="5135E39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万古水库废渣堆3B红线外1m</w:t>
            </w:r>
          </w:p>
        </w:tc>
        <w:tc>
          <w:tcPr>
            <w:tcW w:w="871" w:type="pct"/>
            <w:tcBorders>
              <w:tl2br w:val="nil"/>
              <w:tr2bl w:val="nil"/>
            </w:tcBorders>
            <w:noWrap w:val="0"/>
            <w:vAlign w:val="center"/>
          </w:tcPr>
          <w:p w14:paraId="283F52E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ZK3B-5</w:t>
            </w:r>
          </w:p>
        </w:tc>
        <w:tc>
          <w:tcPr>
            <w:tcW w:w="997" w:type="pct"/>
            <w:tcBorders>
              <w:tl2br w:val="nil"/>
              <w:tr2bl w:val="nil"/>
            </w:tcBorders>
            <w:noWrap w:val="0"/>
            <w:vAlign w:val="center"/>
          </w:tcPr>
          <w:p w14:paraId="0C9F03C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113.567248</w:t>
            </w:r>
          </w:p>
        </w:tc>
        <w:tc>
          <w:tcPr>
            <w:tcW w:w="957" w:type="pct"/>
            <w:tcBorders>
              <w:tl2br w:val="nil"/>
              <w:tr2bl w:val="nil"/>
            </w:tcBorders>
            <w:noWrap w:val="0"/>
            <w:vAlign w:val="center"/>
          </w:tcPr>
          <w:p w14:paraId="0392464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28.632886</w:t>
            </w:r>
          </w:p>
        </w:tc>
        <w:tc>
          <w:tcPr>
            <w:tcW w:w="729" w:type="pct"/>
            <w:tcBorders>
              <w:tl2br w:val="nil"/>
              <w:tr2bl w:val="nil"/>
            </w:tcBorders>
            <w:noWrap w:val="0"/>
            <w:vAlign w:val="center"/>
          </w:tcPr>
          <w:p w14:paraId="2C97998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6B4AC82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13361D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56" w:type="pct"/>
            <w:vMerge w:val="continue"/>
            <w:tcBorders>
              <w:tl2br w:val="nil"/>
              <w:tr2bl w:val="nil"/>
            </w:tcBorders>
            <w:noWrap w:val="0"/>
            <w:vAlign w:val="center"/>
          </w:tcPr>
          <w:p w14:paraId="2C08F70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138B8D8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ZK3B-7</w:t>
            </w:r>
          </w:p>
        </w:tc>
        <w:tc>
          <w:tcPr>
            <w:tcW w:w="997" w:type="pct"/>
            <w:tcBorders>
              <w:tl2br w:val="nil"/>
              <w:tr2bl w:val="nil"/>
            </w:tcBorders>
            <w:noWrap w:val="0"/>
            <w:vAlign w:val="center"/>
          </w:tcPr>
          <w:p w14:paraId="66612527">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113.567318</w:t>
            </w:r>
          </w:p>
        </w:tc>
        <w:tc>
          <w:tcPr>
            <w:tcW w:w="957" w:type="pct"/>
            <w:tcBorders>
              <w:tl2br w:val="nil"/>
              <w:tr2bl w:val="nil"/>
            </w:tcBorders>
            <w:noWrap w:val="0"/>
            <w:vAlign w:val="center"/>
          </w:tcPr>
          <w:p w14:paraId="6A24CDA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28.633155</w:t>
            </w:r>
          </w:p>
        </w:tc>
        <w:tc>
          <w:tcPr>
            <w:tcW w:w="729" w:type="pct"/>
            <w:tcBorders>
              <w:tl2br w:val="nil"/>
              <w:tr2bl w:val="nil"/>
            </w:tcBorders>
            <w:noWrap w:val="0"/>
            <w:vAlign w:val="center"/>
          </w:tcPr>
          <w:p w14:paraId="4439CEC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3B4D0E9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1429F3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856" w:type="pct"/>
            <w:vMerge w:val="continue"/>
            <w:tcBorders>
              <w:tl2br w:val="nil"/>
              <w:tr2bl w:val="nil"/>
            </w:tcBorders>
            <w:noWrap w:val="0"/>
            <w:vAlign w:val="center"/>
          </w:tcPr>
          <w:p w14:paraId="6F4AB37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5AFD5BD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ZK3B-8</w:t>
            </w:r>
          </w:p>
        </w:tc>
        <w:tc>
          <w:tcPr>
            <w:tcW w:w="997" w:type="pct"/>
            <w:tcBorders>
              <w:tl2br w:val="nil"/>
              <w:tr2bl w:val="nil"/>
            </w:tcBorders>
            <w:noWrap w:val="0"/>
            <w:vAlign w:val="center"/>
          </w:tcPr>
          <w:p w14:paraId="6EA582D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113.567394</w:t>
            </w:r>
          </w:p>
        </w:tc>
        <w:tc>
          <w:tcPr>
            <w:tcW w:w="957" w:type="pct"/>
            <w:tcBorders>
              <w:tl2br w:val="nil"/>
              <w:tr2bl w:val="nil"/>
            </w:tcBorders>
            <w:noWrap w:val="0"/>
            <w:vAlign w:val="center"/>
          </w:tcPr>
          <w:p w14:paraId="450FBFC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28.633440</w:t>
            </w:r>
          </w:p>
        </w:tc>
        <w:tc>
          <w:tcPr>
            <w:tcW w:w="729" w:type="pct"/>
            <w:tcBorders>
              <w:tl2br w:val="nil"/>
              <w:tr2bl w:val="nil"/>
            </w:tcBorders>
            <w:noWrap w:val="0"/>
            <w:vAlign w:val="center"/>
          </w:tcPr>
          <w:p w14:paraId="0ABB138F">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751ECE5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0569D8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856" w:type="pct"/>
            <w:vMerge w:val="continue"/>
            <w:tcBorders>
              <w:tl2br w:val="nil"/>
              <w:tr2bl w:val="nil"/>
            </w:tcBorders>
            <w:noWrap w:val="0"/>
            <w:vAlign w:val="center"/>
          </w:tcPr>
          <w:p w14:paraId="26E948C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6AE23BA8">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ZK3B-11</w:t>
            </w:r>
          </w:p>
        </w:tc>
        <w:tc>
          <w:tcPr>
            <w:tcW w:w="997" w:type="pct"/>
            <w:tcBorders>
              <w:tl2br w:val="nil"/>
              <w:tr2bl w:val="nil"/>
            </w:tcBorders>
            <w:noWrap w:val="0"/>
            <w:vAlign w:val="center"/>
          </w:tcPr>
          <w:p w14:paraId="18B0765C">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113.567340</w:t>
            </w:r>
          </w:p>
        </w:tc>
        <w:tc>
          <w:tcPr>
            <w:tcW w:w="957" w:type="pct"/>
            <w:tcBorders>
              <w:tl2br w:val="nil"/>
              <w:tr2bl w:val="nil"/>
            </w:tcBorders>
            <w:noWrap w:val="0"/>
            <w:vAlign w:val="center"/>
          </w:tcPr>
          <w:p w14:paraId="3A71F24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28.633426</w:t>
            </w:r>
          </w:p>
        </w:tc>
        <w:tc>
          <w:tcPr>
            <w:tcW w:w="729" w:type="pct"/>
            <w:tcBorders>
              <w:tl2br w:val="nil"/>
              <w:tr2bl w:val="nil"/>
            </w:tcBorders>
            <w:noWrap w:val="0"/>
            <w:vAlign w:val="center"/>
          </w:tcPr>
          <w:p w14:paraId="52DA0AF0">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4231E24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3F6B92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856" w:type="pct"/>
            <w:vMerge w:val="continue"/>
            <w:tcBorders>
              <w:tl2br w:val="nil"/>
              <w:tr2bl w:val="nil"/>
            </w:tcBorders>
            <w:noWrap w:val="0"/>
            <w:vAlign w:val="center"/>
          </w:tcPr>
          <w:p w14:paraId="70021071">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419C63C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ZK3B-14</w:t>
            </w:r>
          </w:p>
        </w:tc>
        <w:tc>
          <w:tcPr>
            <w:tcW w:w="997" w:type="pct"/>
            <w:tcBorders>
              <w:tl2br w:val="nil"/>
              <w:tr2bl w:val="nil"/>
            </w:tcBorders>
            <w:noWrap w:val="0"/>
            <w:vAlign w:val="center"/>
          </w:tcPr>
          <w:p w14:paraId="629CC8B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113.567280</w:t>
            </w:r>
          </w:p>
        </w:tc>
        <w:tc>
          <w:tcPr>
            <w:tcW w:w="957" w:type="pct"/>
            <w:tcBorders>
              <w:tl2br w:val="nil"/>
              <w:tr2bl w:val="nil"/>
            </w:tcBorders>
            <w:noWrap w:val="0"/>
            <w:vAlign w:val="center"/>
          </w:tcPr>
          <w:p w14:paraId="11D3BD9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28.633252</w:t>
            </w:r>
          </w:p>
        </w:tc>
        <w:tc>
          <w:tcPr>
            <w:tcW w:w="729" w:type="pct"/>
            <w:tcBorders>
              <w:tl2br w:val="nil"/>
              <w:tr2bl w:val="nil"/>
            </w:tcBorders>
            <w:noWrap w:val="0"/>
            <w:vAlign w:val="center"/>
          </w:tcPr>
          <w:p w14:paraId="02B3F6D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31809B95">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1AFCAF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56" w:type="pct"/>
            <w:vMerge w:val="continue"/>
            <w:tcBorders>
              <w:tl2br w:val="nil"/>
              <w:tr2bl w:val="nil"/>
            </w:tcBorders>
            <w:noWrap w:val="0"/>
            <w:vAlign w:val="center"/>
          </w:tcPr>
          <w:p w14:paraId="6DBC4A4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294B1AB3">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ZK3B-15</w:t>
            </w:r>
          </w:p>
        </w:tc>
        <w:tc>
          <w:tcPr>
            <w:tcW w:w="997" w:type="pct"/>
            <w:tcBorders>
              <w:tl2br w:val="nil"/>
              <w:tr2bl w:val="nil"/>
            </w:tcBorders>
            <w:noWrap w:val="0"/>
            <w:vAlign w:val="center"/>
          </w:tcPr>
          <w:p w14:paraId="30C2EDE6">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113.567175</w:t>
            </w:r>
          </w:p>
        </w:tc>
        <w:tc>
          <w:tcPr>
            <w:tcW w:w="957" w:type="pct"/>
            <w:tcBorders>
              <w:tl2br w:val="nil"/>
              <w:tr2bl w:val="nil"/>
            </w:tcBorders>
            <w:noWrap w:val="0"/>
            <w:vAlign w:val="center"/>
          </w:tcPr>
          <w:p w14:paraId="41DEC9E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28.633047</w:t>
            </w:r>
          </w:p>
        </w:tc>
        <w:tc>
          <w:tcPr>
            <w:tcW w:w="729" w:type="pct"/>
            <w:tcBorders>
              <w:tl2br w:val="nil"/>
              <w:tr2bl w:val="nil"/>
            </w:tcBorders>
            <w:noWrap w:val="0"/>
            <w:vAlign w:val="center"/>
          </w:tcPr>
          <w:p w14:paraId="41650969">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39036B22">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r w14:paraId="6B8F26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856" w:type="pct"/>
            <w:vMerge w:val="continue"/>
            <w:tcBorders>
              <w:tl2br w:val="nil"/>
              <w:tr2bl w:val="nil"/>
            </w:tcBorders>
            <w:noWrap w:val="0"/>
            <w:vAlign w:val="center"/>
          </w:tcPr>
          <w:p w14:paraId="07F4360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p>
        </w:tc>
        <w:tc>
          <w:tcPr>
            <w:tcW w:w="871" w:type="pct"/>
            <w:tcBorders>
              <w:tl2br w:val="nil"/>
              <w:tr2bl w:val="nil"/>
            </w:tcBorders>
            <w:noWrap w:val="0"/>
            <w:vAlign w:val="center"/>
          </w:tcPr>
          <w:p w14:paraId="7197708E">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ZK3B-16</w:t>
            </w:r>
          </w:p>
        </w:tc>
        <w:tc>
          <w:tcPr>
            <w:tcW w:w="997" w:type="pct"/>
            <w:tcBorders>
              <w:tl2br w:val="nil"/>
              <w:tr2bl w:val="nil"/>
            </w:tcBorders>
            <w:noWrap w:val="0"/>
            <w:vAlign w:val="center"/>
          </w:tcPr>
          <w:p w14:paraId="0459A35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113.567169</w:t>
            </w:r>
          </w:p>
        </w:tc>
        <w:tc>
          <w:tcPr>
            <w:tcW w:w="957" w:type="pct"/>
            <w:tcBorders>
              <w:tl2br w:val="nil"/>
              <w:tr2bl w:val="nil"/>
            </w:tcBorders>
            <w:noWrap w:val="0"/>
            <w:vAlign w:val="center"/>
          </w:tcPr>
          <w:p w14:paraId="5F98B2DD">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28.632947</w:t>
            </w:r>
          </w:p>
        </w:tc>
        <w:tc>
          <w:tcPr>
            <w:tcW w:w="729" w:type="pct"/>
            <w:tcBorders>
              <w:tl2br w:val="nil"/>
              <w:tr2bl w:val="nil"/>
            </w:tcBorders>
            <w:noWrap w:val="0"/>
            <w:vAlign w:val="center"/>
          </w:tcPr>
          <w:p w14:paraId="4C6D49FA">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0~0.2</w:t>
            </w:r>
          </w:p>
        </w:tc>
        <w:tc>
          <w:tcPr>
            <w:tcW w:w="587" w:type="pct"/>
            <w:tcBorders>
              <w:tl2br w:val="nil"/>
              <w:tr2bl w:val="nil"/>
            </w:tcBorders>
            <w:noWrap w:val="0"/>
            <w:vAlign w:val="center"/>
          </w:tcPr>
          <w:p w14:paraId="33539B3B">
            <w:pPr>
              <w:pStyle w:val="19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1</w:t>
            </w:r>
          </w:p>
        </w:tc>
      </w:tr>
    </w:tbl>
    <w:p w14:paraId="033A75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bCs/>
          <w:sz w:val="21"/>
          <w:szCs w:val="21"/>
          <w:highlight w:val="none"/>
          <w:lang w:val="en-US" w:eastAsia="zh-CN"/>
        </w:rPr>
      </w:pPr>
      <w:r>
        <w:drawing>
          <wp:inline distT="0" distB="0" distL="114300" distR="114300">
            <wp:extent cx="5720715" cy="3653790"/>
            <wp:effectExtent l="0" t="0" r="13335" b="3810"/>
            <wp:docPr id="16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3"/>
                    <pic:cNvPicPr>
                      <a:picLocks noChangeAspect="1"/>
                    </pic:cNvPicPr>
                  </pic:nvPicPr>
                  <pic:blipFill>
                    <a:blip r:embed="rId62"/>
                    <a:stretch>
                      <a:fillRect/>
                    </a:stretch>
                  </pic:blipFill>
                  <pic:spPr>
                    <a:xfrm>
                      <a:off x="0" y="0"/>
                      <a:ext cx="5720715" cy="3653790"/>
                    </a:xfrm>
                    <a:prstGeom prst="rect">
                      <a:avLst/>
                    </a:prstGeom>
                    <a:noFill/>
                    <a:ln>
                      <a:noFill/>
                    </a:ln>
                  </pic:spPr>
                </pic:pic>
              </a:graphicData>
            </a:graphic>
          </wp:inline>
        </w:drawing>
      </w:r>
      <w:r>
        <w:rPr>
          <w:rFonts w:hint="eastAsia"/>
          <w:b/>
          <w:bCs/>
          <w:sz w:val="21"/>
          <w:szCs w:val="21"/>
          <w:highlight w:val="none"/>
          <w:lang w:val="en-US" w:eastAsia="zh-CN"/>
        </w:rPr>
        <w:t>图3.1-11  万古水库废渣堆3A号补充采样布点图</w:t>
      </w:r>
    </w:p>
    <w:p w14:paraId="017355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pPr>
      <w:r>
        <w:drawing>
          <wp:inline distT="0" distB="0" distL="114300" distR="114300">
            <wp:extent cx="4705985" cy="4089400"/>
            <wp:effectExtent l="0" t="0" r="18415" b="6350"/>
            <wp:docPr id="16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4"/>
                    <pic:cNvPicPr>
                      <a:picLocks noChangeAspect="1"/>
                    </pic:cNvPicPr>
                  </pic:nvPicPr>
                  <pic:blipFill>
                    <a:blip r:embed="rId63"/>
                    <a:stretch>
                      <a:fillRect/>
                    </a:stretch>
                  </pic:blipFill>
                  <pic:spPr>
                    <a:xfrm>
                      <a:off x="0" y="0"/>
                      <a:ext cx="4705985" cy="4089400"/>
                    </a:xfrm>
                    <a:prstGeom prst="rect">
                      <a:avLst/>
                    </a:prstGeom>
                    <a:noFill/>
                    <a:ln>
                      <a:noFill/>
                    </a:ln>
                  </pic:spPr>
                </pic:pic>
              </a:graphicData>
            </a:graphic>
          </wp:inline>
        </w:drawing>
      </w:r>
    </w:p>
    <w:p w14:paraId="433486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图3.1-12  万古水库废渣堆3B号补充采样布点图</w:t>
      </w:r>
    </w:p>
    <w:p w14:paraId="02292942">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表3.1-13  固体废物（废渣）补充监测结果    单位：mg/L</w:t>
      </w:r>
    </w:p>
    <w:tbl>
      <w:tblPr>
        <w:tblStyle w:val="111"/>
        <w:tblW w:w="5141"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73"/>
        <w:gridCol w:w="972"/>
        <w:gridCol w:w="1584"/>
        <w:gridCol w:w="1297"/>
        <w:gridCol w:w="1288"/>
        <w:gridCol w:w="1024"/>
        <w:gridCol w:w="1011"/>
        <w:gridCol w:w="1052"/>
      </w:tblGrid>
      <w:tr w14:paraId="66B23A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099" w:type="pct"/>
            <w:gridSpan w:val="2"/>
            <w:tcBorders>
              <w:tl2br w:val="nil"/>
              <w:tr2bl w:val="nil"/>
            </w:tcBorders>
            <w:noWrap w:val="0"/>
            <w:vAlign w:val="center"/>
          </w:tcPr>
          <w:p w14:paraId="1474C2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检测点位</w:t>
            </w:r>
          </w:p>
        </w:tc>
        <w:tc>
          <w:tcPr>
            <w:tcW w:w="851" w:type="pct"/>
            <w:tcBorders>
              <w:tl2br w:val="nil"/>
              <w:tr2bl w:val="nil"/>
            </w:tcBorders>
            <w:noWrap w:val="0"/>
            <w:vAlign w:val="center"/>
          </w:tcPr>
          <w:p w14:paraId="7CE527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zh-CN" w:bidi="ar-SA"/>
              </w:rPr>
            </w:pPr>
            <w:r>
              <w:rPr>
                <w:rFonts w:hint="eastAsia" w:ascii="Times New Roman" w:hAnsi="Times New Roman" w:eastAsia="宋体" w:cs="Times New Roman"/>
                <w:b/>
                <w:bCs/>
                <w:snapToGrid w:val="0"/>
                <w:color w:val="000000"/>
                <w:spacing w:val="0"/>
                <w:kern w:val="0"/>
                <w:sz w:val="21"/>
                <w:szCs w:val="21"/>
                <w:lang w:val="en-US" w:eastAsia="zh-CN" w:bidi="ar-SA"/>
              </w:rPr>
              <w:t>采用日期</w:t>
            </w:r>
          </w:p>
        </w:tc>
        <w:tc>
          <w:tcPr>
            <w:tcW w:w="697" w:type="pct"/>
            <w:tcBorders>
              <w:tl2br w:val="nil"/>
              <w:tr2bl w:val="nil"/>
            </w:tcBorders>
            <w:noWrap w:val="0"/>
            <w:vAlign w:val="center"/>
          </w:tcPr>
          <w:p w14:paraId="5536B7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样品状态</w:t>
            </w:r>
          </w:p>
        </w:tc>
        <w:tc>
          <w:tcPr>
            <w:tcW w:w="692" w:type="pct"/>
            <w:tcBorders>
              <w:tl2br w:val="nil"/>
              <w:tr2bl w:val="nil"/>
            </w:tcBorders>
            <w:noWrap w:val="0"/>
            <w:vAlign w:val="center"/>
          </w:tcPr>
          <w:p w14:paraId="7BADEF5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检测项目</w:t>
            </w:r>
          </w:p>
        </w:tc>
        <w:tc>
          <w:tcPr>
            <w:tcW w:w="550" w:type="pct"/>
            <w:tcBorders>
              <w:tl2br w:val="nil"/>
              <w:tr2bl w:val="nil"/>
            </w:tcBorders>
            <w:noWrap w:val="0"/>
            <w:vAlign w:val="center"/>
          </w:tcPr>
          <w:p w14:paraId="74B519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单位</w:t>
            </w:r>
          </w:p>
        </w:tc>
        <w:tc>
          <w:tcPr>
            <w:tcW w:w="543" w:type="pct"/>
            <w:tcBorders>
              <w:tl2br w:val="nil"/>
              <w:tr2bl w:val="nil"/>
            </w:tcBorders>
            <w:noWrap w:val="0"/>
            <w:vAlign w:val="center"/>
          </w:tcPr>
          <w:p w14:paraId="51BD9BA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检测结果</w:t>
            </w:r>
          </w:p>
        </w:tc>
        <w:tc>
          <w:tcPr>
            <w:tcW w:w="565" w:type="pct"/>
            <w:tcBorders>
              <w:tl2br w:val="nil"/>
              <w:tr2bl w:val="nil"/>
            </w:tcBorders>
            <w:noWrap w:val="0"/>
            <w:vAlign w:val="center"/>
          </w:tcPr>
          <w:p w14:paraId="5DABECD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限值</w:t>
            </w:r>
          </w:p>
        </w:tc>
      </w:tr>
      <w:tr w14:paraId="4BA788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0372C30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万古村1号废渣堆内</w:t>
            </w:r>
          </w:p>
        </w:tc>
        <w:tc>
          <w:tcPr>
            <w:tcW w:w="522" w:type="pct"/>
            <w:tcBorders>
              <w:tl2br w:val="nil"/>
              <w:tr2bl w:val="nil"/>
            </w:tcBorders>
            <w:noWrap w:val="0"/>
            <w:vAlign w:val="center"/>
          </w:tcPr>
          <w:p w14:paraId="6B2333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ZK1-7</w:t>
            </w:r>
          </w:p>
        </w:tc>
        <w:tc>
          <w:tcPr>
            <w:tcW w:w="851" w:type="pct"/>
            <w:vMerge w:val="restart"/>
            <w:tcBorders>
              <w:tl2br w:val="nil"/>
              <w:tr2bl w:val="nil"/>
            </w:tcBorders>
            <w:noWrap w:val="0"/>
            <w:vAlign w:val="center"/>
          </w:tcPr>
          <w:p w14:paraId="55680AC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zh-CN" w:bidi="ar-SA"/>
              </w:rPr>
            </w:pPr>
            <w:r>
              <w:rPr>
                <w:rFonts w:hint="eastAsia" w:ascii="Times New Roman" w:hAnsi="Times New Roman" w:eastAsia="宋体" w:cs="Times New Roman"/>
                <w:snapToGrid w:val="0"/>
                <w:color w:val="000000"/>
                <w:spacing w:val="0"/>
                <w:kern w:val="0"/>
                <w:sz w:val="21"/>
                <w:szCs w:val="21"/>
                <w:lang w:val="en-US" w:eastAsia="zh-CN" w:bidi="ar-SA"/>
              </w:rPr>
              <w:t>2022.7.30</w:t>
            </w:r>
          </w:p>
        </w:tc>
        <w:tc>
          <w:tcPr>
            <w:tcW w:w="697" w:type="pct"/>
            <w:tcBorders>
              <w:tl2br w:val="nil"/>
              <w:tr2bl w:val="nil"/>
            </w:tcBorders>
            <w:noWrap w:val="0"/>
            <w:vAlign w:val="center"/>
          </w:tcPr>
          <w:p w14:paraId="0F6C44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321A71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359B20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847B82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0.771</w:t>
            </w:r>
          </w:p>
        </w:tc>
        <w:tc>
          <w:tcPr>
            <w:tcW w:w="565" w:type="pct"/>
            <w:tcBorders>
              <w:tl2br w:val="nil"/>
              <w:tr2bl w:val="nil"/>
            </w:tcBorders>
            <w:noWrap w:val="0"/>
            <w:vAlign w:val="center"/>
          </w:tcPr>
          <w:p w14:paraId="35DE7EF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616A41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2FFC2EA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473A33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ZK1-8</w:t>
            </w:r>
          </w:p>
        </w:tc>
        <w:tc>
          <w:tcPr>
            <w:tcW w:w="851" w:type="pct"/>
            <w:vMerge w:val="continue"/>
            <w:tcBorders>
              <w:tl2br w:val="nil"/>
              <w:tr2bl w:val="nil"/>
            </w:tcBorders>
            <w:noWrap w:val="0"/>
            <w:vAlign w:val="center"/>
          </w:tcPr>
          <w:p w14:paraId="444A73B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28C9B4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69E76C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054E1F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7373D3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1.03</w:t>
            </w:r>
          </w:p>
        </w:tc>
        <w:tc>
          <w:tcPr>
            <w:tcW w:w="565" w:type="pct"/>
            <w:tcBorders>
              <w:tl2br w:val="nil"/>
              <w:tr2bl w:val="nil"/>
            </w:tcBorders>
            <w:noWrap w:val="0"/>
            <w:vAlign w:val="center"/>
          </w:tcPr>
          <w:p w14:paraId="479145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103BE1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1963EAE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万古村1号废渣堆红线外1m</w:t>
            </w:r>
          </w:p>
        </w:tc>
        <w:tc>
          <w:tcPr>
            <w:tcW w:w="522" w:type="pct"/>
            <w:tcBorders>
              <w:tl2br w:val="nil"/>
              <w:tr2bl w:val="nil"/>
            </w:tcBorders>
            <w:noWrap w:val="0"/>
            <w:vAlign w:val="center"/>
          </w:tcPr>
          <w:p w14:paraId="3151C3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ZK1-6</w:t>
            </w:r>
          </w:p>
        </w:tc>
        <w:tc>
          <w:tcPr>
            <w:tcW w:w="851" w:type="pct"/>
            <w:vMerge w:val="continue"/>
            <w:tcBorders>
              <w:tl2br w:val="nil"/>
              <w:tr2bl w:val="nil"/>
            </w:tcBorders>
            <w:noWrap w:val="0"/>
            <w:vAlign w:val="center"/>
          </w:tcPr>
          <w:p w14:paraId="7085F86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4ACE88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1F7F890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932254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2A31DAE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0.00620</w:t>
            </w:r>
          </w:p>
        </w:tc>
        <w:tc>
          <w:tcPr>
            <w:tcW w:w="565" w:type="pct"/>
            <w:tcBorders>
              <w:tl2br w:val="nil"/>
              <w:tr2bl w:val="nil"/>
            </w:tcBorders>
            <w:noWrap w:val="0"/>
            <w:vAlign w:val="center"/>
          </w:tcPr>
          <w:p w14:paraId="563CF5C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FFE9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3B0E457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4DF3A88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ZK1-9</w:t>
            </w:r>
          </w:p>
        </w:tc>
        <w:tc>
          <w:tcPr>
            <w:tcW w:w="851" w:type="pct"/>
            <w:vMerge w:val="continue"/>
            <w:tcBorders>
              <w:tl2br w:val="nil"/>
              <w:tr2bl w:val="nil"/>
            </w:tcBorders>
            <w:noWrap w:val="0"/>
            <w:vAlign w:val="center"/>
          </w:tcPr>
          <w:p w14:paraId="7AC930E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48DCC0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2DC114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EF2B64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5B02B9A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0.00340</w:t>
            </w:r>
          </w:p>
        </w:tc>
        <w:tc>
          <w:tcPr>
            <w:tcW w:w="565" w:type="pct"/>
            <w:tcBorders>
              <w:tl2br w:val="nil"/>
              <w:tr2bl w:val="nil"/>
            </w:tcBorders>
            <w:noWrap w:val="0"/>
            <w:vAlign w:val="center"/>
          </w:tcPr>
          <w:p w14:paraId="7FD0A7F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1454DC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711F0B9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5086BF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ZK1-10</w:t>
            </w:r>
          </w:p>
        </w:tc>
        <w:tc>
          <w:tcPr>
            <w:tcW w:w="851" w:type="pct"/>
            <w:vMerge w:val="continue"/>
            <w:tcBorders>
              <w:tl2br w:val="nil"/>
              <w:tr2bl w:val="nil"/>
            </w:tcBorders>
            <w:noWrap w:val="0"/>
            <w:vAlign w:val="center"/>
          </w:tcPr>
          <w:p w14:paraId="3C25E1B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0817686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w:t>
            </w:r>
          </w:p>
        </w:tc>
        <w:tc>
          <w:tcPr>
            <w:tcW w:w="692" w:type="pct"/>
            <w:tcBorders>
              <w:tl2br w:val="nil"/>
              <w:tr2bl w:val="nil"/>
            </w:tcBorders>
            <w:noWrap w:val="0"/>
            <w:vAlign w:val="center"/>
          </w:tcPr>
          <w:p w14:paraId="3613F6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7F1227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A7689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0.00905</w:t>
            </w:r>
          </w:p>
        </w:tc>
        <w:tc>
          <w:tcPr>
            <w:tcW w:w="565" w:type="pct"/>
            <w:tcBorders>
              <w:tl2br w:val="nil"/>
              <w:tr2bl w:val="nil"/>
            </w:tcBorders>
            <w:noWrap w:val="0"/>
            <w:vAlign w:val="center"/>
          </w:tcPr>
          <w:p w14:paraId="5A926D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0B248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15F32D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0084F8A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ZK1-11</w:t>
            </w:r>
          </w:p>
        </w:tc>
        <w:tc>
          <w:tcPr>
            <w:tcW w:w="851" w:type="pct"/>
            <w:vMerge w:val="continue"/>
            <w:tcBorders>
              <w:tl2br w:val="nil"/>
              <w:tr2bl w:val="nil"/>
            </w:tcBorders>
            <w:noWrap w:val="0"/>
            <w:vAlign w:val="center"/>
          </w:tcPr>
          <w:p w14:paraId="2D10D95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61AEA06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红棕色</w:t>
            </w:r>
          </w:p>
        </w:tc>
        <w:tc>
          <w:tcPr>
            <w:tcW w:w="692" w:type="pct"/>
            <w:tcBorders>
              <w:tl2br w:val="nil"/>
              <w:tr2bl w:val="nil"/>
            </w:tcBorders>
            <w:noWrap w:val="0"/>
            <w:vAlign w:val="center"/>
          </w:tcPr>
          <w:p w14:paraId="5D51B71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746BFF8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7EA5DE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0.00077</w:t>
            </w:r>
          </w:p>
        </w:tc>
        <w:tc>
          <w:tcPr>
            <w:tcW w:w="565" w:type="pct"/>
            <w:tcBorders>
              <w:tl2br w:val="nil"/>
              <w:tr2bl w:val="nil"/>
            </w:tcBorders>
            <w:noWrap w:val="0"/>
            <w:vAlign w:val="center"/>
          </w:tcPr>
          <w:p w14:paraId="62DF2B8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608AE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7C1C9B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15D4CBF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ZK1-12</w:t>
            </w:r>
          </w:p>
        </w:tc>
        <w:tc>
          <w:tcPr>
            <w:tcW w:w="851" w:type="pct"/>
            <w:vMerge w:val="continue"/>
            <w:tcBorders>
              <w:tl2br w:val="nil"/>
              <w:tr2bl w:val="nil"/>
            </w:tcBorders>
            <w:noWrap w:val="0"/>
            <w:vAlign w:val="center"/>
          </w:tcPr>
          <w:p w14:paraId="2E66F7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B62D7D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灰褐色</w:t>
            </w:r>
          </w:p>
        </w:tc>
        <w:tc>
          <w:tcPr>
            <w:tcW w:w="692" w:type="pct"/>
            <w:tcBorders>
              <w:tl2br w:val="nil"/>
              <w:tr2bl w:val="nil"/>
            </w:tcBorders>
            <w:noWrap w:val="0"/>
            <w:vAlign w:val="center"/>
          </w:tcPr>
          <w:p w14:paraId="2C8831F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06B353E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22ADC2B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0.00445</w:t>
            </w:r>
          </w:p>
        </w:tc>
        <w:tc>
          <w:tcPr>
            <w:tcW w:w="565" w:type="pct"/>
            <w:tcBorders>
              <w:tl2br w:val="nil"/>
              <w:tr2bl w:val="nil"/>
            </w:tcBorders>
            <w:noWrap w:val="0"/>
            <w:vAlign w:val="center"/>
          </w:tcPr>
          <w:p w14:paraId="5D56A23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908EC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5B2B54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08C54D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ZK1-13</w:t>
            </w:r>
          </w:p>
        </w:tc>
        <w:tc>
          <w:tcPr>
            <w:tcW w:w="851" w:type="pct"/>
            <w:vMerge w:val="continue"/>
            <w:tcBorders>
              <w:tl2br w:val="nil"/>
              <w:tr2bl w:val="nil"/>
            </w:tcBorders>
            <w:noWrap w:val="0"/>
            <w:vAlign w:val="center"/>
          </w:tcPr>
          <w:p w14:paraId="6E2BEBA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48B67D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红棕色</w:t>
            </w:r>
          </w:p>
        </w:tc>
        <w:tc>
          <w:tcPr>
            <w:tcW w:w="692" w:type="pct"/>
            <w:tcBorders>
              <w:tl2br w:val="nil"/>
              <w:tr2bl w:val="nil"/>
            </w:tcBorders>
            <w:noWrap w:val="0"/>
            <w:vAlign w:val="center"/>
          </w:tcPr>
          <w:p w14:paraId="11EE267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2067743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38A20E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0.00064</w:t>
            </w:r>
          </w:p>
        </w:tc>
        <w:tc>
          <w:tcPr>
            <w:tcW w:w="565" w:type="pct"/>
            <w:tcBorders>
              <w:tl2br w:val="nil"/>
              <w:tr2bl w:val="nil"/>
            </w:tcBorders>
            <w:noWrap w:val="0"/>
            <w:vAlign w:val="center"/>
          </w:tcPr>
          <w:p w14:paraId="03664C6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23E3C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7B1AC42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万古村2号废渣堆内</w:t>
            </w:r>
          </w:p>
        </w:tc>
        <w:tc>
          <w:tcPr>
            <w:tcW w:w="522" w:type="pct"/>
            <w:tcBorders>
              <w:tl2br w:val="nil"/>
              <w:tr2bl w:val="nil"/>
            </w:tcBorders>
            <w:noWrap w:val="0"/>
            <w:vAlign w:val="center"/>
          </w:tcPr>
          <w:p w14:paraId="01299F4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ZK2-1</w:t>
            </w:r>
          </w:p>
        </w:tc>
        <w:tc>
          <w:tcPr>
            <w:tcW w:w="851" w:type="pct"/>
            <w:vMerge w:val="continue"/>
            <w:tcBorders>
              <w:tl2br w:val="nil"/>
              <w:tr2bl w:val="nil"/>
            </w:tcBorders>
            <w:noWrap w:val="0"/>
            <w:vAlign w:val="center"/>
          </w:tcPr>
          <w:p w14:paraId="61B5F6E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BB5775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477A702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263E37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005EDD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0.734</w:t>
            </w:r>
          </w:p>
        </w:tc>
        <w:tc>
          <w:tcPr>
            <w:tcW w:w="565" w:type="pct"/>
            <w:tcBorders>
              <w:tl2br w:val="nil"/>
              <w:tr2bl w:val="nil"/>
            </w:tcBorders>
            <w:noWrap w:val="0"/>
            <w:vAlign w:val="center"/>
          </w:tcPr>
          <w:p w14:paraId="44425FC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4010C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F39B32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6ECA29C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ZK2-11</w:t>
            </w:r>
          </w:p>
        </w:tc>
        <w:tc>
          <w:tcPr>
            <w:tcW w:w="851" w:type="pct"/>
            <w:vMerge w:val="continue"/>
            <w:tcBorders>
              <w:tl2br w:val="nil"/>
              <w:tr2bl w:val="nil"/>
            </w:tcBorders>
            <w:noWrap w:val="0"/>
            <w:vAlign w:val="center"/>
          </w:tcPr>
          <w:p w14:paraId="5A65865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420F30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233191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E8E65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0C1DE9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0.966</w:t>
            </w:r>
          </w:p>
        </w:tc>
        <w:tc>
          <w:tcPr>
            <w:tcW w:w="565" w:type="pct"/>
            <w:tcBorders>
              <w:tl2br w:val="nil"/>
              <w:tr2bl w:val="nil"/>
            </w:tcBorders>
            <w:noWrap w:val="0"/>
            <w:vAlign w:val="center"/>
          </w:tcPr>
          <w:p w14:paraId="39D8BA2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51359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55E35E2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060A6BE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ZK2-33</w:t>
            </w:r>
          </w:p>
        </w:tc>
        <w:tc>
          <w:tcPr>
            <w:tcW w:w="851" w:type="pct"/>
            <w:vMerge w:val="continue"/>
            <w:tcBorders>
              <w:tl2br w:val="nil"/>
              <w:tr2bl w:val="nil"/>
            </w:tcBorders>
            <w:noWrap w:val="0"/>
            <w:vAlign w:val="center"/>
          </w:tcPr>
          <w:p w14:paraId="69D1A0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57CADA8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7DE280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71014E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257D8EC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0.788</w:t>
            </w:r>
          </w:p>
        </w:tc>
        <w:tc>
          <w:tcPr>
            <w:tcW w:w="565" w:type="pct"/>
            <w:tcBorders>
              <w:tl2br w:val="nil"/>
              <w:tr2bl w:val="nil"/>
            </w:tcBorders>
            <w:noWrap w:val="0"/>
            <w:vAlign w:val="center"/>
          </w:tcPr>
          <w:p w14:paraId="02E215B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4AF17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73AA38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52AB44C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ZK2-19</w:t>
            </w:r>
          </w:p>
        </w:tc>
        <w:tc>
          <w:tcPr>
            <w:tcW w:w="851" w:type="pct"/>
            <w:vMerge w:val="continue"/>
            <w:tcBorders>
              <w:tl2br w:val="nil"/>
              <w:tr2bl w:val="nil"/>
            </w:tcBorders>
            <w:noWrap w:val="0"/>
            <w:vAlign w:val="center"/>
          </w:tcPr>
          <w:p w14:paraId="12216D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4DFC2B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11495A6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4229B6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DBE6F0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0.00621</w:t>
            </w:r>
          </w:p>
        </w:tc>
        <w:tc>
          <w:tcPr>
            <w:tcW w:w="565" w:type="pct"/>
            <w:tcBorders>
              <w:tl2br w:val="nil"/>
              <w:tr2bl w:val="nil"/>
            </w:tcBorders>
            <w:noWrap w:val="0"/>
            <w:vAlign w:val="center"/>
          </w:tcPr>
          <w:p w14:paraId="0811090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7992C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2E47572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万古村2号废渣堆红线外1m</w:t>
            </w:r>
          </w:p>
        </w:tc>
        <w:tc>
          <w:tcPr>
            <w:tcW w:w="522" w:type="pct"/>
            <w:tcBorders>
              <w:tl2br w:val="nil"/>
              <w:tr2bl w:val="nil"/>
            </w:tcBorders>
            <w:noWrap w:val="0"/>
            <w:vAlign w:val="center"/>
          </w:tcPr>
          <w:p w14:paraId="52371A8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ZK2-20</w:t>
            </w:r>
          </w:p>
        </w:tc>
        <w:tc>
          <w:tcPr>
            <w:tcW w:w="851" w:type="pct"/>
            <w:vMerge w:val="continue"/>
            <w:tcBorders>
              <w:tl2br w:val="nil"/>
              <w:tr2bl w:val="nil"/>
            </w:tcBorders>
            <w:noWrap w:val="0"/>
            <w:vAlign w:val="center"/>
          </w:tcPr>
          <w:p w14:paraId="5095FBD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1314DEB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灰褐色</w:t>
            </w:r>
          </w:p>
        </w:tc>
        <w:tc>
          <w:tcPr>
            <w:tcW w:w="692" w:type="pct"/>
            <w:tcBorders>
              <w:tl2br w:val="nil"/>
              <w:tr2bl w:val="nil"/>
            </w:tcBorders>
            <w:noWrap w:val="0"/>
            <w:vAlign w:val="center"/>
          </w:tcPr>
          <w:p w14:paraId="547506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E4C8DB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5B62D9E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0.00671</w:t>
            </w:r>
          </w:p>
        </w:tc>
        <w:tc>
          <w:tcPr>
            <w:tcW w:w="565" w:type="pct"/>
            <w:tcBorders>
              <w:tl2br w:val="nil"/>
              <w:tr2bl w:val="nil"/>
            </w:tcBorders>
            <w:noWrap w:val="0"/>
            <w:vAlign w:val="center"/>
          </w:tcPr>
          <w:p w14:paraId="1A9A31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FD932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607FC0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2E9D38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ZK2-21</w:t>
            </w:r>
          </w:p>
        </w:tc>
        <w:tc>
          <w:tcPr>
            <w:tcW w:w="851" w:type="pct"/>
            <w:vMerge w:val="continue"/>
            <w:tcBorders>
              <w:tl2br w:val="nil"/>
              <w:tr2bl w:val="nil"/>
            </w:tcBorders>
            <w:noWrap w:val="0"/>
            <w:vAlign w:val="center"/>
          </w:tcPr>
          <w:p w14:paraId="41CB559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1C9B54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25E721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79385C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064BE7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0.00751</w:t>
            </w:r>
          </w:p>
        </w:tc>
        <w:tc>
          <w:tcPr>
            <w:tcW w:w="565" w:type="pct"/>
            <w:tcBorders>
              <w:tl2br w:val="nil"/>
              <w:tr2bl w:val="nil"/>
            </w:tcBorders>
            <w:noWrap w:val="0"/>
            <w:vAlign w:val="center"/>
          </w:tcPr>
          <w:p w14:paraId="0EF38B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16CE48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727951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3902A0B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ZK2-22</w:t>
            </w:r>
          </w:p>
        </w:tc>
        <w:tc>
          <w:tcPr>
            <w:tcW w:w="851" w:type="pct"/>
            <w:vMerge w:val="continue"/>
            <w:tcBorders>
              <w:tl2br w:val="nil"/>
              <w:tr2bl w:val="nil"/>
            </w:tcBorders>
            <w:noWrap w:val="0"/>
            <w:vAlign w:val="center"/>
          </w:tcPr>
          <w:p w14:paraId="6B4D47E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55DB80F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灰褐色</w:t>
            </w:r>
          </w:p>
        </w:tc>
        <w:tc>
          <w:tcPr>
            <w:tcW w:w="692" w:type="pct"/>
            <w:tcBorders>
              <w:tl2br w:val="nil"/>
              <w:tr2bl w:val="nil"/>
            </w:tcBorders>
            <w:noWrap w:val="0"/>
            <w:vAlign w:val="center"/>
          </w:tcPr>
          <w:p w14:paraId="11D9BA0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9F9556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64A15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0.00573</w:t>
            </w:r>
          </w:p>
        </w:tc>
        <w:tc>
          <w:tcPr>
            <w:tcW w:w="565" w:type="pct"/>
            <w:tcBorders>
              <w:tl2br w:val="nil"/>
              <w:tr2bl w:val="nil"/>
            </w:tcBorders>
            <w:noWrap w:val="0"/>
            <w:vAlign w:val="center"/>
          </w:tcPr>
          <w:p w14:paraId="100C95E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59DA51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393BB5E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532E08D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ZK2-23</w:t>
            </w:r>
          </w:p>
        </w:tc>
        <w:tc>
          <w:tcPr>
            <w:tcW w:w="851" w:type="pct"/>
            <w:vMerge w:val="continue"/>
            <w:tcBorders>
              <w:tl2br w:val="nil"/>
              <w:tr2bl w:val="nil"/>
            </w:tcBorders>
            <w:noWrap w:val="0"/>
            <w:vAlign w:val="center"/>
          </w:tcPr>
          <w:p w14:paraId="25E02C3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473F9B3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w:t>
            </w:r>
          </w:p>
        </w:tc>
        <w:tc>
          <w:tcPr>
            <w:tcW w:w="692" w:type="pct"/>
            <w:tcBorders>
              <w:tl2br w:val="nil"/>
              <w:tr2bl w:val="nil"/>
            </w:tcBorders>
            <w:noWrap w:val="0"/>
            <w:vAlign w:val="center"/>
          </w:tcPr>
          <w:p w14:paraId="4F0FEBB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BF461E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81402E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0.00831</w:t>
            </w:r>
          </w:p>
        </w:tc>
        <w:tc>
          <w:tcPr>
            <w:tcW w:w="565" w:type="pct"/>
            <w:tcBorders>
              <w:tl2br w:val="nil"/>
              <w:tr2bl w:val="nil"/>
            </w:tcBorders>
            <w:noWrap w:val="0"/>
            <w:vAlign w:val="center"/>
          </w:tcPr>
          <w:p w14:paraId="2A2FE4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64FB5E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6943402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2DCF13A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ZK2-24</w:t>
            </w:r>
          </w:p>
        </w:tc>
        <w:tc>
          <w:tcPr>
            <w:tcW w:w="851" w:type="pct"/>
            <w:vMerge w:val="continue"/>
            <w:tcBorders>
              <w:tl2br w:val="nil"/>
              <w:tr2bl w:val="nil"/>
            </w:tcBorders>
            <w:noWrap w:val="0"/>
            <w:vAlign w:val="center"/>
          </w:tcPr>
          <w:p w14:paraId="684D767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D5966D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37B466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04118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FBFA5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0.00776</w:t>
            </w:r>
          </w:p>
        </w:tc>
        <w:tc>
          <w:tcPr>
            <w:tcW w:w="565" w:type="pct"/>
            <w:tcBorders>
              <w:tl2br w:val="nil"/>
              <w:tr2bl w:val="nil"/>
            </w:tcBorders>
            <w:noWrap w:val="0"/>
            <w:vAlign w:val="center"/>
          </w:tcPr>
          <w:p w14:paraId="6E40471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2D520F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7237DB4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4125E6B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ZK2-25</w:t>
            </w:r>
          </w:p>
        </w:tc>
        <w:tc>
          <w:tcPr>
            <w:tcW w:w="851" w:type="pct"/>
            <w:vMerge w:val="continue"/>
            <w:tcBorders>
              <w:tl2br w:val="nil"/>
              <w:tr2bl w:val="nil"/>
            </w:tcBorders>
            <w:noWrap w:val="0"/>
            <w:vAlign w:val="center"/>
          </w:tcPr>
          <w:p w14:paraId="2F87BF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D1B4D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红棕色</w:t>
            </w:r>
          </w:p>
        </w:tc>
        <w:tc>
          <w:tcPr>
            <w:tcW w:w="692" w:type="pct"/>
            <w:tcBorders>
              <w:tl2br w:val="nil"/>
              <w:tr2bl w:val="nil"/>
            </w:tcBorders>
            <w:noWrap w:val="0"/>
            <w:vAlign w:val="center"/>
          </w:tcPr>
          <w:p w14:paraId="51EA29C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46F0F3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3684A53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0.0126</w:t>
            </w:r>
          </w:p>
        </w:tc>
        <w:tc>
          <w:tcPr>
            <w:tcW w:w="565" w:type="pct"/>
            <w:tcBorders>
              <w:tl2br w:val="nil"/>
              <w:tr2bl w:val="nil"/>
            </w:tcBorders>
            <w:noWrap w:val="0"/>
            <w:vAlign w:val="center"/>
          </w:tcPr>
          <w:p w14:paraId="6194835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244D04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ABF37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1435228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ZK2-26</w:t>
            </w:r>
          </w:p>
        </w:tc>
        <w:tc>
          <w:tcPr>
            <w:tcW w:w="851" w:type="pct"/>
            <w:vMerge w:val="continue"/>
            <w:tcBorders>
              <w:tl2br w:val="nil"/>
              <w:tr2bl w:val="nil"/>
            </w:tcBorders>
            <w:noWrap w:val="0"/>
            <w:vAlign w:val="center"/>
          </w:tcPr>
          <w:p w14:paraId="18DD90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5144BFD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230D517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2E7095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36B5B5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0.0231</w:t>
            </w:r>
          </w:p>
        </w:tc>
        <w:tc>
          <w:tcPr>
            <w:tcW w:w="565" w:type="pct"/>
            <w:tcBorders>
              <w:tl2br w:val="nil"/>
              <w:tr2bl w:val="nil"/>
            </w:tcBorders>
            <w:noWrap w:val="0"/>
            <w:vAlign w:val="center"/>
          </w:tcPr>
          <w:p w14:paraId="70A1D90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C5E09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E0602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34F367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ZK2-27</w:t>
            </w:r>
          </w:p>
        </w:tc>
        <w:tc>
          <w:tcPr>
            <w:tcW w:w="851" w:type="pct"/>
            <w:vMerge w:val="continue"/>
            <w:tcBorders>
              <w:tl2br w:val="nil"/>
              <w:tr2bl w:val="nil"/>
            </w:tcBorders>
            <w:noWrap w:val="0"/>
            <w:vAlign w:val="center"/>
          </w:tcPr>
          <w:p w14:paraId="20AB6A1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A7F52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772E052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0534E21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020B91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0.00276</w:t>
            </w:r>
          </w:p>
        </w:tc>
        <w:tc>
          <w:tcPr>
            <w:tcW w:w="565" w:type="pct"/>
            <w:tcBorders>
              <w:tl2br w:val="nil"/>
              <w:tr2bl w:val="nil"/>
            </w:tcBorders>
            <w:noWrap w:val="0"/>
            <w:vAlign w:val="center"/>
          </w:tcPr>
          <w:p w14:paraId="3AC34D6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300516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0E14D98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75A3D8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ZK2-28</w:t>
            </w:r>
          </w:p>
        </w:tc>
        <w:tc>
          <w:tcPr>
            <w:tcW w:w="851" w:type="pct"/>
            <w:vMerge w:val="continue"/>
            <w:tcBorders>
              <w:tl2br w:val="nil"/>
              <w:tr2bl w:val="nil"/>
            </w:tcBorders>
            <w:noWrap w:val="0"/>
            <w:vAlign w:val="center"/>
          </w:tcPr>
          <w:p w14:paraId="095A4B5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87C8DF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w:t>
            </w:r>
          </w:p>
        </w:tc>
        <w:tc>
          <w:tcPr>
            <w:tcW w:w="692" w:type="pct"/>
            <w:tcBorders>
              <w:tl2br w:val="nil"/>
              <w:tr2bl w:val="nil"/>
            </w:tcBorders>
            <w:noWrap w:val="0"/>
            <w:vAlign w:val="center"/>
          </w:tcPr>
          <w:p w14:paraId="11A24B6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A114B6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7C5BD5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0.0162</w:t>
            </w:r>
          </w:p>
        </w:tc>
        <w:tc>
          <w:tcPr>
            <w:tcW w:w="565" w:type="pct"/>
            <w:tcBorders>
              <w:tl2br w:val="nil"/>
              <w:tr2bl w:val="nil"/>
            </w:tcBorders>
            <w:noWrap w:val="0"/>
            <w:vAlign w:val="center"/>
          </w:tcPr>
          <w:p w14:paraId="4473613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2D986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6C62D08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1694B2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ZK2-29</w:t>
            </w:r>
          </w:p>
        </w:tc>
        <w:tc>
          <w:tcPr>
            <w:tcW w:w="851" w:type="pct"/>
            <w:vMerge w:val="continue"/>
            <w:tcBorders>
              <w:tl2br w:val="nil"/>
              <w:tr2bl w:val="nil"/>
            </w:tcBorders>
            <w:noWrap w:val="0"/>
            <w:vAlign w:val="center"/>
          </w:tcPr>
          <w:p w14:paraId="6BC7544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64F008D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6601667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71A0E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A907FD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0.00033</w:t>
            </w:r>
          </w:p>
        </w:tc>
        <w:tc>
          <w:tcPr>
            <w:tcW w:w="565" w:type="pct"/>
            <w:tcBorders>
              <w:tl2br w:val="nil"/>
              <w:tr2bl w:val="nil"/>
            </w:tcBorders>
            <w:noWrap w:val="0"/>
            <w:vAlign w:val="center"/>
          </w:tcPr>
          <w:p w14:paraId="715D0D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331048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71930EA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69642A6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ZK2-30</w:t>
            </w:r>
          </w:p>
        </w:tc>
        <w:tc>
          <w:tcPr>
            <w:tcW w:w="851" w:type="pct"/>
            <w:vMerge w:val="continue"/>
            <w:tcBorders>
              <w:tl2br w:val="nil"/>
              <w:tr2bl w:val="nil"/>
            </w:tcBorders>
            <w:noWrap w:val="0"/>
            <w:vAlign w:val="center"/>
          </w:tcPr>
          <w:p w14:paraId="16AF4CC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4DBF39C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灰褐色</w:t>
            </w:r>
          </w:p>
        </w:tc>
        <w:tc>
          <w:tcPr>
            <w:tcW w:w="692" w:type="pct"/>
            <w:tcBorders>
              <w:tl2br w:val="nil"/>
              <w:tr2bl w:val="nil"/>
            </w:tcBorders>
            <w:noWrap w:val="0"/>
            <w:vAlign w:val="center"/>
          </w:tcPr>
          <w:p w14:paraId="5AB7BCE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20B6000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5C43AE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0.00046</w:t>
            </w:r>
          </w:p>
        </w:tc>
        <w:tc>
          <w:tcPr>
            <w:tcW w:w="565" w:type="pct"/>
            <w:tcBorders>
              <w:tl2br w:val="nil"/>
              <w:tr2bl w:val="nil"/>
            </w:tcBorders>
            <w:noWrap w:val="0"/>
            <w:vAlign w:val="center"/>
          </w:tcPr>
          <w:p w14:paraId="311590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B02DA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0BC8037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0025192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ZK2-31</w:t>
            </w:r>
          </w:p>
        </w:tc>
        <w:tc>
          <w:tcPr>
            <w:tcW w:w="851" w:type="pct"/>
            <w:vMerge w:val="continue"/>
            <w:tcBorders>
              <w:tl2br w:val="nil"/>
              <w:tr2bl w:val="nil"/>
            </w:tcBorders>
            <w:noWrap w:val="0"/>
            <w:vAlign w:val="center"/>
          </w:tcPr>
          <w:p w14:paraId="4429FB7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99BD5E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39EC35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7828653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81C6E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0.00025</w:t>
            </w:r>
          </w:p>
        </w:tc>
        <w:tc>
          <w:tcPr>
            <w:tcW w:w="565" w:type="pct"/>
            <w:tcBorders>
              <w:tl2br w:val="nil"/>
              <w:tr2bl w:val="nil"/>
            </w:tcBorders>
            <w:noWrap w:val="0"/>
            <w:vAlign w:val="center"/>
          </w:tcPr>
          <w:p w14:paraId="2644588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CF5FE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8BC033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135B538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ZK2-32</w:t>
            </w:r>
          </w:p>
        </w:tc>
        <w:tc>
          <w:tcPr>
            <w:tcW w:w="851" w:type="pct"/>
            <w:vMerge w:val="continue"/>
            <w:tcBorders>
              <w:tl2br w:val="nil"/>
              <w:tr2bl w:val="nil"/>
            </w:tcBorders>
            <w:noWrap w:val="0"/>
            <w:vAlign w:val="center"/>
          </w:tcPr>
          <w:p w14:paraId="72EF06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1076B18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红棕色</w:t>
            </w:r>
          </w:p>
        </w:tc>
        <w:tc>
          <w:tcPr>
            <w:tcW w:w="692" w:type="pct"/>
            <w:tcBorders>
              <w:tl2br w:val="nil"/>
              <w:tr2bl w:val="nil"/>
            </w:tcBorders>
            <w:noWrap w:val="0"/>
            <w:vAlign w:val="center"/>
          </w:tcPr>
          <w:p w14:paraId="35500F3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37304A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69F43E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0.00076</w:t>
            </w:r>
          </w:p>
        </w:tc>
        <w:tc>
          <w:tcPr>
            <w:tcW w:w="565" w:type="pct"/>
            <w:tcBorders>
              <w:tl2br w:val="nil"/>
              <w:tr2bl w:val="nil"/>
            </w:tcBorders>
            <w:noWrap w:val="0"/>
            <w:vAlign w:val="center"/>
          </w:tcPr>
          <w:p w14:paraId="4CDA275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5CDD26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3BDCD0B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7D1A0A1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ZK2-34</w:t>
            </w:r>
          </w:p>
        </w:tc>
        <w:tc>
          <w:tcPr>
            <w:tcW w:w="851" w:type="pct"/>
            <w:vMerge w:val="continue"/>
            <w:tcBorders>
              <w:tl2br w:val="nil"/>
              <w:tr2bl w:val="nil"/>
            </w:tcBorders>
            <w:noWrap w:val="0"/>
            <w:vAlign w:val="center"/>
          </w:tcPr>
          <w:p w14:paraId="41B37F9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15329D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灰色</w:t>
            </w:r>
          </w:p>
        </w:tc>
        <w:tc>
          <w:tcPr>
            <w:tcW w:w="692" w:type="pct"/>
            <w:tcBorders>
              <w:tl2br w:val="nil"/>
              <w:tr2bl w:val="nil"/>
            </w:tcBorders>
            <w:noWrap w:val="0"/>
            <w:vAlign w:val="center"/>
          </w:tcPr>
          <w:p w14:paraId="7B89A63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1B3C363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2A90273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0.00568</w:t>
            </w:r>
          </w:p>
        </w:tc>
        <w:tc>
          <w:tcPr>
            <w:tcW w:w="565" w:type="pct"/>
            <w:tcBorders>
              <w:tl2br w:val="nil"/>
              <w:tr2bl w:val="nil"/>
            </w:tcBorders>
            <w:noWrap w:val="0"/>
            <w:vAlign w:val="center"/>
          </w:tcPr>
          <w:p w14:paraId="594B9F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5E74AC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2E2962B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6CDEDA4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ZK2-35</w:t>
            </w:r>
          </w:p>
        </w:tc>
        <w:tc>
          <w:tcPr>
            <w:tcW w:w="851" w:type="pct"/>
            <w:vMerge w:val="continue"/>
            <w:tcBorders>
              <w:tl2br w:val="nil"/>
              <w:tr2bl w:val="nil"/>
            </w:tcBorders>
            <w:noWrap w:val="0"/>
            <w:vAlign w:val="center"/>
          </w:tcPr>
          <w:p w14:paraId="7FDD5F7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5B90D4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红棕色</w:t>
            </w:r>
          </w:p>
        </w:tc>
        <w:tc>
          <w:tcPr>
            <w:tcW w:w="692" w:type="pct"/>
            <w:tcBorders>
              <w:tl2br w:val="nil"/>
              <w:tr2bl w:val="nil"/>
            </w:tcBorders>
            <w:noWrap w:val="0"/>
            <w:vAlign w:val="center"/>
          </w:tcPr>
          <w:p w14:paraId="6202B43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7A50B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8E7295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0.00053</w:t>
            </w:r>
          </w:p>
        </w:tc>
        <w:tc>
          <w:tcPr>
            <w:tcW w:w="565" w:type="pct"/>
            <w:tcBorders>
              <w:tl2br w:val="nil"/>
              <w:tr2bl w:val="nil"/>
            </w:tcBorders>
            <w:noWrap w:val="0"/>
            <w:vAlign w:val="center"/>
          </w:tcPr>
          <w:p w14:paraId="00895D6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1D2C7C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3D359AA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p w14:paraId="4924E6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万古村3A号废渣堆内</w:t>
            </w:r>
          </w:p>
        </w:tc>
        <w:tc>
          <w:tcPr>
            <w:tcW w:w="522" w:type="pct"/>
            <w:tcBorders>
              <w:tl2br w:val="nil"/>
              <w:tr2bl w:val="nil"/>
            </w:tcBorders>
            <w:noWrap w:val="0"/>
            <w:vAlign w:val="center"/>
          </w:tcPr>
          <w:p w14:paraId="68D8F98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ZK3A-8</w:t>
            </w:r>
          </w:p>
        </w:tc>
        <w:tc>
          <w:tcPr>
            <w:tcW w:w="851" w:type="pct"/>
            <w:vMerge w:val="continue"/>
            <w:tcBorders>
              <w:tl2br w:val="nil"/>
              <w:tr2bl w:val="nil"/>
            </w:tcBorders>
            <w:noWrap w:val="0"/>
            <w:vAlign w:val="center"/>
          </w:tcPr>
          <w:p w14:paraId="66A836F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0745719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2A83BD5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1EF5A75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A310A1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eastAsia" w:ascii="Times New Roman" w:hAnsi="Times New Roman" w:eastAsia="宋体" w:cs="Times New Roman"/>
                <w:b/>
                <w:bCs/>
                <w:snapToGrid w:val="0"/>
                <w:color w:val="000000"/>
                <w:spacing w:val="0"/>
                <w:kern w:val="0"/>
                <w:sz w:val="21"/>
                <w:szCs w:val="21"/>
                <w:lang w:val="en-US" w:eastAsia="zh-CN" w:bidi="ar-SA"/>
              </w:rPr>
              <w:t>1.</w:t>
            </w:r>
            <w:r>
              <w:rPr>
                <w:rFonts w:hint="default" w:ascii="Times New Roman" w:hAnsi="Times New Roman" w:eastAsia="宋体" w:cs="Times New Roman"/>
                <w:b/>
                <w:bCs/>
                <w:snapToGrid w:val="0"/>
                <w:color w:val="000000"/>
                <w:spacing w:val="0"/>
                <w:kern w:val="0"/>
                <w:sz w:val="21"/>
                <w:szCs w:val="21"/>
                <w:lang w:val="en-US" w:eastAsia="en-US" w:bidi="ar-SA"/>
              </w:rPr>
              <w:t>16</w:t>
            </w:r>
          </w:p>
        </w:tc>
        <w:tc>
          <w:tcPr>
            <w:tcW w:w="565" w:type="pct"/>
            <w:tcBorders>
              <w:tl2br w:val="nil"/>
              <w:tr2bl w:val="nil"/>
            </w:tcBorders>
            <w:noWrap w:val="0"/>
            <w:vAlign w:val="center"/>
          </w:tcPr>
          <w:p w14:paraId="77F8290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90475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29B5072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7656A2B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ZK3A-10</w:t>
            </w:r>
          </w:p>
        </w:tc>
        <w:tc>
          <w:tcPr>
            <w:tcW w:w="851" w:type="pct"/>
            <w:vMerge w:val="continue"/>
            <w:tcBorders>
              <w:tl2br w:val="nil"/>
              <w:tr2bl w:val="nil"/>
            </w:tcBorders>
            <w:noWrap w:val="0"/>
            <w:vAlign w:val="center"/>
          </w:tcPr>
          <w:p w14:paraId="4139E88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AB35D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44435B7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01BF98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152779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0.718</w:t>
            </w:r>
          </w:p>
        </w:tc>
        <w:tc>
          <w:tcPr>
            <w:tcW w:w="565" w:type="pct"/>
            <w:tcBorders>
              <w:tl2br w:val="nil"/>
              <w:tr2bl w:val="nil"/>
            </w:tcBorders>
            <w:noWrap w:val="0"/>
            <w:vAlign w:val="center"/>
          </w:tcPr>
          <w:p w14:paraId="7F5ABA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77236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6F54133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20C73FD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ZK3A-13</w:t>
            </w:r>
          </w:p>
        </w:tc>
        <w:tc>
          <w:tcPr>
            <w:tcW w:w="851" w:type="pct"/>
            <w:vMerge w:val="continue"/>
            <w:tcBorders>
              <w:tl2br w:val="nil"/>
              <w:tr2bl w:val="nil"/>
            </w:tcBorders>
            <w:noWrap w:val="0"/>
            <w:vAlign w:val="center"/>
          </w:tcPr>
          <w:p w14:paraId="0B04832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0E3D516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410B7C3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331A5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D06319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1.24</w:t>
            </w:r>
          </w:p>
        </w:tc>
        <w:tc>
          <w:tcPr>
            <w:tcW w:w="565" w:type="pct"/>
            <w:tcBorders>
              <w:tl2br w:val="nil"/>
              <w:tr2bl w:val="nil"/>
            </w:tcBorders>
            <w:noWrap w:val="0"/>
            <w:vAlign w:val="center"/>
          </w:tcPr>
          <w:p w14:paraId="6EB5F47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9C689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26C087D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万古村3A号废渣堆红线外1m</w:t>
            </w:r>
          </w:p>
        </w:tc>
        <w:tc>
          <w:tcPr>
            <w:tcW w:w="522" w:type="pct"/>
            <w:tcBorders>
              <w:tl2br w:val="nil"/>
              <w:tr2bl w:val="nil"/>
            </w:tcBorders>
            <w:noWrap w:val="0"/>
            <w:vAlign w:val="center"/>
          </w:tcPr>
          <w:p w14:paraId="578DBF8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ZK3A-7</w:t>
            </w:r>
          </w:p>
        </w:tc>
        <w:tc>
          <w:tcPr>
            <w:tcW w:w="851" w:type="pct"/>
            <w:vMerge w:val="continue"/>
            <w:tcBorders>
              <w:tl2br w:val="nil"/>
              <w:tr2bl w:val="nil"/>
            </w:tcBorders>
            <w:noWrap w:val="0"/>
            <w:vAlign w:val="center"/>
          </w:tcPr>
          <w:p w14:paraId="4BE220E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19ED24A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棕色</w:t>
            </w:r>
          </w:p>
        </w:tc>
        <w:tc>
          <w:tcPr>
            <w:tcW w:w="692" w:type="pct"/>
            <w:tcBorders>
              <w:tl2br w:val="nil"/>
              <w:tr2bl w:val="nil"/>
            </w:tcBorders>
            <w:noWrap w:val="0"/>
            <w:vAlign w:val="center"/>
          </w:tcPr>
          <w:p w14:paraId="6B49E95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03CBEBD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76E52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0.00774</w:t>
            </w:r>
          </w:p>
        </w:tc>
        <w:tc>
          <w:tcPr>
            <w:tcW w:w="565" w:type="pct"/>
            <w:tcBorders>
              <w:tl2br w:val="nil"/>
              <w:tr2bl w:val="nil"/>
            </w:tcBorders>
            <w:noWrap w:val="0"/>
            <w:vAlign w:val="center"/>
          </w:tcPr>
          <w:p w14:paraId="3077D8F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4BC2C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A25A7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417BBE5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ZK3A-9</w:t>
            </w:r>
          </w:p>
        </w:tc>
        <w:tc>
          <w:tcPr>
            <w:tcW w:w="851" w:type="pct"/>
            <w:vMerge w:val="continue"/>
            <w:tcBorders>
              <w:tl2br w:val="nil"/>
              <w:tr2bl w:val="nil"/>
            </w:tcBorders>
            <w:noWrap w:val="0"/>
            <w:vAlign w:val="center"/>
          </w:tcPr>
          <w:p w14:paraId="6A265A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09A39D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棕色</w:t>
            </w:r>
          </w:p>
        </w:tc>
        <w:tc>
          <w:tcPr>
            <w:tcW w:w="692" w:type="pct"/>
            <w:tcBorders>
              <w:tl2br w:val="nil"/>
              <w:tr2bl w:val="nil"/>
            </w:tcBorders>
            <w:noWrap w:val="0"/>
            <w:vAlign w:val="center"/>
          </w:tcPr>
          <w:p w14:paraId="3D8A405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C6D021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3A154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0.682</w:t>
            </w:r>
          </w:p>
        </w:tc>
        <w:tc>
          <w:tcPr>
            <w:tcW w:w="565" w:type="pct"/>
            <w:tcBorders>
              <w:tl2br w:val="nil"/>
              <w:tr2bl w:val="nil"/>
            </w:tcBorders>
            <w:noWrap w:val="0"/>
            <w:vAlign w:val="center"/>
          </w:tcPr>
          <w:p w14:paraId="4CBA239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1530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566386B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0756BA3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ZK3A-11</w:t>
            </w:r>
          </w:p>
        </w:tc>
        <w:tc>
          <w:tcPr>
            <w:tcW w:w="851" w:type="pct"/>
            <w:vMerge w:val="continue"/>
            <w:tcBorders>
              <w:tl2br w:val="nil"/>
              <w:tr2bl w:val="nil"/>
            </w:tcBorders>
            <w:noWrap w:val="0"/>
            <w:vAlign w:val="center"/>
          </w:tcPr>
          <w:p w14:paraId="3E69EF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61394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69390C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252F796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1BC203D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0.0368</w:t>
            </w:r>
          </w:p>
        </w:tc>
        <w:tc>
          <w:tcPr>
            <w:tcW w:w="565" w:type="pct"/>
            <w:tcBorders>
              <w:tl2br w:val="nil"/>
              <w:tr2bl w:val="nil"/>
            </w:tcBorders>
            <w:noWrap w:val="0"/>
            <w:vAlign w:val="center"/>
          </w:tcPr>
          <w:p w14:paraId="125313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3DC598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599ED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3F4C75E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ZK3A-12</w:t>
            </w:r>
          </w:p>
        </w:tc>
        <w:tc>
          <w:tcPr>
            <w:tcW w:w="851" w:type="pct"/>
            <w:vMerge w:val="continue"/>
            <w:tcBorders>
              <w:tl2br w:val="nil"/>
              <w:tr2bl w:val="nil"/>
            </w:tcBorders>
            <w:noWrap w:val="0"/>
            <w:vAlign w:val="center"/>
          </w:tcPr>
          <w:p w14:paraId="547293C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555E0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棕色</w:t>
            </w:r>
          </w:p>
        </w:tc>
        <w:tc>
          <w:tcPr>
            <w:tcW w:w="692" w:type="pct"/>
            <w:tcBorders>
              <w:tl2br w:val="nil"/>
              <w:tr2bl w:val="nil"/>
            </w:tcBorders>
            <w:noWrap w:val="0"/>
            <w:vAlign w:val="center"/>
          </w:tcPr>
          <w:p w14:paraId="167E6EA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3170C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364FCF0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0.00899</w:t>
            </w:r>
          </w:p>
        </w:tc>
        <w:tc>
          <w:tcPr>
            <w:tcW w:w="565" w:type="pct"/>
            <w:tcBorders>
              <w:tl2br w:val="nil"/>
              <w:tr2bl w:val="nil"/>
            </w:tcBorders>
            <w:noWrap w:val="0"/>
            <w:vAlign w:val="center"/>
          </w:tcPr>
          <w:p w14:paraId="04AC7BB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50D5CB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B4854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749A9B3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ZK3A-14</w:t>
            </w:r>
          </w:p>
        </w:tc>
        <w:tc>
          <w:tcPr>
            <w:tcW w:w="851" w:type="pct"/>
            <w:vMerge w:val="continue"/>
            <w:tcBorders>
              <w:tl2br w:val="nil"/>
              <w:tr2bl w:val="nil"/>
            </w:tcBorders>
            <w:noWrap w:val="0"/>
            <w:vAlign w:val="center"/>
          </w:tcPr>
          <w:p w14:paraId="6A23521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4B9404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黄褐色</w:t>
            </w:r>
          </w:p>
        </w:tc>
        <w:tc>
          <w:tcPr>
            <w:tcW w:w="692" w:type="pct"/>
            <w:tcBorders>
              <w:tl2br w:val="nil"/>
              <w:tr2bl w:val="nil"/>
            </w:tcBorders>
            <w:noWrap w:val="0"/>
            <w:vAlign w:val="center"/>
          </w:tcPr>
          <w:p w14:paraId="64595C3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79FB7A3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BA5F1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0.00186</w:t>
            </w:r>
          </w:p>
        </w:tc>
        <w:tc>
          <w:tcPr>
            <w:tcW w:w="565" w:type="pct"/>
            <w:tcBorders>
              <w:tl2br w:val="nil"/>
              <w:tr2bl w:val="nil"/>
            </w:tcBorders>
            <w:noWrap w:val="0"/>
            <w:vAlign w:val="center"/>
          </w:tcPr>
          <w:p w14:paraId="50228DB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71F489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6BE568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万古村3B号废渣堆内</w:t>
            </w:r>
          </w:p>
        </w:tc>
        <w:tc>
          <w:tcPr>
            <w:tcW w:w="522" w:type="pct"/>
            <w:tcBorders>
              <w:tl2br w:val="nil"/>
              <w:tr2bl w:val="nil"/>
            </w:tcBorders>
            <w:noWrap w:val="0"/>
            <w:vAlign w:val="center"/>
          </w:tcPr>
          <w:p w14:paraId="2A94E62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ZK3B-6</w:t>
            </w:r>
          </w:p>
        </w:tc>
        <w:tc>
          <w:tcPr>
            <w:tcW w:w="851" w:type="pct"/>
            <w:vMerge w:val="continue"/>
            <w:tcBorders>
              <w:tl2br w:val="nil"/>
              <w:tr2bl w:val="nil"/>
            </w:tcBorders>
            <w:noWrap w:val="0"/>
            <w:vAlign w:val="center"/>
          </w:tcPr>
          <w:p w14:paraId="1C3D09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6F7A919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56C5FE1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1B6BC3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DF1156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0.959</w:t>
            </w:r>
          </w:p>
        </w:tc>
        <w:tc>
          <w:tcPr>
            <w:tcW w:w="565" w:type="pct"/>
            <w:tcBorders>
              <w:tl2br w:val="nil"/>
              <w:tr2bl w:val="nil"/>
            </w:tcBorders>
            <w:noWrap w:val="0"/>
            <w:vAlign w:val="center"/>
          </w:tcPr>
          <w:p w14:paraId="4B0219B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31044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D2B907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7A030B7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ZK3B-9</w:t>
            </w:r>
          </w:p>
        </w:tc>
        <w:tc>
          <w:tcPr>
            <w:tcW w:w="851" w:type="pct"/>
            <w:vMerge w:val="continue"/>
            <w:tcBorders>
              <w:tl2br w:val="nil"/>
              <w:tr2bl w:val="nil"/>
            </w:tcBorders>
            <w:noWrap w:val="0"/>
            <w:vAlign w:val="center"/>
          </w:tcPr>
          <w:p w14:paraId="2A45252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4F49B82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4364D44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CECCBE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FDDD39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0.00685</w:t>
            </w:r>
          </w:p>
        </w:tc>
        <w:tc>
          <w:tcPr>
            <w:tcW w:w="565" w:type="pct"/>
            <w:tcBorders>
              <w:tl2br w:val="nil"/>
              <w:tr2bl w:val="nil"/>
            </w:tcBorders>
            <w:noWrap w:val="0"/>
            <w:vAlign w:val="center"/>
          </w:tcPr>
          <w:p w14:paraId="7B572B4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B0828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09BD7F9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564BD9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ZK3B-10</w:t>
            </w:r>
          </w:p>
        </w:tc>
        <w:tc>
          <w:tcPr>
            <w:tcW w:w="851" w:type="pct"/>
            <w:vMerge w:val="continue"/>
            <w:tcBorders>
              <w:tl2br w:val="nil"/>
              <w:tr2bl w:val="nil"/>
            </w:tcBorders>
            <w:noWrap w:val="0"/>
            <w:vAlign w:val="center"/>
          </w:tcPr>
          <w:p w14:paraId="0549FB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5D148C4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73FBFB9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E8C26D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5B5B1F6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0.812</w:t>
            </w:r>
          </w:p>
        </w:tc>
        <w:tc>
          <w:tcPr>
            <w:tcW w:w="565" w:type="pct"/>
            <w:tcBorders>
              <w:tl2br w:val="nil"/>
              <w:tr2bl w:val="nil"/>
            </w:tcBorders>
            <w:noWrap w:val="0"/>
            <w:vAlign w:val="center"/>
          </w:tcPr>
          <w:p w14:paraId="25D4A3C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44E015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54C067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04359C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ZK3B-12</w:t>
            </w:r>
          </w:p>
        </w:tc>
        <w:tc>
          <w:tcPr>
            <w:tcW w:w="851" w:type="pct"/>
            <w:vMerge w:val="continue"/>
            <w:tcBorders>
              <w:tl2br w:val="nil"/>
              <w:tr2bl w:val="nil"/>
            </w:tcBorders>
            <w:noWrap w:val="0"/>
            <w:vAlign w:val="center"/>
          </w:tcPr>
          <w:p w14:paraId="45D3ABD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10201B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灰白色</w:t>
            </w:r>
          </w:p>
        </w:tc>
        <w:tc>
          <w:tcPr>
            <w:tcW w:w="692" w:type="pct"/>
            <w:tcBorders>
              <w:tl2br w:val="nil"/>
              <w:tr2bl w:val="nil"/>
            </w:tcBorders>
            <w:noWrap w:val="0"/>
            <w:vAlign w:val="center"/>
          </w:tcPr>
          <w:p w14:paraId="561919A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063FC1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0078044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spacing w:val="0"/>
                <w:kern w:val="0"/>
                <w:sz w:val="21"/>
                <w:szCs w:val="21"/>
                <w:lang w:val="en-US" w:eastAsia="en-US" w:bidi="ar-SA"/>
              </w:rPr>
            </w:pPr>
            <w:r>
              <w:rPr>
                <w:rFonts w:hint="default" w:ascii="Times New Roman" w:hAnsi="Times New Roman" w:eastAsia="宋体" w:cs="Times New Roman"/>
                <w:b/>
                <w:bCs/>
                <w:snapToGrid w:val="0"/>
                <w:color w:val="000000"/>
                <w:spacing w:val="0"/>
                <w:kern w:val="0"/>
                <w:sz w:val="21"/>
                <w:szCs w:val="21"/>
                <w:lang w:val="en-US" w:eastAsia="en-US" w:bidi="ar-SA"/>
              </w:rPr>
              <w:t>0.748</w:t>
            </w:r>
          </w:p>
        </w:tc>
        <w:tc>
          <w:tcPr>
            <w:tcW w:w="565" w:type="pct"/>
            <w:tcBorders>
              <w:tl2br w:val="nil"/>
              <w:tr2bl w:val="nil"/>
            </w:tcBorders>
            <w:noWrap w:val="0"/>
            <w:vAlign w:val="center"/>
          </w:tcPr>
          <w:p w14:paraId="2F76B00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211DC2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1A18AA1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万古村3B号废渣堆红线外1m</w:t>
            </w:r>
          </w:p>
        </w:tc>
        <w:tc>
          <w:tcPr>
            <w:tcW w:w="522" w:type="pct"/>
            <w:tcBorders>
              <w:tl2br w:val="nil"/>
              <w:tr2bl w:val="nil"/>
            </w:tcBorders>
            <w:noWrap w:val="0"/>
            <w:vAlign w:val="center"/>
          </w:tcPr>
          <w:p w14:paraId="4841857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ZK3B-5</w:t>
            </w:r>
          </w:p>
        </w:tc>
        <w:tc>
          <w:tcPr>
            <w:tcW w:w="851" w:type="pct"/>
            <w:vMerge w:val="continue"/>
            <w:tcBorders>
              <w:tl2br w:val="nil"/>
              <w:tr2bl w:val="nil"/>
            </w:tcBorders>
            <w:noWrap w:val="0"/>
            <w:vAlign w:val="center"/>
          </w:tcPr>
          <w:p w14:paraId="3FF6889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E977EB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黄褐色</w:t>
            </w:r>
          </w:p>
        </w:tc>
        <w:tc>
          <w:tcPr>
            <w:tcW w:w="692" w:type="pct"/>
            <w:tcBorders>
              <w:tl2br w:val="nil"/>
              <w:tr2bl w:val="nil"/>
            </w:tcBorders>
            <w:noWrap w:val="0"/>
            <w:vAlign w:val="center"/>
          </w:tcPr>
          <w:p w14:paraId="17458DF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18C62F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6719358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0.0215</w:t>
            </w:r>
          </w:p>
        </w:tc>
        <w:tc>
          <w:tcPr>
            <w:tcW w:w="565" w:type="pct"/>
            <w:tcBorders>
              <w:tl2br w:val="nil"/>
              <w:tr2bl w:val="nil"/>
            </w:tcBorders>
            <w:noWrap w:val="0"/>
            <w:vAlign w:val="center"/>
          </w:tcPr>
          <w:p w14:paraId="0B98EBB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6CFC60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20722B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549A73E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ZK3B-7</w:t>
            </w:r>
          </w:p>
        </w:tc>
        <w:tc>
          <w:tcPr>
            <w:tcW w:w="851" w:type="pct"/>
            <w:vMerge w:val="continue"/>
            <w:tcBorders>
              <w:tl2br w:val="nil"/>
              <w:tr2bl w:val="nil"/>
            </w:tcBorders>
            <w:noWrap w:val="0"/>
            <w:vAlign w:val="center"/>
          </w:tcPr>
          <w:p w14:paraId="2CC2F17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7EC505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3A517D3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31FAE9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67F52DF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0.00970</w:t>
            </w:r>
          </w:p>
        </w:tc>
        <w:tc>
          <w:tcPr>
            <w:tcW w:w="565" w:type="pct"/>
            <w:tcBorders>
              <w:tl2br w:val="nil"/>
              <w:tr2bl w:val="nil"/>
            </w:tcBorders>
            <w:noWrap w:val="0"/>
            <w:vAlign w:val="center"/>
          </w:tcPr>
          <w:p w14:paraId="39ED067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2B016A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EC5003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6FFEE8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ZK3B-8</w:t>
            </w:r>
          </w:p>
        </w:tc>
        <w:tc>
          <w:tcPr>
            <w:tcW w:w="851" w:type="pct"/>
            <w:vMerge w:val="continue"/>
            <w:tcBorders>
              <w:tl2br w:val="nil"/>
              <w:tr2bl w:val="nil"/>
            </w:tcBorders>
            <w:noWrap w:val="0"/>
            <w:vAlign w:val="center"/>
          </w:tcPr>
          <w:p w14:paraId="66A78C4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1A17F6D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棕色</w:t>
            </w:r>
          </w:p>
        </w:tc>
        <w:tc>
          <w:tcPr>
            <w:tcW w:w="692" w:type="pct"/>
            <w:tcBorders>
              <w:tl2br w:val="nil"/>
              <w:tr2bl w:val="nil"/>
            </w:tcBorders>
            <w:noWrap w:val="0"/>
            <w:vAlign w:val="center"/>
          </w:tcPr>
          <w:p w14:paraId="26C04DE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90EA4F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40A8160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0.00082</w:t>
            </w:r>
          </w:p>
        </w:tc>
        <w:tc>
          <w:tcPr>
            <w:tcW w:w="565" w:type="pct"/>
            <w:tcBorders>
              <w:tl2br w:val="nil"/>
              <w:tr2bl w:val="nil"/>
            </w:tcBorders>
            <w:noWrap w:val="0"/>
            <w:vAlign w:val="center"/>
          </w:tcPr>
          <w:p w14:paraId="42C5EFC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233165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restart"/>
            <w:tcBorders>
              <w:tl2br w:val="nil"/>
              <w:tr2bl w:val="nil"/>
            </w:tcBorders>
            <w:noWrap w:val="0"/>
            <w:vAlign w:val="center"/>
          </w:tcPr>
          <w:p w14:paraId="5C8D19C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万古村3B号废渣堆红线外1m</w:t>
            </w:r>
          </w:p>
        </w:tc>
        <w:tc>
          <w:tcPr>
            <w:tcW w:w="522" w:type="pct"/>
            <w:tcBorders>
              <w:tl2br w:val="nil"/>
              <w:tr2bl w:val="nil"/>
            </w:tcBorders>
            <w:noWrap w:val="0"/>
            <w:vAlign w:val="center"/>
          </w:tcPr>
          <w:p w14:paraId="0AFE393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ZK3B-11</w:t>
            </w:r>
          </w:p>
        </w:tc>
        <w:tc>
          <w:tcPr>
            <w:tcW w:w="851" w:type="pct"/>
            <w:vMerge w:val="continue"/>
            <w:tcBorders>
              <w:tl2br w:val="nil"/>
              <w:tr2bl w:val="nil"/>
            </w:tcBorders>
            <w:noWrap w:val="0"/>
            <w:vAlign w:val="center"/>
          </w:tcPr>
          <w:p w14:paraId="0B7CEFF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4A32B5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棕色</w:t>
            </w:r>
          </w:p>
        </w:tc>
        <w:tc>
          <w:tcPr>
            <w:tcW w:w="692" w:type="pct"/>
            <w:tcBorders>
              <w:tl2br w:val="nil"/>
              <w:tr2bl w:val="nil"/>
            </w:tcBorders>
            <w:noWrap w:val="0"/>
            <w:vAlign w:val="center"/>
          </w:tcPr>
          <w:p w14:paraId="33766B8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52377ED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2E49D7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0.00113</w:t>
            </w:r>
          </w:p>
        </w:tc>
        <w:tc>
          <w:tcPr>
            <w:tcW w:w="565" w:type="pct"/>
            <w:tcBorders>
              <w:tl2br w:val="nil"/>
              <w:tr2bl w:val="nil"/>
            </w:tcBorders>
            <w:noWrap w:val="0"/>
            <w:vAlign w:val="center"/>
          </w:tcPr>
          <w:p w14:paraId="5251D1F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00BA0A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BDC812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4BC37C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ZK3B-13</w:t>
            </w:r>
          </w:p>
        </w:tc>
        <w:tc>
          <w:tcPr>
            <w:tcW w:w="851" w:type="pct"/>
            <w:vMerge w:val="continue"/>
            <w:tcBorders>
              <w:tl2br w:val="nil"/>
              <w:tr2bl w:val="nil"/>
            </w:tcBorders>
            <w:noWrap w:val="0"/>
            <w:vAlign w:val="center"/>
          </w:tcPr>
          <w:p w14:paraId="0C5EC3D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205FDA5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24B88A5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20F029C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E5B8A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0.00045</w:t>
            </w:r>
          </w:p>
        </w:tc>
        <w:tc>
          <w:tcPr>
            <w:tcW w:w="565" w:type="pct"/>
            <w:tcBorders>
              <w:tl2br w:val="nil"/>
              <w:tr2bl w:val="nil"/>
            </w:tcBorders>
            <w:noWrap w:val="0"/>
            <w:vAlign w:val="center"/>
          </w:tcPr>
          <w:p w14:paraId="3B132E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6C9275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4B8F0F7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6BCF1AA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ZK3B-14</w:t>
            </w:r>
          </w:p>
        </w:tc>
        <w:tc>
          <w:tcPr>
            <w:tcW w:w="851" w:type="pct"/>
            <w:vMerge w:val="continue"/>
            <w:tcBorders>
              <w:tl2br w:val="nil"/>
              <w:tr2bl w:val="nil"/>
            </w:tcBorders>
            <w:noWrap w:val="0"/>
            <w:vAlign w:val="center"/>
          </w:tcPr>
          <w:p w14:paraId="3316BBD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48EBA7C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7278224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65BFEE8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944C3E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0.00324</w:t>
            </w:r>
          </w:p>
        </w:tc>
        <w:tc>
          <w:tcPr>
            <w:tcW w:w="565" w:type="pct"/>
            <w:tcBorders>
              <w:tl2br w:val="nil"/>
              <w:tr2bl w:val="nil"/>
            </w:tcBorders>
            <w:noWrap w:val="0"/>
            <w:vAlign w:val="center"/>
          </w:tcPr>
          <w:p w14:paraId="307BF19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3872F1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22B019B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32EAF66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ZK3B-15</w:t>
            </w:r>
          </w:p>
        </w:tc>
        <w:tc>
          <w:tcPr>
            <w:tcW w:w="851" w:type="pct"/>
            <w:vMerge w:val="continue"/>
            <w:tcBorders>
              <w:tl2br w:val="nil"/>
              <w:tr2bl w:val="nil"/>
            </w:tcBorders>
            <w:noWrap w:val="0"/>
            <w:vAlign w:val="center"/>
          </w:tcPr>
          <w:p w14:paraId="0D16604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524860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188C3C6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45F8394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2DA112F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0.00627</w:t>
            </w:r>
          </w:p>
        </w:tc>
        <w:tc>
          <w:tcPr>
            <w:tcW w:w="565" w:type="pct"/>
            <w:tcBorders>
              <w:tl2br w:val="nil"/>
              <w:tr2bl w:val="nil"/>
            </w:tcBorders>
            <w:noWrap w:val="0"/>
            <w:vAlign w:val="center"/>
          </w:tcPr>
          <w:p w14:paraId="72F77D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r w14:paraId="1470CB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77" w:type="pct"/>
            <w:vMerge w:val="continue"/>
            <w:tcBorders>
              <w:tl2br w:val="nil"/>
              <w:tr2bl w:val="nil"/>
            </w:tcBorders>
            <w:noWrap w:val="0"/>
            <w:vAlign w:val="center"/>
          </w:tcPr>
          <w:p w14:paraId="1260FA6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eastAsia="en-US"/>
              </w:rPr>
            </w:pPr>
          </w:p>
        </w:tc>
        <w:tc>
          <w:tcPr>
            <w:tcW w:w="522" w:type="pct"/>
            <w:tcBorders>
              <w:tl2br w:val="nil"/>
              <w:tr2bl w:val="nil"/>
            </w:tcBorders>
            <w:noWrap w:val="0"/>
            <w:vAlign w:val="center"/>
          </w:tcPr>
          <w:p w14:paraId="70058AF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ZK3B-16</w:t>
            </w:r>
          </w:p>
        </w:tc>
        <w:tc>
          <w:tcPr>
            <w:tcW w:w="851" w:type="pct"/>
            <w:vMerge w:val="continue"/>
            <w:tcBorders>
              <w:tl2br w:val="nil"/>
              <w:tr2bl w:val="nil"/>
            </w:tcBorders>
            <w:noWrap w:val="0"/>
            <w:vAlign w:val="center"/>
          </w:tcPr>
          <w:p w14:paraId="60AE9FC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p>
        </w:tc>
        <w:tc>
          <w:tcPr>
            <w:tcW w:w="697" w:type="pct"/>
            <w:tcBorders>
              <w:tl2br w:val="nil"/>
              <w:tr2bl w:val="nil"/>
            </w:tcBorders>
            <w:noWrap w:val="0"/>
            <w:vAlign w:val="center"/>
          </w:tcPr>
          <w:p w14:paraId="33ED8B5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黄棕色</w:t>
            </w:r>
          </w:p>
        </w:tc>
        <w:tc>
          <w:tcPr>
            <w:tcW w:w="692" w:type="pct"/>
            <w:tcBorders>
              <w:tl2br w:val="nil"/>
              <w:tr2bl w:val="nil"/>
            </w:tcBorders>
            <w:noWrap w:val="0"/>
            <w:vAlign w:val="center"/>
          </w:tcPr>
          <w:p w14:paraId="010F40B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水浸：总砷</w:t>
            </w:r>
          </w:p>
        </w:tc>
        <w:tc>
          <w:tcPr>
            <w:tcW w:w="550" w:type="pct"/>
            <w:tcBorders>
              <w:tl2br w:val="nil"/>
              <w:tr2bl w:val="nil"/>
            </w:tcBorders>
            <w:noWrap w:val="0"/>
            <w:vAlign w:val="center"/>
          </w:tcPr>
          <w:p w14:paraId="7C3F07F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mg/L</w:t>
            </w:r>
          </w:p>
        </w:tc>
        <w:tc>
          <w:tcPr>
            <w:tcW w:w="543" w:type="pct"/>
            <w:tcBorders>
              <w:tl2br w:val="nil"/>
              <w:tr2bl w:val="nil"/>
            </w:tcBorders>
            <w:noWrap w:val="0"/>
            <w:vAlign w:val="center"/>
          </w:tcPr>
          <w:p w14:paraId="779CBD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0.00878</w:t>
            </w:r>
          </w:p>
        </w:tc>
        <w:tc>
          <w:tcPr>
            <w:tcW w:w="565" w:type="pct"/>
            <w:tcBorders>
              <w:tl2br w:val="nil"/>
              <w:tr2bl w:val="nil"/>
            </w:tcBorders>
            <w:noWrap w:val="0"/>
            <w:vAlign w:val="center"/>
          </w:tcPr>
          <w:p w14:paraId="618493B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kern w:val="0"/>
                <w:sz w:val="21"/>
                <w:szCs w:val="21"/>
                <w:lang w:val="en-US" w:eastAsia="en-US" w:bidi="ar-SA"/>
              </w:rPr>
            </w:pPr>
            <w:r>
              <w:rPr>
                <w:rFonts w:hint="default" w:ascii="Times New Roman" w:hAnsi="Times New Roman" w:eastAsia="宋体" w:cs="Times New Roman"/>
                <w:snapToGrid w:val="0"/>
                <w:color w:val="000000"/>
                <w:spacing w:val="0"/>
                <w:kern w:val="0"/>
                <w:sz w:val="21"/>
                <w:szCs w:val="21"/>
                <w:lang w:val="en-US" w:eastAsia="en-US" w:bidi="ar-SA"/>
              </w:rPr>
              <w:t>0.5</w:t>
            </w:r>
          </w:p>
        </w:tc>
      </w:tr>
    </w:tbl>
    <w:p w14:paraId="77DF0D25">
      <w:pPr>
        <w:ind w:firstLine="480"/>
        <w:rPr>
          <w:sz w:val="24"/>
          <w:szCs w:val="24"/>
        </w:rPr>
      </w:pPr>
      <w:r>
        <w:rPr>
          <w:rFonts w:hint="eastAsia"/>
          <w:sz w:val="24"/>
          <w:szCs w:val="24"/>
        </w:rPr>
        <w:t>结合表3.1-</w:t>
      </w:r>
      <w:r>
        <w:rPr>
          <w:rFonts w:hint="eastAsia"/>
          <w:sz w:val="24"/>
          <w:szCs w:val="24"/>
          <w:lang w:val="en-US" w:eastAsia="zh-CN"/>
        </w:rPr>
        <w:t>9</w:t>
      </w:r>
      <w:r>
        <w:rPr>
          <w:rFonts w:hint="eastAsia"/>
          <w:sz w:val="24"/>
          <w:szCs w:val="24"/>
        </w:rPr>
        <w:t>和表3.1-1</w:t>
      </w:r>
      <w:r>
        <w:rPr>
          <w:rFonts w:hint="eastAsia"/>
          <w:sz w:val="24"/>
          <w:szCs w:val="24"/>
          <w:lang w:val="en-US" w:eastAsia="zh-CN"/>
        </w:rPr>
        <w:t>3</w:t>
      </w:r>
      <w:r>
        <w:rPr>
          <w:rFonts w:hint="eastAsia"/>
          <w:sz w:val="24"/>
          <w:szCs w:val="24"/>
        </w:rPr>
        <w:t>检测结果，对比《污水综合排放标准》（GB8978-1996）可知，本项目红线区域内采集的废渣样品重金属砷水浸浓度有不同程度超标，红线范围外采集的样品重金属砷水浸浓度</w:t>
      </w:r>
      <w:r>
        <w:rPr>
          <w:rFonts w:hint="eastAsia"/>
          <w:sz w:val="24"/>
          <w:szCs w:val="24"/>
          <w:lang w:val="en-US" w:eastAsia="zh-CN"/>
        </w:rPr>
        <w:t>未</w:t>
      </w:r>
      <w:r>
        <w:rPr>
          <w:rFonts w:hint="eastAsia"/>
          <w:sz w:val="24"/>
          <w:szCs w:val="24"/>
        </w:rPr>
        <w:t xml:space="preserve">超标。 </w:t>
      </w:r>
    </w:p>
    <w:p w14:paraId="00CD0A28">
      <w:pPr>
        <w:bidi w:val="0"/>
        <w:rPr>
          <w:rFonts w:hint="default" w:ascii="Times New Roman" w:hAnsi="Times New Roman" w:cs="Times New Roman"/>
          <w:sz w:val="24"/>
          <w:szCs w:val="24"/>
          <w:lang w:val="en-US" w:eastAsia="zh-CN"/>
        </w:rPr>
      </w:pPr>
      <w:r>
        <w:rPr>
          <w:sz w:val="24"/>
          <w:szCs w:val="24"/>
        </w:rPr>
        <w:t>按《固体废物</w:t>
      </w:r>
      <w:r>
        <w:rPr>
          <w:rFonts w:hint="eastAsia"/>
          <w:sz w:val="24"/>
          <w:szCs w:val="24"/>
        </w:rPr>
        <w:t xml:space="preserve"> </w:t>
      </w:r>
      <w:r>
        <w:rPr>
          <w:sz w:val="24"/>
          <w:szCs w:val="24"/>
        </w:rPr>
        <w:t xml:space="preserve"> 浸出毒性浸出方法 </w:t>
      </w:r>
      <w:r>
        <w:rPr>
          <w:rFonts w:hint="eastAsia"/>
          <w:sz w:val="24"/>
          <w:szCs w:val="24"/>
        </w:rPr>
        <w:t xml:space="preserve"> </w:t>
      </w:r>
      <w:r>
        <w:rPr>
          <w:sz w:val="24"/>
          <w:szCs w:val="24"/>
        </w:rPr>
        <w:t>水平振荡法》（HJ557-2010）所得浸出结果根据《一般工业固体废物贮存、处置场污染控制标准》（GB18599-2020），各废渣点中主要超标因子为砷，根据项目现场勘测及检测数据，</w:t>
      </w:r>
      <w:r>
        <w:rPr>
          <w:rFonts w:hint="eastAsia"/>
          <w:sz w:val="24"/>
          <w:szCs w:val="24"/>
        </w:rPr>
        <w:t>本项目万古村</w:t>
      </w:r>
      <w:r>
        <w:rPr>
          <w:rFonts w:hint="default" w:ascii="Times New Roman" w:hAnsi="Times New Roman" w:cs="Times New Roman"/>
          <w:sz w:val="24"/>
          <w:szCs w:val="24"/>
        </w:rPr>
        <w:t>1号废渣堆Ⅰ区、万古村</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号废渣堆Ⅴ区、万古水库废渣堆3A-Ⅰ区所在范围内废渣为第I类一般工业固体废物，未超标点位所在范围内废渣为第</w:t>
      </w:r>
      <w:r>
        <w:rPr>
          <w:rFonts w:hint="eastAsia" w:ascii="Times New Roman" w:hAnsi="Times New Roman" w:cs="Times New Roman"/>
          <w:sz w:val="24"/>
          <w:szCs w:val="24"/>
          <w:lang w:eastAsia="zh-CN"/>
        </w:rPr>
        <w:t>Ⅱ类</w:t>
      </w:r>
      <w:r>
        <w:rPr>
          <w:rFonts w:hint="default" w:ascii="Times New Roman" w:hAnsi="Times New Roman" w:cs="Times New Roman"/>
          <w:sz w:val="24"/>
          <w:szCs w:val="24"/>
        </w:rPr>
        <w:t>一般工业固体废物</w:t>
      </w:r>
      <w:r>
        <w:rPr>
          <w:rFonts w:hint="default" w:ascii="Times New Roman" w:hAnsi="Times New Roman" w:cs="Times New Roman"/>
          <w:sz w:val="24"/>
          <w:szCs w:val="24"/>
          <w:lang w:val="en-US" w:eastAsia="zh-CN"/>
        </w:rPr>
        <w:t>，具体见表3.1-1</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lang w:val="en-US" w:eastAsia="zh-CN"/>
        </w:rPr>
        <w:t xml:space="preserve">。 </w:t>
      </w:r>
    </w:p>
    <w:p w14:paraId="2B88E474">
      <w:pPr>
        <w:bidi w:val="0"/>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表3.1-14  废渣堆分区及废渣性质一览表</w:t>
      </w:r>
    </w:p>
    <w:tbl>
      <w:tblPr>
        <w:tblStyle w:val="111"/>
        <w:tblW w:w="5094"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49"/>
        <w:gridCol w:w="727"/>
        <w:gridCol w:w="1088"/>
        <w:gridCol w:w="1544"/>
        <w:gridCol w:w="1560"/>
        <w:gridCol w:w="1784"/>
        <w:gridCol w:w="1564"/>
      </w:tblGrid>
      <w:tr w14:paraId="3F3D42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909" w:type="pct"/>
            <w:gridSpan w:val="2"/>
            <w:tcBorders>
              <w:tl2br w:val="nil"/>
              <w:tr2bl w:val="nil"/>
            </w:tcBorders>
            <w:noWrap w:val="0"/>
            <w:vAlign w:val="center"/>
          </w:tcPr>
          <w:p w14:paraId="3C77C69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废渣堆</w:t>
            </w:r>
          </w:p>
        </w:tc>
        <w:tc>
          <w:tcPr>
            <w:tcW w:w="590" w:type="pct"/>
            <w:tcBorders>
              <w:tl2br w:val="nil"/>
              <w:tr2bl w:val="nil"/>
            </w:tcBorders>
            <w:noWrap w:val="0"/>
            <w:vAlign w:val="center"/>
          </w:tcPr>
          <w:p w14:paraId="3FC24BB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渣堆分区</w:t>
            </w:r>
          </w:p>
        </w:tc>
        <w:tc>
          <w:tcPr>
            <w:tcW w:w="837" w:type="pct"/>
            <w:tcBorders>
              <w:tl2br w:val="nil"/>
              <w:tr2bl w:val="nil"/>
            </w:tcBorders>
            <w:noWrap w:val="0"/>
            <w:vAlign w:val="center"/>
          </w:tcPr>
          <w:p w14:paraId="392EF4E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b/>
                <w:bCs/>
                <w:snapToGrid w:val="0"/>
                <w:color w:val="auto"/>
                <w:spacing w:val="0"/>
                <w:kern w:val="0"/>
                <w:sz w:val="21"/>
                <w:szCs w:val="21"/>
                <w:lang w:val="en-US" w:eastAsia="en-US" w:bidi="ar-SA"/>
              </w:rPr>
              <w:t>矿渣面积</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vertAlign w:val="superscript"/>
                <w:lang w:val="en-US" w:eastAsia="zh-CN" w:bidi="ar-SA"/>
              </w:rPr>
              <w:t>2</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846" w:type="pct"/>
            <w:tcBorders>
              <w:tl2br w:val="nil"/>
              <w:tr2bl w:val="nil"/>
            </w:tcBorders>
            <w:noWrap w:val="0"/>
            <w:vAlign w:val="center"/>
          </w:tcPr>
          <w:p w14:paraId="36AAC10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zh-CN" w:bidi="ar-SA"/>
              </w:rPr>
            </w:pPr>
            <w:r>
              <w:rPr>
                <w:rFonts w:hint="default" w:ascii="Times New Roman" w:hAnsi="Times New Roman" w:eastAsia="宋体" w:cs="Times New Roman"/>
                <w:b/>
                <w:bCs/>
                <w:snapToGrid w:val="0"/>
                <w:color w:val="auto"/>
                <w:spacing w:val="0"/>
                <w:kern w:val="0"/>
                <w:sz w:val="21"/>
                <w:szCs w:val="21"/>
                <w:lang w:val="en-US" w:eastAsia="en-US" w:bidi="ar-SA"/>
              </w:rPr>
              <w:t>矿渣厚度</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967" w:type="pct"/>
            <w:tcBorders>
              <w:tl2br w:val="nil"/>
              <w:tr2bl w:val="nil"/>
            </w:tcBorders>
            <w:noWrap w:val="0"/>
            <w:vAlign w:val="center"/>
          </w:tcPr>
          <w:p w14:paraId="43C7449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矿渣方量</w:t>
            </w:r>
            <w:r>
              <w:rPr>
                <w:rFonts w:hint="default" w:ascii="Times New Roman" w:hAnsi="Times New Roman" w:eastAsia="宋体" w:cs="Times New Roman"/>
                <w:b/>
                <w:bCs/>
                <w:snapToGrid w:val="0"/>
                <w:color w:val="auto"/>
                <w:spacing w:val="0"/>
                <w:kern w:val="0"/>
                <w:sz w:val="21"/>
                <w:szCs w:val="21"/>
                <w:lang w:val="en-US" w:eastAsia="zh-CN" w:bidi="ar-SA"/>
              </w:rPr>
              <w:t>（</w:t>
            </w:r>
            <w:r>
              <w:rPr>
                <w:rFonts w:hint="default" w:ascii="Times New Roman" w:hAnsi="Times New Roman" w:eastAsia="宋体" w:cs="Times New Roman"/>
                <w:b/>
                <w:bCs/>
                <w:snapToGrid w:val="0"/>
                <w:color w:val="auto"/>
                <w:spacing w:val="0"/>
                <w:kern w:val="0"/>
                <w:sz w:val="21"/>
                <w:szCs w:val="21"/>
                <w:lang w:val="en-US" w:eastAsia="en-US" w:bidi="ar-SA"/>
              </w:rPr>
              <w:t>m</w:t>
            </w:r>
            <w:r>
              <w:rPr>
                <w:rFonts w:hint="default" w:ascii="Times New Roman" w:hAnsi="Times New Roman" w:eastAsia="宋体" w:cs="Times New Roman"/>
                <w:b/>
                <w:bCs/>
                <w:snapToGrid w:val="0"/>
                <w:color w:val="auto"/>
                <w:spacing w:val="0"/>
                <w:kern w:val="0"/>
                <w:sz w:val="21"/>
                <w:szCs w:val="21"/>
                <w:vertAlign w:val="superscript"/>
                <w:lang w:val="en-US" w:eastAsia="zh-CN" w:bidi="ar-SA"/>
              </w:rPr>
              <w:t>3</w:t>
            </w:r>
            <w:r>
              <w:rPr>
                <w:rFonts w:hint="default" w:ascii="Times New Roman" w:hAnsi="Times New Roman" w:eastAsia="宋体" w:cs="Times New Roman"/>
                <w:b/>
                <w:bCs/>
                <w:snapToGrid w:val="0"/>
                <w:color w:val="auto"/>
                <w:spacing w:val="0"/>
                <w:kern w:val="0"/>
                <w:sz w:val="21"/>
                <w:szCs w:val="21"/>
                <w:lang w:val="en-US" w:eastAsia="zh-CN" w:bidi="ar-SA"/>
              </w:rPr>
              <w:t>）</w:t>
            </w:r>
          </w:p>
        </w:tc>
        <w:tc>
          <w:tcPr>
            <w:tcW w:w="848" w:type="pct"/>
            <w:tcBorders>
              <w:tl2br w:val="nil"/>
              <w:tr2bl w:val="nil"/>
            </w:tcBorders>
            <w:noWrap w:val="0"/>
            <w:vAlign w:val="center"/>
          </w:tcPr>
          <w:p w14:paraId="0C2D1B1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废渣性质</w:t>
            </w:r>
          </w:p>
        </w:tc>
      </w:tr>
      <w:tr w14:paraId="3FC03D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restart"/>
            <w:tcBorders>
              <w:tl2br w:val="nil"/>
              <w:tr2bl w:val="nil"/>
            </w:tcBorders>
            <w:noWrap w:val="0"/>
            <w:vAlign w:val="center"/>
          </w:tcPr>
          <w:p w14:paraId="4F81BC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r>
              <w:rPr>
                <w:rFonts w:hint="default" w:ascii="Times New Roman" w:hAnsi="Times New Roman" w:cs="Times New Roman"/>
                <w:snapToGrid w:val="0"/>
                <w:color w:val="auto"/>
                <w:spacing w:val="0"/>
                <w:kern w:val="0"/>
                <w:sz w:val="21"/>
                <w:szCs w:val="21"/>
                <w:lang w:val="en-US" w:eastAsia="zh-CN" w:bidi="ar-SA"/>
              </w:rPr>
              <w:t>万古村1</w:t>
            </w:r>
            <w:r>
              <w:rPr>
                <w:rFonts w:hint="default" w:ascii="Times New Roman" w:hAnsi="Times New Roman" w:eastAsia="宋体" w:cs="Times New Roman"/>
                <w:snapToGrid w:val="0"/>
                <w:color w:val="auto"/>
                <w:spacing w:val="0"/>
                <w:kern w:val="0"/>
                <w:sz w:val="21"/>
                <w:szCs w:val="21"/>
                <w:lang w:val="en-US" w:eastAsia="en-US" w:bidi="ar-SA"/>
              </w:rPr>
              <w:t>号废渣点</w:t>
            </w:r>
          </w:p>
        </w:tc>
        <w:tc>
          <w:tcPr>
            <w:tcW w:w="590" w:type="pct"/>
            <w:tcBorders>
              <w:tl2br w:val="nil"/>
              <w:tr2bl w:val="nil"/>
            </w:tcBorders>
            <w:noWrap w:val="0"/>
            <w:vAlign w:val="center"/>
          </w:tcPr>
          <w:p w14:paraId="2659B35C">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I区</w:t>
            </w:r>
          </w:p>
        </w:tc>
        <w:tc>
          <w:tcPr>
            <w:tcW w:w="837" w:type="pct"/>
            <w:tcBorders>
              <w:tl2br w:val="nil"/>
              <w:tr2bl w:val="nil"/>
            </w:tcBorders>
            <w:noWrap w:val="0"/>
            <w:vAlign w:val="center"/>
          </w:tcPr>
          <w:p w14:paraId="349C2164">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144.0</w:t>
            </w:r>
          </w:p>
        </w:tc>
        <w:tc>
          <w:tcPr>
            <w:tcW w:w="846" w:type="pct"/>
            <w:tcBorders>
              <w:tl2br w:val="nil"/>
              <w:tr2bl w:val="nil"/>
            </w:tcBorders>
            <w:noWrap w:val="0"/>
            <w:vAlign w:val="center"/>
          </w:tcPr>
          <w:p w14:paraId="4836012B">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5.10</w:t>
            </w:r>
          </w:p>
        </w:tc>
        <w:tc>
          <w:tcPr>
            <w:tcW w:w="967" w:type="pct"/>
            <w:tcBorders>
              <w:tl2br w:val="nil"/>
              <w:tr2bl w:val="nil"/>
            </w:tcBorders>
            <w:noWrap w:val="0"/>
            <w:vAlign w:val="center"/>
          </w:tcPr>
          <w:p w14:paraId="013C7D06">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734.4</w:t>
            </w:r>
          </w:p>
        </w:tc>
        <w:tc>
          <w:tcPr>
            <w:tcW w:w="848" w:type="pct"/>
            <w:tcBorders>
              <w:tl2br w:val="nil"/>
              <w:tr2bl w:val="nil"/>
            </w:tcBorders>
            <w:noWrap w:val="0"/>
            <w:vAlign w:val="center"/>
          </w:tcPr>
          <w:p w14:paraId="426CA6AF">
            <w:pPr>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312C18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continue"/>
            <w:tcBorders>
              <w:tl2br w:val="nil"/>
              <w:tr2bl w:val="nil"/>
            </w:tcBorders>
            <w:noWrap w:val="0"/>
            <w:vAlign w:val="center"/>
          </w:tcPr>
          <w:p w14:paraId="047BEBA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77F1CB9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Ⅱ区</w:t>
            </w:r>
          </w:p>
        </w:tc>
        <w:tc>
          <w:tcPr>
            <w:tcW w:w="837" w:type="pct"/>
            <w:tcBorders>
              <w:tl2br w:val="nil"/>
              <w:tr2bl w:val="nil"/>
            </w:tcBorders>
            <w:noWrap w:val="0"/>
            <w:vAlign w:val="center"/>
          </w:tcPr>
          <w:p w14:paraId="2C42F01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604.0</w:t>
            </w:r>
          </w:p>
        </w:tc>
        <w:tc>
          <w:tcPr>
            <w:tcW w:w="846" w:type="pct"/>
            <w:tcBorders>
              <w:tl2br w:val="nil"/>
              <w:tr2bl w:val="nil"/>
            </w:tcBorders>
            <w:noWrap w:val="0"/>
            <w:vAlign w:val="center"/>
          </w:tcPr>
          <w:p w14:paraId="58BA55C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5.30</w:t>
            </w:r>
          </w:p>
        </w:tc>
        <w:tc>
          <w:tcPr>
            <w:tcW w:w="967" w:type="pct"/>
            <w:tcBorders>
              <w:tl2br w:val="nil"/>
              <w:tr2bl w:val="nil"/>
            </w:tcBorders>
            <w:noWrap w:val="0"/>
            <w:vAlign w:val="center"/>
          </w:tcPr>
          <w:p w14:paraId="4A2F4A8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3201.2</w:t>
            </w:r>
          </w:p>
        </w:tc>
        <w:tc>
          <w:tcPr>
            <w:tcW w:w="848" w:type="pct"/>
            <w:tcBorders>
              <w:tl2br w:val="nil"/>
              <w:tr2bl w:val="nil"/>
            </w:tcBorders>
            <w:noWrap w:val="0"/>
            <w:vAlign w:val="center"/>
          </w:tcPr>
          <w:p w14:paraId="636A812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098E8F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909" w:type="pct"/>
            <w:gridSpan w:val="2"/>
            <w:vMerge w:val="restart"/>
            <w:tcBorders>
              <w:tl2br w:val="nil"/>
              <w:tr2bl w:val="nil"/>
            </w:tcBorders>
            <w:noWrap w:val="0"/>
            <w:vAlign w:val="center"/>
          </w:tcPr>
          <w:p w14:paraId="6E231AC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万古村2号废渣点</w:t>
            </w:r>
          </w:p>
        </w:tc>
        <w:tc>
          <w:tcPr>
            <w:tcW w:w="590" w:type="pct"/>
            <w:tcBorders>
              <w:tl2br w:val="nil"/>
              <w:tr2bl w:val="nil"/>
            </w:tcBorders>
            <w:noWrap w:val="0"/>
            <w:vAlign w:val="center"/>
          </w:tcPr>
          <w:p w14:paraId="1A4918A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Ⅰ区</w:t>
            </w:r>
          </w:p>
        </w:tc>
        <w:tc>
          <w:tcPr>
            <w:tcW w:w="837" w:type="pct"/>
            <w:tcBorders>
              <w:tl2br w:val="nil"/>
              <w:tr2bl w:val="nil"/>
            </w:tcBorders>
            <w:noWrap w:val="0"/>
            <w:vAlign w:val="center"/>
          </w:tcPr>
          <w:p w14:paraId="0CEB6EB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371.0</w:t>
            </w:r>
          </w:p>
        </w:tc>
        <w:tc>
          <w:tcPr>
            <w:tcW w:w="846" w:type="pct"/>
            <w:tcBorders>
              <w:tl2br w:val="nil"/>
              <w:tr2bl w:val="nil"/>
            </w:tcBorders>
            <w:noWrap w:val="0"/>
            <w:vAlign w:val="center"/>
          </w:tcPr>
          <w:p w14:paraId="1C13944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3.5</w:t>
            </w:r>
          </w:p>
        </w:tc>
        <w:tc>
          <w:tcPr>
            <w:tcW w:w="967" w:type="pct"/>
            <w:tcBorders>
              <w:tl2br w:val="nil"/>
              <w:tr2bl w:val="nil"/>
            </w:tcBorders>
            <w:noWrap w:val="0"/>
            <w:vAlign w:val="center"/>
          </w:tcPr>
          <w:p w14:paraId="3A48EE6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1298.5</w:t>
            </w:r>
          </w:p>
        </w:tc>
        <w:tc>
          <w:tcPr>
            <w:tcW w:w="848" w:type="pct"/>
            <w:tcBorders>
              <w:tl2br w:val="nil"/>
              <w:tr2bl w:val="nil"/>
            </w:tcBorders>
            <w:noWrap w:val="0"/>
            <w:vAlign w:val="center"/>
          </w:tcPr>
          <w:p w14:paraId="52FA4A4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53C94B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continue"/>
            <w:tcBorders>
              <w:tl2br w:val="nil"/>
              <w:tr2bl w:val="nil"/>
            </w:tcBorders>
            <w:noWrap w:val="0"/>
            <w:vAlign w:val="center"/>
          </w:tcPr>
          <w:p w14:paraId="2160F54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5D84E11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Ⅱ区</w:t>
            </w:r>
          </w:p>
        </w:tc>
        <w:tc>
          <w:tcPr>
            <w:tcW w:w="837" w:type="pct"/>
            <w:tcBorders>
              <w:tl2br w:val="nil"/>
              <w:tr2bl w:val="nil"/>
            </w:tcBorders>
            <w:noWrap w:val="0"/>
            <w:vAlign w:val="center"/>
          </w:tcPr>
          <w:p w14:paraId="78CD41A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253.0</w:t>
            </w:r>
          </w:p>
        </w:tc>
        <w:tc>
          <w:tcPr>
            <w:tcW w:w="846" w:type="pct"/>
            <w:tcBorders>
              <w:tl2br w:val="nil"/>
              <w:tr2bl w:val="nil"/>
            </w:tcBorders>
            <w:noWrap w:val="0"/>
            <w:vAlign w:val="center"/>
          </w:tcPr>
          <w:p w14:paraId="149C7CA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1.2</w:t>
            </w:r>
          </w:p>
        </w:tc>
        <w:tc>
          <w:tcPr>
            <w:tcW w:w="967" w:type="pct"/>
            <w:tcBorders>
              <w:tl2br w:val="nil"/>
              <w:tr2bl w:val="nil"/>
            </w:tcBorders>
            <w:noWrap w:val="0"/>
            <w:vAlign w:val="center"/>
          </w:tcPr>
          <w:p w14:paraId="13905F9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303.6</w:t>
            </w:r>
          </w:p>
        </w:tc>
        <w:tc>
          <w:tcPr>
            <w:tcW w:w="848" w:type="pct"/>
            <w:tcBorders>
              <w:tl2br w:val="nil"/>
              <w:tr2bl w:val="nil"/>
            </w:tcBorders>
            <w:noWrap w:val="0"/>
            <w:vAlign w:val="center"/>
          </w:tcPr>
          <w:p w14:paraId="29BF2B6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6D7FF8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909" w:type="pct"/>
            <w:gridSpan w:val="2"/>
            <w:vMerge w:val="continue"/>
            <w:tcBorders>
              <w:tl2br w:val="nil"/>
              <w:tr2bl w:val="nil"/>
            </w:tcBorders>
            <w:noWrap w:val="0"/>
            <w:vAlign w:val="center"/>
          </w:tcPr>
          <w:p w14:paraId="33CAAD8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3D9978F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Ⅲ区</w:t>
            </w:r>
          </w:p>
        </w:tc>
        <w:tc>
          <w:tcPr>
            <w:tcW w:w="837" w:type="pct"/>
            <w:tcBorders>
              <w:tl2br w:val="nil"/>
              <w:tr2bl w:val="nil"/>
            </w:tcBorders>
            <w:noWrap w:val="0"/>
            <w:vAlign w:val="center"/>
          </w:tcPr>
          <w:p w14:paraId="5E20066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3529.0</w:t>
            </w:r>
          </w:p>
        </w:tc>
        <w:tc>
          <w:tcPr>
            <w:tcW w:w="846" w:type="pct"/>
            <w:tcBorders>
              <w:tl2br w:val="nil"/>
              <w:tr2bl w:val="nil"/>
            </w:tcBorders>
            <w:noWrap w:val="0"/>
            <w:vAlign w:val="center"/>
          </w:tcPr>
          <w:p w14:paraId="265E21C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6.0</w:t>
            </w:r>
          </w:p>
        </w:tc>
        <w:tc>
          <w:tcPr>
            <w:tcW w:w="967" w:type="pct"/>
            <w:tcBorders>
              <w:tl2br w:val="nil"/>
              <w:tr2bl w:val="nil"/>
            </w:tcBorders>
            <w:noWrap w:val="0"/>
            <w:vAlign w:val="center"/>
          </w:tcPr>
          <w:p w14:paraId="4438D74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21174</w:t>
            </w:r>
          </w:p>
        </w:tc>
        <w:tc>
          <w:tcPr>
            <w:tcW w:w="848" w:type="pct"/>
            <w:tcBorders>
              <w:tl2br w:val="nil"/>
              <w:tr2bl w:val="nil"/>
            </w:tcBorders>
            <w:noWrap w:val="0"/>
            <w:vAlign w:val="center"/>
          </w:tcPr>
          <w:p w14:paraId="68E2AB4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7DC99E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909" w:type="pct"/>
            <w:gridSpan w:val="2"/>
            <w:vMerge w:val="continue"/>
            <w:tcBorders>
              <w:tl2br w:val="nil"/>
              <w:tr2bl w:val="nil"/>
            </w:tcBorders>
            <w:noWrap w:val="0"/>
            <w:vAlign w:val="center"/>
          </w:tcPr>
          <w:p w14:paraId="10954B9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49ED02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zh-CN" w:bidi="ar-SA"/>
              </w:rPr>
              <w:t>Ⅳ</w:t>
            </w:r>
            <w:r>
              <w:rPr>
                <w:rFonts w:hint="default" w:ascii="Times New Roman" w:hAnsi="Times New Roman" w:eastAsia="宋体" w:cs="Times New Roman"/>
                <w:snapToGrid w:val="0"/>
                <w:color w:val="auto"/>
                <w:spacing w:val="0"/>
                <w:kern w:val="0"/>
                <w:sz w:val="21"/>
                <w:szCs w:val="21"/>
                <w:lang w:val="en-US" w:eastAsia="en-US" w:bidi="ar-SA"/>
              </w:rPr>
              <w:t>区</w:t>
            </w:r>
          </w:p>
        </w:tc>
        <w:tc>
          <w:tcPr>
            <w:tcW w:w="837" w:type="pct"/>
            <w:tcBorders>
              <w:tl2br w:val="nil"/>
              <w:tr2bl w:val="nil"/>
            </w:tcBorders>
            <w:noWrap w:val="0"/>
            <w:vAlign w:val="center"/>
          </w:tcPr>
          <w:p w14:paraId="65700C8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599.0</w:t>
            </w:r>
          </w:p>
        </w:tc>
        <w:tc>
          <w:tcPr>
            <w:tcW w:w="846" w:type="pct"/>
            <w:tcBorders>
              <w:tl2br w:val="nil"/>
              <w:tr2bl w:val="nil"/>
            </w:tcBorders>
            <w:noWrap w:val="0"/>
            <w:vAlign w:val="center"/>
          </w:tcPr>
          <w:p w14:paraId="5D54B3C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3.2</w:t>
            </w:r>
          </w:p>
        </w:tc>
        <w:tc>
          <w:tcPr>
            <w:tcW w:w="967" w:type="pct"/>
            <w:tcBorders>
              <w:tl2br w:val="nil"/>
              <w:tr2bl w:val="nil"/>
            </w:tcBorders>
            <w:noWrap w:val="0"/>
            <w:vAlign w:val="center"/>
          </w:tcPr>
          <w:p w14:paraId="186E706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1916.8</w:t>
            </w:r>
          </w:p>
        </w:tc>
        <w:tc>
          <w:tcPr>
            <w:tcW w:w="848" w:type="pct"/>
            <w:tcBorders>
              <w:tl2br w:val="nil"/>
              <w:tr2bl w:val="nil"/>
            </w:tcBorders>
            <w:noWrap w:val="0"/>
            <w:vAlign w:val="center"/>
          </w:tcPr>
          <w:p w14:paraId="1D00B43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507E5F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909" w:type="pct"/>
            <w:gridSpan w:val="2"/>
            <w:vMerge w:val="continue"/>
            <w:tcBorders>
              <w:tl2br w:val="nil"/>
              <w:tr2bl w:val="nil"/>
            </w:tcBorders>
            <w:noWrap w:val="0"/>
            <w:vAlign w:val="center"/>
          </w:tcPr>
          <w:p w14:paraId="4EEE478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3FDD75C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V区</w:t>
            </w:r>
          </w:p>
        </w:tc>
        <w:tc>
          <w:tcPr>
            <w:tcW w:w="837" w:type="pct"/>
            <w:tcBorders>
              <w:tl2br w:val="nil"/>
              <w:tr2bl w:val="nil"/>
            </w:tcBorders>
            <w:noWrap w:val="0"/>
            <w:vAlign w:val="center"/>
          </w:tcPr>
          <w:p w14:paraId="11B6452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371.0</w:t>
            </w:r>
          </w:p>
        </w:tc>
        <w:tc>
          <w:tcPr>
            <w:tcW w:w="846" w:type="pct"/>
            <w:tcBorders>
              <w:tl2br w:val="nil"/>
              <w:tr2bl w:val="nil"/>
            </w:tcBorders>
            <w:noWrap w:val="0"/>
            <w:vAlign w:val="center"/>
          </w:tcPr>
          <w:p w14:paraId="365A2AB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3.5</w:t>
            </w:r>
          </w:p>
        </w:tc>
        <w:tc>
          <w:tcPr>
            <w:tcW w:w="967" w:type="pct"/>
            <w:tcBorders>
              <w:tl2br w:val="nil"/>
              <w:tr2bl w:val="nil"/>
            </w:tcBorders>
            <w:noWrap w:val="0"/>
            <w:vAlign w:val="center"/>
          </w:tcPr>
          <w:p w14:paraId="78A651B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1298.5</w:t>
            </w:r>
          </w:p>
        </w:tc>
        <w:tc>
          <w:tcPr>
            <w:tcW w:w="848" w:type="pct"/>
            <w:tcBorders>
              <w:tl2br w:val="nil"/>
              <w:tr2bl w:val="nil"/>
            </w:tcBorders>
            <w:noWrap w:val="0"/>
            <w:vAlign w:val="center"/>
          </w:tcPr>
          <w:p w14:paraId="7600D0A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441BB3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515" w:type="pct"/>
            <w:vMerge w:val="restart"/>
            <w:tcBorders>
              <w:tl2br w:val="nil"/>
              <w:tr2bl w:val="nil"/>
            </w:tcBorders>
            <w:noWrap w:val="0"/>
            <w:vAlign w:val="center"/>
          </w:tcPr>
          <w:p w14:paraId="34E855C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万古水库废渣点</w:t>
            </w:r>
          </w:p>
        </w:tc>
        <w:tc>
          <w:tcPr>
            <w:tcW w:w="394" w:type="pct"/>
            <w:vMerge w:val="restart"/>
            <w:tcBorders>
              <w:tl2br w:val="nil"/>
              <w:tr2bl w:val="nil"/>
            </w:tcBorders>
            <w:noWrap w:val="0"/>
            <w:vAlign w:val="center"/>
          </w:tcPr>
          <w:p w14:paraId="1B8814D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3A号点</w:t>
            </w:r>
          </w:p>
        </w:tc>
        <w:tc>
          <w:tcPr>
            <w:tcW w:w="590" w:type="pct"/>
            <w:tcBorders>
              <w:tl2br w:val="nil"/>
              <w:tr2bl w:val="nil"/>
            </w:tcBorders>
            <w:noWrap w:val="0"/>
            <w:vAlign w:val="center"/>
          </w:tcPr>
          <w:p w14:paraId="4126368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3A-1区</w:t>
            </w:r>
          </w:p>
        </w:tc>
        <w:tc>
          <w:tcPr>
            <w:tcW w:w="837" w:type="pct"/>
            <w:tcBorders>
              <w:tl2br w:val="nil"/>
              <w:tr2bl w:val="nil"/>
            </w:tcBorders>
            <w:noWrap w:val="0"/>
            <w:vAlign w:val="center"/>
          </w:tcPr>
          <w:p w14:paraId="34327C0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2160.0</w:t>
            </w:r>
          </w:p>
        </w:tc>
        <w:tc>
          <w:tcPr>
            <w:tcW w:w="846" w:type="pct"/>
            <w:tcBorders>
              <w:tl2br w:val="nil"/>
              <w:tr2bl w:val="nil"/>
            </w:tcBorders>
            <w:noWrap w:val="0"/>
            <w:vAlign w:val="center"/>
          </w:tcPr>
          <w:p w14:paraId="7072F52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2.3</w:t>
            </w:r>
          </w:p>
        </w:tc>
        <w:tc>
          <w:tcPr>
            <w:tcW w:w="967" w:type="pct"/>
            <w:tcBorders>
              <w:tl2br w:val="nil"/>
              <w:tr2bl w:val="nil"/>
            </w:tcBorders>
            <w:noWrap w:val="0"/>
            <w:vAlign w:val="center"/>
          </w:tcPr>
          <w:p w14:paraId="0DF11AB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4968</w:t>
            </w:r>
          </w:p>
        </w:tc>
        <w:tc>
          <w:tcPr>
            <w:tcW w:w="848" w:type="pct"/>
            <w:tcBorders>
              <w:tl2br w:val="nil"/>
              <w:tr2bl w:val="nil"/>
            </w:tcBorders>
            <w:noWrap w:val="0"/>
            <w:vAlign w:val="center"/>
          </w:tcPr>
          <w:p w14:paraId="3DFC346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3246A8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515" w:type="pct"/>
            <w:vMerge w:val="continue"/>
            <w:tcBorders>
              <w:tl2br w:val="nil"/>
              <w:tr2bl w:val="nil"/>
            </w:tcBorders>
            <w:noWrap w:val="0"/>
            <w:vAlign w:val="center"/>
          </w:tcPr>
          <w:p w14:paraId="60E2715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52388C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4B39BC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3A-2区</w:t>
            </w:r>
          </w:p>
        </w:tc>
        <w:tc>
          <w:tcPr>
            <w:tcW w:w="837" w:type="pct"/>
            <w:tcBorders>
              <w:tl2br w:val="nil"/>
              <w:tr2bl w:val="nil"/>
            </w:tcBorders>
            <w:noWrap w:val="0"/>
            <w:vAlign w:val="center"/>
          </w:tcPr>
          <w:p w14:paraId="78B48E6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1546.0</w:t>
            </w:r>
          </w:p>
        </w:tc>
        <w:tc>
          <w:tcPr>
            <w:tcW w:w="846" w:type="pct"/>
            <w:tcBorders>
              <w:tl2br w:val="nil"/>
              <w:tr2bl w:val="nil"/>
            </w:tcBorders>
            <w:noWrap w:val="0"/>
            <w:vAlign w:val="center"/>
          </w:tcPr>
          <w:p w14:paraId="683F451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4.2</w:t>
            </w:r>
          </w:p>
        </w:tc>
        <w:tc>
          <w:tcPr>
            <w:tcW w:w="967" w:type="pct"/>
            <w:tcBorders>
              <w:tl2br w:val="nil"/>
              <w:tr2bl w:val="nil"/>
            </w:tcBorders>
            <w:noWrap w:val="0"/>
            <w:vAlign w:val="center"/>
          </w:tcPr>
          <w:p w14:paraId="4FEF53E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6493.2</w:t>
            </w:r>
          </w:p>
        </w:tc>
        <w:tc>
          <w:tcPr>
            <w:tcW w:w="848" w:type="pct"/>
            <w:tcBorders>
              <w:tl2br w:val="nil"/>
              <w:tr2bl w:val="nil"/>
            </w:tcBorders>
            <w:noWrap w:val="0"/>
            <w:vAlign w:val="center"/>
          </w:tcPr>
          <w:p w14:paraId="0F065B0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05CD5C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15" w:type="pct"/>
            <w:vMerge w:val="continue"/>
            <w:tcBorders>
              <w:tl2br w:val="nil"/>
              <w:tr2bl w:val="nil"/>
            </w:tcBorders>
            <w:noWrap w:val="0"/>
            <w:vAlign w:val="center"/>
          </w:tcPr>
          <w:p w14:paraId="78F1583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5EBC48F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E9F929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3A-3区</w:t>
            </w:r>
          </w:p>
        </w:tc>
        <w:tc>
          <w:tcPr>
            <w:tcW w:w="837" w:type="pct"/>
            <w:tcBorders>
              <w:tl2br w:val="nil"/>
              <w:tr2bl w:val="nil"/>
            </w:tcBorders>
            <w:noWrap w:val="0"/>
            <w:vAlign w:val="center"/>
          </w:tcPr>
          <w:p w14:paraId="060DEFF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385.0</w:t>
            </w:r>
          </w:p>
        </w:tc>
        <w:tc>
          <w:tcPr>
            <w:tcW w:w="846" w:type="pct"/>
            <w:tcBorders>
              <w:tl2br w:val="nil"/>
              <w:tr2bl w:val="nil"/>
            </w:tcBorders>
            <w:noWrap w:val="0"/>
            <w:vAlign w:val="center"/>
          </w:tcPr>
          <w:p w14:paraId="385D72A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5.5</w:t>
            </w:r>
          </w:p>
        </w:tc>
        <w:tc>
          <w:tcPr>
            <w:tcW w:w="967" w:type="pct"/>
            <w:tcBorders>
              <w:tl2br w:val="nil"/>
              <w:tr2bl w:val="nil"/>
            </w:tcBorders>
            <w:noWrap w:val="0"/>
            <w:vAlign w:val="center"/>
          </w:tcPr>
          <w:p w14:paraId="4F60E29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2117.5</w:t>
            </w:r>
          </w:p>
        </w:tc>
        <w:tc>
          <w:tcPr>
            <w:tcW w:w="848" w:type="pct"/>
            <w:tcBorders>
              <w:tl2br w:val="nil"/>
              <w:tr2bl w:val="nil"/>
            </w:tcBorders>
            <w:noWrap w:val="0"/>
            <w:vAlign w:val="center"/>
          </w:tcPr>
          <w:p w14:paraId="0BFE084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222482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515" w:type="pct"/>
            <w:vMerge w:val="continue"/>
            <w:tcBorders>
              <w:tl2br w:val="nil"/>
              <w:tr2bl w:val="nil"/>
            </w:tcBorders>
            <w:noWrap w:val="0"/>
            <w:vAlign w:val="center"/>
          </w:tcPr>
          <w:p w14:paraId="4786730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7E78D40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35D777D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3A-4区</w:t>
            </w:r>
          </w:p>
        </w:tc>
        <w:tc>
          <w:tcPr>
            <w:tcW w:w="837" w:type="pct"/>
            <w:tcBorders>
              <w:tl2br w:val="nil"/>
              <w:tr2bl w:val="nil"/>
            </w:tcBorders>
            <w:noWrap w:val="0"/>
            <w:vAlign w:val="center"/>
          </w:tcPr>
          <w:p w14:paraId="1E5D779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401.0</w:t>
            </w:r>
          </w:p>
        </w:tc>
        <w:tc>
          <w:tcPr>
            <w:tcW w:w="846" w:type="pct"/>
            <w:tcBorders>
              <w:tl2br w:val="nil"/>
              <w:tr2bl w:val="nil"/>
            </w:tcBorders>
            <w:noWrap w:val="0"/>
            <w:vAlign w:val="center"/>
          </w:tcPr>
          <w:p w14:paraId="7E1B2E3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5.0</w:t>
            </w:r>
          </w:p>
        </w:tc>
        <w:tc>
          <w:tcPr>
            <w:tcW w:w="967" w:type="pct"/>
            <w:tcBorders>
              <w:tl2br w:val="nil"/>
              <w:tr2bl w:val="nil"/>
            </w:tcBorders>
            <w:noWrap w:val="0"/>
            <w:vAlign w:val="center"/>
          </w:tcPr>
          <w:p w14:paraId="63C672D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2005</w:t>
            </w:r>
          </w:p>
        </w:tc>
        <w:tc>
          <w:tcPr>
            <w:tcW w:w="848" w:type="pct"/>
            <w:tcBorders>
              <w:tl2br w:val="nil"/>
              <w:tr2bl w:val="nil"/>
            </w:tcBorders>
            <w:noWrap w:val="0"/>
            <w:vAlign w:val="center"/>
          </w:tcPr>
          <w:p w14:paraId="13D71AA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11C73D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515" w:type="pct"/>
            <w:vMerge w:val="continue"/>
            <w:tcBorders>
              <w:tl2br w:val="nil"/>
              <w:tr2bl w:val="nil"/>
            </w:tcBorders>
            <w:noWrap w:val="0"/>
            <w:vAlign w:val="center"/>
          </w:tcPr>
          <w:p w14:paraId="2806836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2D138EB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CF29D8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3A-5区</w:t>
            </w:r>
          </w:p>
        </w:tc>
        <w:tc>
          <w:tcPr>
            <w:tcW w:w="837" w:type="pct"/>
            <w:tcBorders>
              <w:tl2br w:val="nil"/>
              <w:tr2bl w:val="nil"/>
            </w:tcBorders>
            <w:noWrap w:val="0"/>
            <w:vAlign w:val="center"/>
          </w:tcPr>
          <w:p w14:paraId="3F8E34B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213.0</w:t>
            </w:r>
          </w:p>
        </w:tc>
        <w:tc>
          <w:tcPr>
            <w:tcW w:w="846" w:type="pct"/>
            <w:tcBorders>
              <w:tl2br w:val="nil"/>
              <w:tr2bl w:val="nil"/>
            </w:tcBorders>
            <w:noWrap w:val="0"/>
            <w:vAlign w:val="center"/>
          </w:tcPr>
          <w:p w14:paraId="65C438D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2.2</w:t>
            </w:r>
          </w:p>
        </w:tc>
        <w:tc>
          <w:tcPr>
            <w:tcW w:w="967" w:type="pct"/>
            <w:tcBorders>
              <w:tl2br w:val="nil"/>
              <w:tr2bl w:val="nil"/>
            </w:tcBorders>
            <w:noWrap w:val="0"/>
            <w:vAlign w:val="center"/>
          </w:tcPr>
          <w:p w14:paraId="6A59CE5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468.6</w:t>
            </w:r>
          </w:p>
        </w:tc>
        <w:tc>
          <w:tcPr>
            <w:tcW w:w="848" w:type="pct"/>
            <w:tcBorders>
              <w:tl2br w:val="nil"/>
              <w:tr2bl w:val="nil"/>
            </w:tcBorders>
            <w:noWrap w:val="0"/>
            <w:vAlign w:val="center"/>
          </w:tcPr>
          <w:p w14:paraId="28EA952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2E540F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15" w:type="pct"/>
            <w:vMerge w:val="continue"/>
            <w:tcBorders>
              <w:tl2br w:val="nil"/>
              <w:tr2bl w:val="nil"/>
            </w:tcBorders>
            <w:noWrap w:val="0"/>
            <w:vAlign w:val="center"/>
          </w:tcPr>
          <w:p w14:paraId="48CFC4F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restart"/>
            <w:tcBorders>
              <w:tl2br w:val="nil"/>
              <w:tr2bl w:val="nil"/>
            </w:tcBorders>
            <w:noWrap w:val="0"/>
            <w:vAlign w:val="center"/>
          </w:tcPr>
          <w:p w14:paraId="68AC448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3B号点</w:t>
            </w:r>
          </w:p>
        </w:tc>
        <w:tc>
          <w:tcPr>
            <w:tcW w:w="590" w:type="pct"/>
            <w:tcBorders>
              <w:tl2br w:val="nil"/>
              <w:tr2bl w:val="nil"/>
            </w:tcBorders>
            <w:noWrap w:val="0"/>
            <w:vAlign w:val="center"/>
          </w:tcPr>
          <w:p w14:paraId="6FFB5D4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3B-1区</w:t>
            </w:r>
          </w:p>
        </w:tc>
        <w:tc>
          <w:tcPr>
            <w:tcW w:w="837" w:type="pct"/>
            <w:tcBorders>
              <w:tl2br w:val="nil"/>
              <w:tr2bl w:val="nil"/>
            </w:tcBorders>
            <w:noWrap w:val="0"/>
            <w:vAlign w:val="center"/>
          </w:tcPr>
          <w:p w14:paraId="6385741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775.0</w:t>
            </w:r>
          </w:p>
        </w:tc>
        <w:tc>
          <w:tcPr>
            <w:tcW w:w="846" w:type="pct"/>
            <w:tcBorders>
              <w:tl2br w:val="nil"/>
              <w:tr2bl w:val="nil"/>
            </w:tcBorders>
            <w:noWrap w:val="0"/>
            <w:vAlign w:val="center"/>
          </w:tcPr>
          <w:p w14:paraId="048C35F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1.5</w:t>
            </w:r>
          </w:p>
        </w:tc>
        <w:tc>
          <w:tcPr>
            <w:tcW w:w="967" w:type="pct"/>
            <w:tcBorders>
              <w:tl2br w:val="nil"/>
              <w:tr2bl w:val="nil"/>
            </w:tcBorders>
            <w:noWrap w:val="0"/>
            <w:vAlign w:val="center"/>
          </w:tcPr>
          <w:p w14:paraId="5AC335A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1162.5</w:t>
            </w:r>
          </w:p>
        </w:tc>
        <w:tc>
          <w:tcPr>
            <w:tcW w:w="848" w:type="pct"/>
            <w:tcBorders>
              <w:tl2br w:val="nil"/>
              <w:tr2bl w:val="nil"/>
            </w:tcBorders>
            <w:noWrap w:val="0"/>
            <w:vAlign w:val="center"/>
          </w:tcPr>
          <w:p w14:paraId="3372114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53C9EC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515" w:type="pct"/>
            <w:vMerge w:val="continue"/>
            <w:tcBorders>
              <w:tl2br w:val="nil"/>
              <w:tr2bl w:val="nil"/>
            </w:tcBorders>
            <w:noWrap w:val="0"/>
            <w:vAlign w:val="center"/>
          </w:tcPr>
          <w:p w14:paraId="46167EA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3569312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289FB21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3B-2区</w:t>
            </w:r>
          </w:p>
        </w:tc>
        <w:tc>
          <w:tcPr>
            <w:tcW w:w="837" w:type="pct"/>
            <w:tcBorders>
              <w:tl2br w:val="nil"/>
              <w:tr2bl w:val="nil"/>
            </w:tcBorders>
            <w:noWrap w:val="0"/>
            <w:vAlign w:val="center"/>
          </w:tcPr>
          <w:p w14:paraId="1B827B0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1581.0</w:t>
            </w:r>
          </w:p>
        </w:tc>
        <w:tc>
          <w:tcPr>
            <w:tcW w:w="846" w:type="pct"/>
            <w:tcBorders>
              <w:tl2br w:val="nil"/>
              <w:tr2bl w:val="nil"/>
            </w:tcBorders>
            <w:noWrap w:val="0"/>
            <w:vAlign w:val="center"/>
          </w:tcPr>
          <w:p w14:paraId="78596C1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5.53</w:t>
            </w:r>
          </w:p>
        </w:tc>
        <w:tc>
          <w:tcPr>
            <w:tcW w:w="967" w:type="pct"/>
            <w:tcBorders>
              <w:tl2br w:val="nil"/>
              <w:tr2bl w:val="nil"/>
            </w:tcBorders>
            <w:noWrap w:val="0"/>
            <w:vAlign w:val="center"/>
          </w:tcPr>
          <w:p w14:paraId="7E9E91C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8742.93</w:t>
            </w:r>
          </w:p>
        </w:tc>
        <w:tc>
          <w:tcPr>
            <w:tcW w:w="848" w:type="pct"/>
            <w:tcBorders>
              <w:tl2br w:val="nil"/>
              <w:tr2bl w:val="nil"/>
            </w:tcBorders>
            <w:noWrap w:val="0"/>
            <w:vAlign w:val="center"/>
          </w:tcPr>
          <w:p w14:paraId="1CC8E3E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0A9BE5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515" w:type="pct"/>
            <w:vMerge w:val="continue"/>
            <w:tcBorders>
              <w:tl2br w:val="nil"/>
              <w:tr2bl w:val="nil"/>
            </w:tcBorders>
            <w:noWrap w:val="0"/>
            <w:vAlign w:val="center"/>
          </w:tcPr>
          <w:p w14:paraId="7B6A067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394" w:type="pct"/>
            <w:vMerge w:val="continue"/>
            <w:tcBorders>
              <w:tl2br w:val="nil"/>
              <w:tr2bl w:val="nil"/>
            </w:tcBorders>
            <w:noWrap w:val="0"/>
            <w:vAlign w:val="center"/>
          </w:tcPr>
          <w:p w14:paraId="4A72D99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1820565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3B-3区</w:t>
            </w:r>
          </w:p>
        </w:tc>
        <w:tc>
          <w:tcPr>
            <w:tcW w:w="837" w:type="pct"/>
            <w:tcBorders>
              <w:tl2br w:val="nil"/>
              <w:tr2bl w:val="nil"/>
            </w:tcBorders>
            <w:noWrap w:val="0"/>
            <w:vAlign w:val="center"/>
          </w:tcPr>
          <w:p w14:paraId="19DADF6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115.0</w:t>
            </w:r>
          </w:p>
        </w:tc>
        <w:tc>
          <w:tcPr>
            <w:tcW w:w="846" w:type="pct"/>
            <w:tcBorders>
              <w:tl2br w:val="nil"/>
              <w:tr2bl w:val="nil"/>
            </w:tcBorders>
            <w:noWrap w:val="0"/>
            <w:vAlign w:val="center"/>
          </w:tcPr>
          <w:p w14:paraId="7F80413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1.0</w:t>
            </w:r>
          </w:p>
        </w:tc>
        <w:tc>
          <w:tcPr>
            <w:tcW w:w="967" w:type="pct"/>
            <w:tcBorders>
              <w:tl2br w:val="nil"/>
              <w:tr2bl w:val="nil"/>
            </w:tcBorders>
            <w:noWrap w:val="0"/>
            <w:vAlign w:val="center"/>
          </w:tcPr>
          <w:p w14:paraId="4BAF097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115.0</w:t>
            </w:r>
          </w:p>
        </w:tc>
        <w:tc>
          <w:tcPr>
            <w:tcW w:w="848" w:type="pct"/>
            <w:tcBorders>
              <w:tl2br w:val="nil"/>
              <w:tr2bl w:val="nil"/>
            </w:tcBorders>
            <w:noWrap w:val="0"/>
            <w:vAlign w:val="center"/>
          </w:tcPr>
          <w:p w14:paraId="3F374FD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r w14:paraId="715D74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909" w:type="pct"/>
            <w:gridSpan w:val="2"/>
            <w:tcBorders>
              <w:tl2br w:val="nil"/>
              <w:tr2bl w:val="nil"/>
            </w:tcBorders>
            <w:noWrap w:val="0"/>
            <w:vAlign w:val="center"/>
          </w:tcPr>
          <w:p w14:paraId="5E92497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总计</w:t>
            </w:r>
          </w:p>
        </w:tc>
        <w:tc>
          <w:tcPr>
            <w:tcW w:w="590" w:type="pct"/>
            <w:tcBorders>
              <w:tl2br w:val="nil"/>
              <w:tr2bl w:val="nil"/>
            </w:tcBorders>
            <w:noWrap w:val="0"/>
            <w:vAlign w:val="center"/>
          </w:tcPr>
          <w:p w14:paraId="364D419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w:t>
            </w:r>
          </w:p>
        </w:tc>
        <w:tc>
          <w:tcPr>
            <w:tcW w:w="837" w:type="pct"/>
            <w:tcBorders>
              <w:tl2br w:val="nil"/>
              <w:tr2bl w:val="nil"/>
            </w:tcBorders>
            <w:noWrap w:val="0"/>
            <w:vAlign w:val="center"/>
          </w:tcPr>
          <w:p w14:paraId="49241DA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13047</w:t>
            </w:r>
          </w:p>
        </w:tc>
        <w:tc>
          <w:tcPr>
            <w:tcW w:w="846" w:type="pct"/>
            <w:tcBorders>
              <w:tl2br w:val="nil"/>
              <w:tr2bl w:val="nil"/>
            </w:tcBorders>
            <w:noWrap w:val="0"/>
            <w:vAlign w:val="center"/>
          </w:tcPr>
          <w:p w14:paraId="20A8E8F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w:t>
            </w:r>
          </w:p>
        </w:tc>
        <w:tc>
          <w:tcPr>
            <w:tcW w:w="967" w:type="pct"/>
            <w:tcBorders>
              <w:tl2br w:val="nil"/>
              <w:tr2bl w:val="nil"/>
            </w:tcBorders>
            <w:noWrap w:val="0"/>
            <w:vAlign w:val="center"/>
          </w:tcPr>
          <w:p w14:paraId="248DF0C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55999.73</w:t>
            </w:r>
          </w:p>
        </w:tc>
        <w:tc>
          <w:tcPr>
            <w:tcW w:w="848" w:type="pct"/>
            <w:tcBorders>
              <w:tl2br w:val="nil"/>
              <w:tr2bl w:val="nil"/>
            </w:tcBorders>
            <w:noWrap w:val="0"/>
            <w:vAlign w:val="center"/>
          </w:tcPr>
          <w:p w14:paraId="515F8CC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w:t>
            </w:r>
          </w:p>
        </w:tc>
      </w:tr>
      <w:tr w14:paraId="540D48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909" w:type="pct"/>
            <w:gridSpan w:val="2"/>
            <w:vMerge w:val="restart"/>
            <w:tcBorders>
              <w:tl2br w:val="nil"/>
              <w:tr2bl w:val="nil"/>
            </w:tcBorders>
            <w:noWrap w:val="0"/>
            <w:vAlign w:val="center"/>
          </w:tcPr>
          <w:p w14:paraId="70E11D3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b/>
                <w:bCs/>
                <w:snapToGrid w:val="0"/>
                <w:color w:val="auto"/>
                <w:spacing w:val="0"/>
                <w:kern w:val="0"/>
                <w:sz w:val="21"/>
                <w:szCs w:val="21"/>
                <w:lang w:val="en-US" w:eastAsia="en-US" w:bidi="ar-SA"/>
              </w:rPr>
              <w:t>总结</w:t>
            </w:r>
          </w:p>
        </w:tc>
        <w:tc>
          <w:tcPr>
            <w:tcW w:w="590" w:type="pct"/>
            <w:tcBorders>
              <w:tl2br w:val="nil"/>
              <w:tr2bl w:val="nil"/>
            </w:tcBorders>
            <w:noWrap w:val="0"/>
            <w:vAlign w:val="center"/>
          </w:tcPr>
          <w:p w14:paraId="1273162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837" w:type="pct"/>
            <w:tcBorders>
              <w:tl2br w:val="nil"/>
              <w:tr2bl w:val="nil"/>
            </w:tcBorders>
            <w:noWrap w:val="0"/>
            <w:vAlign w:val="center"/>
          </w:tcPr>
          <w:p w14:paraId="4A3679C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4221</w:t>
            </w:r>
          </w:p>
        </w:tc>
        <w:tc>
          <w:tcPr>
            <w:tcW w:w="846" w:type="pct"/>
            <w:tcBorders>
              <w:tl2br w:val="nil"/>
              <w:tr2bl w:val="nil"/>
            </w:tcBorders>
            <w:noWrap w:val="0"/>
            <w:vAlign w:val="center"/>
          </w:tcPr>
          <w:p w14:paraId="710721B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967" w:type="pct"/>
            <w:tcBorders>
              <w:tl2br w:val="nil"/>
              <w:tr2bl w:val="nil"/>
            </w:tcBorders>
            <w:noWrap w:val="0"/>
            <w:vAlign w:val="center"/>
          </w:tcPr>
          <w:p w14:paraId="1AF111B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13494.1</w:t>
            </w:r>
          </w:p>
        </w:tc>
        <w:tc>
          <w:tcPr>
            <w:tcW w:w="848" w:type="pct"/>
            <w:tcBorders>
              <w:tl2br w:val="nil"/>
              <w:tr2bl w:val="nil"/>
            </w:tcBorders>
            <w:noWrap w:val="0"/>
            <w:vAlign w:val="center"/>
          </w:tcPr>
          <w:p w14:paraId="11D1FB8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I类固废</w:t>
            </w:r>
          </w:p>
        </w:tc>
      </w:tr>
      <w:tr w14:paraId="1CA626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909" w:type="pct"/>
            <w:gridSpan w:val="2"/>
            <w:vMerge w:val="continue"/>
            <w:tcBorders>
              <w:tl2br w:val="nil"/>
              <w:tr2bl w:val="nil"/>
            </w:tcBorders>
            <w:noWrap w:val="0"/>
            <w:vAlign w:val="center"/>
          </w:tcPr>
          <w:p w14:paraId="4F6ADD6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Arial" w:cs="Times New Roman"/>
                <w:snapToGrid w:val="0"/>
                <w:color w:val="auto"/>
                <w:spacing w:val="0"/>
                <w:kern w:val="0"/>
                <w:sz w:val="21"/>
                <w:szCs w:val="21"/>
                <w:lang w:eastAsia="en-US"/>
              </w:rPr>
            </w:pPr>
          </w:p>
        </w:tc>
        <w:tc>
          <w:tcPr>
            <w:tcW w:w="590" w:type="pct"/>
            <w:tcBorders>
              <w:tl2br w:val="nil"/>
              <w:tr2bl w:val="nil"/>
            </w:tcBorders>
            <w:noWrap w:val="0"/>
            <w:vAlign w:val="center"/>
          </w:tcPr>
          <w:p w14:paraId="6D56135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837" w:type="pct"/>
            <w:tcBorders>
              <w:tl2br w:val="nil"/>
              <w:tr2bl w:val="nil"/>
            </w:tcBorders>
            <w:noWrap w:val="0"/>
            <w:vAlign w:val="center"/>
          </w:tcPr>
          <w:p w14:paraId="2ED25B2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8826</w:t>
            </w:r>
          </w:p>
        </w:tc>
        <w:tc>
          <w:tcPr>
            <w:tcW w:w="846" w:type="pct"/>
            <w:tcBorders>
              <w:tl2br w:val="nil"/>
              <w:tr2bl w:val="nil"/>
            </w:tcBorders>
            <w:noWrap w:val="0"/>
            <w:vAlign w:val="center"/>
          </w:tcPr>
          <w:p w14:paraId="43E3917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w:t>
            </w:r>
          </w:p>
        </w:tc>
        <w:tc>
          <w:tcPr>
            <w:tcW w:w="967" w:type="pct"/>
            <w:tcBorders>
              <w:tl2br w:val="nil"/>
              <w:tr2bl w:val="nil"/>
            </w:tcBorders>
            <w:noWrap w:val="0"/>
            <w:vAlign w:val="center"/>
          </w:tcPr>
          <w:p w14:paraId="4FE3467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42505.63</w:t>
            </w:r>
          </w:p>
        </w:tc>
        <w:tc>
          <w:tcPr>
            <w:tcW w:w="848" w:type="pct"/>
            <w:tcBorders>
              <w:tl2br w:val="nil"/>
              <w:tr2bl w:val="nil"/>
            </w:tcBorders>
            <w:noWrap w:val="0"/>
            <w:vAlign w:val="center"/>
          </w:tcPr>
          <w:p w14:paraId="0E5EF8E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snapToGrid w:val="0"/>
                <w:color w:val="auto"/>
                <w:spacing w:val="0"/>
                <w:kern w:val="0"/>
                <w:sz w:val="21"/>
                <w:szCs w:val="21"/>
                <w:lang w:val="en-US" w:eastAsia="en-US" w:bidi="ar-SA"/>
              </w:rPr>
              <w:t>Ⅱ类固废</w:t>
            </w:r>
          </w:p>
        </w:tc>
      </w:tr>
    </w:tbl>
    <w:p w14:paraId="6E8E4A54">
      <w:pPr>
        <w:bidi w:val="0"/>
        <w:rPr>
          <w:rFonts w:hint="default"/>
          <w:b/>
          <w:bCs/>
          <w:sz w:val="24"/>
          <w:szCs w:val="24"/>
          <w:lang w:val="en-US" w:eastAsia="zh-CN"/>
        </w:rPr>
      </w:pPr>
      <w:r>
        <w:rPr>
          <w:rFonts w:hint="eastAsia"/>
          <w:b/>
          <w:bCs/>
          <w:sz w:val="24"/>
          <w:szCs w:val="24"/>
          <w:lang w:val="en-US" w:eastAsia="zh-CN"/>
        </w:rPr>
        <w:t>（2）区域污染现状调查</w:t>
      </w:r>
    </w:p>
    <w:p w14:paraId="299E4498">
      <w:pPr>
        <w:bidi w:val="0"/>
        <w:rPr>
          <w:rFonts w:hint="default"/>
          <w:sz w:val="24"/>
          <w:szCs w:val="24"/>
          <w:lang w:val="en-US" w:eastAsia="zh-CN"/>
        </w:rPr>
      </w:pPr>
      <w:r>
        <w:rPr>
          <w:rFonts w:hint="eastAsia"/>
          <w:sz w:val="24"/>
          <w:szCs w:val="24"/>
          <w:lang w:val="en-US" w:eastAsia="zh-CN"/>
        </w:rPr>
        <w:t>①农田土壤监测布点方案</w:t>
      </w:r>
    </w:p>
    <w:p w14:paraId="2BFCD5C7">
      <w:pPr>
        <w:bidi w:val="0"/>
        <w:rPr>
          <w:rFonts w:hint="default"/>
          <w:sz w:val="24"/>
          <w:szCs w:val="24"/>
          <w:lang w:val="en-US" w:eastAsia="zh-CN"/>
        </w:rPr>
      </w:pPr>
      <w:r>
        <w:rPr>
          <w:rFonts w:hint="eastAsia"/>
          <w:sz w:val="24"/>
          <w:szCs w:val="24"/>
          <w:lang w:val="en-US" w:eastAsia="zh-CN"/>
        </w:rPr>
        <w:t>依据现场实地勘察，在万古村布设2个与废渣堆无直接联系的农田土壤作为本项目背景点土壤，在2号废渣周边下游农田及万古水库坝下居民农田共计采集了3个点位农田土壤进行分析检测，土壤监测布点方案见表3.1-15，监测结果见表3.1-18。</w:t>
      </w:r>
    </w:p>
    <w:p w14:paraId="02FD90C5">
      <w:pPr>
        <w:bidi w:val="0"/>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表3.1-15  土壤监测布点方案</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53"/>
        <w:gridCol w:w="1125"/>
        <w:gridCol w:w="1650"/>
        <w:gridCol w:w="1105"/>
        <w:gridCol w:w="1396"/>
      </w:tblGrid>
      <w:tr w14:paraId="73327D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3953" w:type="dxa"/>
            <w:noWrap w:val="0"/>
            <w:vAlign w:val="center"/>
          </w:tcPr>
          <w:p w14:paraId="08062F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监测点位</w:t>
            </w:r>
          </w:p>
        </w:tc>
        <w:tc>
          <w:tcPr>
            <w:tcW w:w="1125" w:type="dxa"/>
            <w:noWrap w:val="0"/>
            <w:vAlign w:val="center"/>
          </w:tcPr>
          <w:p w14:paraId="4DDC2F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点位数量</w:t>
            </w:r>
          </w:p>
        </w:tc>
        <w:tc>
          <w:tcPr>
            <w:tcW w:w="1650" w:type="dxa"/>
            <w:noWrap w:val="0"/>
            <w:vAlign w:val="center"/>
          </w:tcPr>
          <w:p w14:paraId="4883EA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监测因子</w:t>
            </w:r>
          </w:p>
        </w:tc>
        <w:tc>
          <w:tcPr>
            <w:tcW w:w="1105" w:type="dxa"/>
            <w:noWrap w:val="0"/>
            <w:vAlign w:val="center"/>
          </w:tcPr>
          <w:p w14:paraId="117E07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采样深度</w:t>
            </w:r>
          </w:p>
        </w:tc>
        <w:tc>
          <w:tcPr>
            <w:tcW w:w="1396" w:type="dxa"/>
            <w:noWrap w:val="0"/>
            <w:vAlign w:val="center"/>
          </w:tcPr>
          <w:p w14:paraId="73B809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监测频次</w:t>
            </w:r>
          </w:p>
        </w:tc>
      </w:tr>
      <w:tr w14:paraId="711C1F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3" w:type="dxa"/>
            <w:noWrap w:val="0"/>
            <w:vAlign w:val="center"/>
          </w:tcPr>
          <w:p w14:paraId="1E0829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2号废渣点东南侧居民农田（</w:t>
            </w:r>
            <w:r>
              <w:rPr>
                <w:rFonts w:hint="default" w:ascii="Times New Roman" w:hAnsi="Times New Roman" w:eastAsia="微软雅黑" w:cs="Times New Roman"/>
                <w:sz w:val="21"/>
                <w:szCs w:val="21"/>
                <w:vertAlign w:val="baseline"/>
                <w:lang w:val="en-US" w:eastAsia="zh-CN"/>
              </w:rPr>
              <w:sym w:font="Wingdings" w:char="006E"/>
            </w:r>
            <w:r>
              <w:rPr>
                <w:rFonts w:hint="eastAsia"/>
                <w:sz w:val="21"/>
                <w:szCs w:val="21"/>
                <w:vertAlign w:val="baseline"/>
                <w:lang w:val="en-US" w:eastAsia="zh-CN"/>
              </w:rPr>
              <w:t>35#、</w:t>
            </w:r>
            <w:r>
              <w:rPr>
                <w:rFonts w:hint="default" w:ascii="Times New Roman" w:hAnsi="Times New Roman" w:eastAsia="微软雅黑" w:cs="Times New Roman"/>
                <w:sz w:val="21"/>
                <w:szCs w:val="21"/>
                <w:vertAlign w:val="baseline"/>
                <w:lang w:val="en-US" w:eastAsia="zh-CN"/>
              </w:rPr>
              <w:sym w:font="Wingdings" w:char="006E"/>
            </w:r>
            <w:r>
              <w:rPr>
                <w:rFonts w:hint="eastAsia"/>
                <w:sz w:val="21"/>
                <w:szCs w:val="21"/>
                <w:vertAlign w:val="baseline"/>
                <w:lang w:val="en-US" w:eastAsia="zh-CN"/>
              </w:rPr>
              <w:t>36#）</w:t>
            </w:r>
          </w:p>
        </w:tc>
        <w:tc>
          <w:tcPr>
            <w:tcW w:w="1125" w:type="dxa"/>
            <w:noWrap w:val="0"/>
            <w:vAlign w:val="center"/>
          </w:tcPr>
          <w:p w14:paraId="243CCA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2个</w:t>
            </w:r>
          </w:p>
        </w:tc>
        <w:tc>
          <w:tcPr>
            <w:tcW w:w="1650" w:type="dxa"/>
            <w:vMerge w:val="restart"/>
            <w:noWrap w:val="0"/>
            <w:vAlign w:val="center"/>
          </w:tcPr>
          <w:p w14:paraId="4C7CC8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pH、总铬、总镍、总铜、总锌、总砷、总镉、总铅、总汞、氰化物</w:t>
            </w:r>
          </w:p>
        </w:tc>
        <w:tc>
          <w:tcPr>
            <w:tcW w:w="1105" w:type="dxa"/>
            <w:noWrap w:val="0"/>
            <w:vAlign w:val="center"/>
          </w:tcPr>
          <w:p w14:paraId="38428B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0~0.2m</w:t>
            </w:r>
          </w:p>
        </w:tc>
        <w:tc>
          <w:tcPr>
            <w:tcW w:w="1396" w:type="dxa"/>
            <w:vMerge w:val="restart"/>
            <w:noWrap w:val="0"/>
            <w:vAlign w:val="center"/>
          </w:tcPr>
          <w:p w14:paraId="0EBA34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1次/天，1天</w:t>
            </w:r>
          </w:p>
        </w:tc>
      </w:tr>
      <w:tr w14:paraId="63FEB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3" w:type="dxa"/>
            <w:noWrap w:val="0"/>
            <w:vAlign w:val="center"/>
          </w:tcPr>
          <w:p w14:paraId="7B5030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万古水库坝下居民农田（</w:t>
            </w:r>
            <w:r>
              <w:rPr>
                <w:rFonts w:hint="default" w:ascii="Times New Roman" w:hAnsi="Times New Roman" w:eastAsia="微软雅黑" w:cs="Times New Roman"/>
                <w:sz w:val="21"/>
                <w:szCs w:val="21"/>
                <w:vertAlign w:val="baseline"/>
                <w:lang w:val="en-US" w:eastAsia="zh-CN"/>
              </w:rPr>
              <w:sym w:font="Wingdings" w:char="006E"/>
            </w:r>
            <w:r>
              <w:rPr>
                <w:rFonts w:hint="eastAsia"/>
                <w:sz w:val="21"/>
                <w:szCs w:val="21"/>
                <w:vertAlign w:val="baseline"/>
                <w:lang w:val="en-US" w:eastAsia="zh-CN"/>
              </w:rPr>
              <w:t>38#）</w:t>
            </w:r>
          </w:p>
        </w:tc>
        <w:tc>
          <w:tcPr>
            <w:tcW w:w="1125" w:type="dxa"/>
            <w:noWrap w:val="0"/>
            <w:vAlign w:val="center"/>
          </w:tcPr>
          <w:p w14:paraId="5E5545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1个</w:t>
            </w:r>
          </w:p>
        </w:tc>
        <w:tc>
          <w:tcPr>
            <w:tcW w:w="1650" w:type="dxa"/>
            <w:vMerge w:val="continue"/>
            <w:noWrap w:val="0"/>
            <w:vAlign w:val="center"/>
          </w:tcPr>
          <w:p w14:paraId="3F894E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105" w:type="dxa"/>
            <w:noWrap w:val="0"/>
            <w:vAlign w:val="center"/>
          </w:tcPr>
          <w:p w14:paraId="758C82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0~0.2m</w:t>
            </w:r>
          </w:p>
        </w:tc>
        <w:tc>
          <w:tcPr>
            <w:tcW w:w="1396" w:type="dxa"/>
            <w:vMerge w:val="continue"/>
            <w:noWrap w:val="0"/>
            <w:vAlign w:val="center"/>
          </w:tcPr>
          <w:p w14:paraId="0047A8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314FE1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3" w:type="dxa"/>
            <w:noWrap w:val="0"/>
            <w:vAlign w:val="center"/>
          </w:tcPr>
          <w:p w14:paraId="78EEAE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万古村1号废渣1号农田（</w:t>
            </w:r>
            <w:r>
              <w:rPr>
                <w:rFonts w:hint="default" w:ascii="Times New Roman" w:hAnsi="Times New Roman" w:eastAsia="微软雅黑" w:cs="Times New Roman"/>
                <w:sz w:val="21"/>
                <w:szCs w:val="21"/>
                <w:vertAlign w:val="baseline"/>
                <w:lang w:val="en-US" w:eastAsia="zh-CN"/>
              </w:rPr>
              <w:sym w:font="Wingdings" w:char="006E"/>
            </w:r>
            <w:r>
              <w:rPr>
                <w:rFonts w:hint="eastAsia"/>
                <w:sz w:val="21"/>
                <w:szCs w:val="21"/>
                <w:vertAlign w:val="baseline"/>
                <w:lang w:val="en-US" w:eastAsia="zh-CN"/>
              </w:rPr>
              <w:t>39#）</w:t>
            </w:r>
          </w:p>
        </w:tc>
        <w:tc>
          <w:tcPr>
            <w:tcW w:w="1125" w:type="dxa"/>
            <w:vMerge w:val="restart"/>
            <w:noWrap w:val="0"/>
            <w:vAlign w:val="center"/>
          </w:tcPr>
          <w:p w14:paraId="090C8A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2个</w:t>
            </w:r>
          </w:p>
        </w:tc>
        <w:tc>
          <w:tcPr>
            <w:tcW w:w="1650" w:type="dxa"/>
            <w:vMerge w:val="continue"/>
            <w:noWrap w:val="0"/>
            <w:vAlign w:val="center"/>
          </w:tcPr>
          <w:p w14:paraId="58DB1E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105" w:type="dxa"/>
            <w:noWrap w:val="0"/>
            <w:vAlign w:val="center"/>
          </w:tcPr>
          <w:p w14:paraId="2A347F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0~0.2m</w:t>
            </w:r>
          </w:p>
        </w:tc>
        <w:tc>
          <w:tcPr>
            <w:tcW w:w="1396" w:type="dxa"/>
            <w:vMerge w:val="continue"/>
            <w:noWrap w:val="0"/>
            <w:vAlign w:val="center"/>
          </w:tcPr>
          <w:p w14:paraId="2D8612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4DD52D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3" w:type="dxa"/>
            <w:noWrap w:val="0"/>
            <w:vAlign w:val="center"/>
          </w:tcPr>
          <w:p w14:paraId="0396E1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万古村</w:t>
            </w:r>
            <w:r>
              <w:rPr>
                <w:rFonts w:hint="eastAsia" w:cs="Times New Roman"/>
                <w:sz w:val="21"/>
                <w:szCs w:val="21"/>
                <w:vertAlign w:val="baseline"/>
                <w:lang w:val="en-US" w:eastAsia="zh-CN"/>
              </w:rPr>
              <w:t>2</w:t>
            </w:r>
            <w:r>
              <w:rPr>
                <w:rFonts w:hint="default" w:ascii="Times New Roman" w:hAnsi="Times New Roman" w:eastAsia="宋体" w:cs="Times New Roman"/>
                <w:sz w:val="21"/>
                <w:szCs w:val="21"/>
                <w:vertAlign w:val="baseline"/>
                <w:lang w:val="en-US" w:eastAsia="zh-CN"/>
              </w:rPr>
              <w:t>号废渣</w:t>
            </w:r>
            <w:r>
              <w:rPr>
                <w:rFonts w:hint="eastAsia" w:cs="Times New Roman"/>
                <w:sz w:val="21"/>
                <w:szCs w:val="21"/>
                <w:vertAlign w:val="baseline"/>
                <w:lang w:val="en-US" w:eastAsia="zh-CN"/>
              </w:rPr>
              <w:t>2</w:t>
            </w:r>
            <w:r>
              <w:rPr>
                <w:rFonts w:hint="default" w:ascii="Times New Roman" w:hAnsi="Times New Roman" w:eastAsia="宋体" w:cs="Times New Roman"/>
                <w:sz w:val="21"/>
                <w:szCs w:val="21"/>
                <w:vertAlign w:val="baseline"/>
                <w:lang w:val="en-US" w:eastAsia="zh-CN"/>
              </w:rPr>
              <w:t>号农田（</w:t>
            </w:r>
            <w:r>
              <w:rPr>
                <w:rFonts w:hint="default" w:ascii="Times New Roman" w:hAnsi="Times New Roman" w:eastAsia="微软雅黑" w:cs="Times New Roman"/>
                <w:sz w:val="21"/>
                <w:szCs w:val="21"/>
                <w:vertAlign w:val="baseline"/>
                <w:lang w:val="en-US" w:eastAsia="zh-CN"/>
              </w:rPr>
              <w:sym w:font="Wingdings" w:char="006E"/>
            </w:r>
            <w:r>
              <w:rPr>
                <w:rFonts w:hint="eastAsia" w:eastAsia="微软雅黑" w:cs="Times New Roman"/>
                <w:sz w:val="21"/>
                <w:szCs w:val="21"/>
                <w:vertAlign w:val="baseline"/>
                <w:lang w:val="en-US" w:eastAsia="zh-CN"/>
              </w:rPr>
              <w:t>40</w:t>
            </w:r>
            <w:r>
              <w:rPr>
                <w:rFonts w:hint="eastAsia"/>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w:t>
            </w:r>
          </w:p>
        </w:tc>
        <w:tc>
          <w:tcPr>
            <w:tcW w:w="1125" w:type="dxa"/>
            <w:vMerge w:val="continue"/>
            <w:noWrap w:val="0"/>
            <w:vAlign w:val="center"/>
          </w:tcPr>
          <w:p w14:paraId="45B06D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p>
        </w:tc>
        <w:tc>
          <w:tcPr>
            <w:tcW w:w="1650" w:type="dxa"/>
            <w:vMerge w:val="continue"/>
            <w:noWrap w:val="0"/>
            <w:vAlign w:val="center"/>
          </w:tcPr>
          <w:p w14:paraId="10513F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105" w:type="dxa"/>
            <w:noWrap w:val="0"/>
            <w:vAlign w:val="center"/>
          </w:tcPr>
          <w:p w14:paraId="0A688D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0~0.2m</w:t>
            </w:r>
          </w:p>
        </w:tc>
        <w:tc>
          <w:tcPr>
            <w:tcW w:w="1396" w:type="dxa"/>
            <w:vMerge w:val="continue"/>
            <w:noWrap w:val="0"/>
            <w:vAlign w:val="center"/>
          </w:tcPr>
          <w:p w14:paraId="52FC35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bl>
    <w:p w14:paraId="77760174">
      <w:pPr>
        <w:spacing w:line="240" w:lineRule="auto"/>
        <w:ind w:left="0" w:leftChars="0" w:firstLine="0" w:firstLineChars="0"/>
        <w:jc w:val="center"/>
        <w:rPr>
          <w:rFonts w:hint="eastAsia"/>
          <w:b/>
          <w:bCs/>
          <w:sz w:val="21"/>
          <w:szCs w:val="21"/>
          <w:highlight w:val="none"/>
          <w:lang w:val="en-US" w:eastAsia="zh-CN"/>
        </w:rPr>
      </w:pPr>
      <w:r>
        <w:rPr>
          <w:sz w:val="21"/>
          <w:szCs w:val="21"/>
        </w:rPr>
        <w:drawing>
          <wp:inline distT="0" distB="0" distL="114300" distR="114300">
            <wp:extent cx="5775960" cy="3253105"/>
            <wp:effectExtent l="0" t="0" r="15240" b="4445"/>
            <wp:docPr id="16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5"/>
                    <pic:cNvPicPr>
                      <a:picLocks noChangeAspect="1"/>
                    </pic:cNvPicPr>
                  </pic:nvPicPr>
                  <pic:blipFill>
                    <a:blip r:embed="rId64"/>
                    <a:stretch>
                      <a:fillRect/>
                    </a:stretch>
                  </pic:blipFill>
                  <pic:spPr>
                    <a:xfrm>
                      <a:off x="0" y="0"/>
                      <a:ext cx="5775960" cy="3253105"/>
                    </a:xfrm>
                    <a:prstGeom prst="rect">
                      <a:avLst/>
                    </a:prstGeom>
                    <a:noFill/>
                    <a:ln>
                      <a:noFill/>
                    </a:ln>
                  </pic:spPr>
                </pic:pic>
              </a:graphicData>
            </a:graphic>
          </wp:inline>
        </w:drawing>
      </w:r>
      <w:r>
        <w:rPr>
          <w:rFonts w:hint="eastAsia"/>
          <w:b/>
          <w:bCs/>
          <w:sz w:val="21"/>
          <w:szCs w:val="21"/>
          <w:highlight w:val="none"/>
          <w:lang w:val="en-US" w:eastAsia="zh-CN"/>
        </w:rPr>
        <w:t>图3.1-9  土壤环境质量现状监测布点图</w:t>
      </w:r>
    </w:p>
    <w:p w14:paraId="025A10DD">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sz w:val="24"/>
          <w:szCs w:val="24"/>
          <w:lang w:val="en-US" w:eastAsia="zh-CN"/>
        </w:rPr>
      </w:pPr>
      <w:r>
        <w:rPr>
          <w:rFonts w:hint="eastAsia"/>
          <w:sz w:val="24"/>
          <w:szCs w:val="24"/>
          <w:lang w:val="en-US" w:eastAsia="zh-CN"/>
        </w:rPr>
        <w:t>②地表水</w:t>
      </w:r>
      <w:r>
        <w:rPr>
          <w:rFonts w:hint="eastAsia" w:ascii="Times New Roman" w:hAnsi="Times New Roman" w:eastAsia="宋体" w:cs="Times New Roman"/>
          <w:kern w:val="2"/>
          <w:sz w:val="24"/>
          <w:szCs w:val="24"/>
          <w:lang w:val="en-US" w:eastAsia="zh-CN" w:bidi="ar-SA"/>
        </w:rPr>
        <w:t>监测布点方案</w:t>
      </w:r>
    </w:p>
    <w:p w14:paraId="3E17BDF6">
      <w:pPr>
        <w:bidi w:val="0"/>
        <w:rPr>
          <w:rFonts w:hint="eastAsia"/>
          <w:sz w:val="24"/>
          <w:szCs w:val="24"/>
          <w:highlight w:val="none"/>
          <w:lang w:val="en-US" w:eastAsia="zh-CN"/>
        </w:rPr>
      </w:pPr>
      <w:r>
        <w:rPr>
          <w:rFonts w:hint="eastAsia"/>
          <w:sz w:val="24"/>
          <w:szCs w:val="24"/>
          <w:highlight w:val="none"/>
          <w:lang w:val="en-US" w:eastAsia="zh-CN"/>
        </w:rPr>
        <w:t>依据现场实地勘察，对废渣堆1号废渣点上方水塘、2号废渣点内水塘、万古（白荆）水库废渣点下游50米、万古（白荆）水库终点处及万古村2号废渣点内小溪，共布设5个地表水监测点位。</w:t>
      </w:r>
    </w:p>
    <w:p w14:paraId="5E5DC317">
      <w:pPr>
        <w:bidi w:val="0"/>
        <w:rPr>
          <w:rFonts w:hint="eastAsia"/>
          <w:sz w:val="24"/>
          <w:szCs w:val="24"/>
          <w:lang w:val="en-US" w:eastAsia="zh-CN"/>
        </w:rPr>
      </w:pPr>
      <w:r>
        <w:rPr>
          <w:rFonts w:hint="eastAsia"/>
          <w:sz w:val="24"/>
          <w:szCs w:val="24"/>
          <w:lang w:val="en-US" w:eastAsia="zh-CN"/>
        </w:rPr>
        <w:t>1号、2号废渣堆范围内有一条无名小河，为探明废渣堆对无名小河的影响，对流经河流上、下游分别采集1个水样。</w:t>
      </w:r>
    </w:p>
    <w:p w14:paraId="732802A3">
      <w:pPr>
        <w:bidi w:val="0"/>
        <w:rPr>
          <w:rFonts w:hint="eastAsia"/>
          <w:sz w:val="24"/>
          <w:szCs w:val="24"/>
          <w:highlight w:val="none"/>
          <w:lang w:val="en-US" w:eastAsia="zh-CN"/>
        </w:rPr>
      </w:pPr>
      <w:r>
        <w:rPr>
          <w:rFonts w:hint="eastAsia"/>
          <w:sz w:val="24"/>
          <w:szCs w:val="24"/>
          <w:highlight w:val="none"/>
          <w:lang w:val="en-US" w:eastAsia="zh-CN"/>
        </w:rPr>
        <w:t>地表水</w:t>
      </w:r>
      <w:r>
        <w:rPr>
          <w:rFonts w:hint="eastAsia"/>
          <w:sz w:val="24"/>
          <w:szCs w:val="24"/>
          <w:lang w:val="en-US" w:eastAsia="zh-CN"/>
        </w:rPr>
        <w:t>监测布点方案见表3.1-16，监测结果见表3.1-19~20。</w:t>
      </w:r>
    </w:p>
    <w:p w14:paraId="31310D16">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表3.1-16  地表水监测布点方案</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63"/>
        <w:gridCol w:w="1095"/>
        <w:gridCol w:w="2009"/>
        <w:gridCol w:w="1663"/>
      </w:tblGrid>
      <w:tr w14:paraId="7AB2E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4463" w:type="dxa"/>
            <w:noWrap w:val="0"/>
            <w:vAlign w:val="center"/>
          </w:tcPr>
          <w:p w14:paraId="7805B1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监测点位</w:t>
            </w:r>
          </w:p>
        </w:tc>
        <w:tc>
          <w:tcPr>
            <w:tcW w:w="1095" w:type="dxa"/>
            <w:noWrap w:val="0"/>
            <w:vAlign w:val="center"/>
          </w:tcPr>
          <w:p w14:paraId="6B3D87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点位数量</w:t>
            </w:r>
          </w:p>
        </w:tc>
        <w:tc>
          <w:tcPr>
            <w:tcW w:w="2009" w:type="dxa"/>
            <w:noWrap w:val="0"/>
            <w:vAlign w:val="center"/>
          </w:tcPr>
          <w:p w14:paraId="601E8A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监测因子</w:t>
            </w:r>
          </w:p>
        </w:tc>
        <w:tc>
          <w:tcPr>
            <w:tcW w:w="1663" w:type="dxa"/>
            <w:noWrap w:val="0"/>
            <w:vAlign w:val="center"/>
          </w:tcPr>
          <w:p w14:paraId="05C42E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监测频次</w:t>
            </w:r>
          </w:p>
        </w:tc>
      </w:tr>
      <w:tr w14:paraId="11328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44EBC6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1号废渣点上方水塘（☆</w:t>
            </w:r>
            <w:r>
              <w:rPr>
                <w:rFonts w:hint="eastAsia" w:eastAsia="微软雅黑" w:cs="Times New Roman"/>
                <w:sz w:val="21"/>
                <w:szCs w:val="21"/>
                <w:vertAlign w:val="baseline"/>
                <w:lang w:val="en-US" w:eastAsia="zh-CN"/>
              </w:rPr>
              <w:t>43</w:t>
            </w:r>
            <w:r>
              <w:rPr>
                <w:rFonts w:hint="eastAsia"/>
                <w:sz w:val="21"/>
                <w:szCs w:val="21"/>
                <w:vertAlign w:val="baseline"/>
                <w:lang w:val="en-US" w:eastAsia="zh-CN"/>
              </w:rPr>
              <w:t>）</w:t>
            </w:r>
          </w:p>
        </w:tc>
        <w:tc>
          <w:tcPr>
            <w:tcW w:w="1095" w:type="dxa"/>
            <w:noWrap w:val="0"/>
            <w:vAlign w:val="center"/>
          </w:tcPr>
          <w:p w14:paraId="3CAED1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2009" w:type="dxa"/>
            <w:vMerge w:val="restart"/>
            <w:noWrap w:val="0"/>
            <w:vAlign w:val="center"/>
          </w:tcPr>
          <w:p w14:paraId="2C2C69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pH、总铬、镍、铜、锌、砷、镉、铅、汞、六价铬、氰化物</w:t>
            </w:r>
          </w:p>
        </w:tc>
        <w:tc>
          <w:tcPr>
            <w:tcW w:w="1663" w:type="dxa"/>
            <w:vMerge w:val="restart"/>
            <w:noWrap w:val="0"/>
            <w:vAlign w:val="center"/>
          </w:tcPr>
          <w:p w14:paraId="07A5C0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1次/天，2天</w:t>
            </w:r>
          </w:p>
        </w:tc>
      </w:tr>
      <w:tr w14:paraId="046315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2BD2EE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2号废渣点内水塘（☆</w:t>
            </w:r>
            <w:r>
              <w:rPr>
                <w:rFonts w:hint="eastAsia" w:eastAsia="微软雅黑" w:cs="Times New Roman"/>
                <w:sz w:val="21"/>
                <w:szCs w:val="21"/>
                <w:vertAlign w:val="baseline"/>
                <w:lang w:val="en-US" w:eastAsia="zh-CN"/>
              </w:rPr>
              <w:t>46</w:t>
            </w:r>
            <w:r>
              <w:rPr>
                <w:rFonts w:hint="eastAsia"/>
                <w:sz w:val="21"/>
                <w:szCs w:val="21"/>
                <w:vertAlign w:val="baseline"/>
                <w:lang w:val="en-US" w:eastAsia="zh-CN"/>
              </w:rPr>
              <w:t>）</w:t>
            </w:r>
          </w:p>
        </w:tc>
        <w:tc>
          <w:tcPr>
            <w:tcW w:w="1095" w:type="dxa"/>
            <w:noWrap w:val="0"/>
            <w:vAlign w:val="center"/>
          </w:tcPr>
          <w:p w14:paraId="0ECFE3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2009" w:type="dxa"/>
            <w:vMerge w:val="continue"/>
            <w:noWrap w:val="0"/>
            <w:vAlign w:val="center"/>
          </w:tcPr>
          <w:p w14:paraId="41A1D7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663" w:type="dxa"/>
            <w:vMerge w:val="continue"/>
            <w:noWrap w:val="0"/>
            <w:vAlign w:val="center"/>
          </w:tcPr>
          <w:p w14:paraId="108FF6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38251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16D369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万古村2号废渣内小溪（☆</w:t>
            </w:r>
            <w:r>
              <w:rPr>
                <w:rFonts w:hint="eastAsia" w:eastAsia="微软雅黑" w:cs="Times New Roman"/>
                <w:sz w:val="21"/>
                <w:szCs w:val="21"/>
                <w:vertAlign w:val="baseline"/>
                <w:lang w:val="en-US" w:eastAsia="zh-CN"/>
              </w:rPr>
              <w:t>53</w:t>
            </w:r>
            <w:r>
              <w:rPr>
                <w:rFonts w:hint="eastAsia"/>
                <w:sz w:val="21"/>
                <w:szCs w:val="21"/>
                <w:vertAlign w:val="baseline"/>
                <w:lang w:val="en-US" w:eastAsia="zh-CN"/>
              </w:rPr>
              <w:t>）</w:t>
            </w:r>
          </w:p>
        </w:tc>
        <w:tc>
          <w:tcPr>
            <w:tcW w:w="1095" w:type="dxa"/>
            <w:noWrap w:val="0"/>
            <w:vAlign w:val="center"/>
          </w:tcPr>
          <w:p w14:paraId="5CDB0B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2009" w:type="dxa"/>
            <w:vMerge w:val="continue"/>
            <w:noWrap w:val="0"/>
            <w:vAlign w:val="center"/>
          </w:tcPr>
          <w:p w14:paraId="3F8D1F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663" w:type="dxa"/>
            <w:vMerge w:val="continue"/>
            <w:noWrap w:val="0"/>
            <w:vAlign w:val="center"/>
          </w:tcPr>
          <w:p w14:paraId="41CBE0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7653E8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6E1AEE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万古（白荆）水库废渣点下游50米（☆</w:t>
            </w:r>
            <w:r>
              <w:rPr>
                <w:rFonts w:hint="eastAsia" w:eastAsia="微软雅黑" w:cs="Times New Roman"/>
                <w:sz w:val="21"/>
                <w:szCs w:val="21"/>
                <w:vertAlign w:val="baseline"/>
                <w:lang w:val="en-US" w:eastAsia="zh-CN"/>
              </w:rPr>
              <w:t>47</w:t>
            </w:r>
            <w:r>
              <w:rPr>
                <w:rFonts w:hint="eastAsia"/>
                <w:sz w:val="21"/>
                <w:szCs w:val="21"/>
                <w:vertAlign w:val="baseline"/>
                <w:lang w:val="en-US" w:eastAsia="zh-CN"/>
              </w:rPr>
              <w:t>）</w:t>
            </w:r>
          </w:p>
        </w:tc>
        <w:tc>
          <w:tcPr>
            <w:tcW w:w="1095" w:type="dxa"/>
            <w:noWrap w:val="0"/>
            <w:vAlign w:val="center"/>
          </w:tcPr>
          <w:p w14:paraId="7E0CA0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1</w:t>
            </w:r>
          </w:p>
        </w:tc>
        <w:tc>
          <w:tcPr>
            <w:tcW w:w="2009" w:type="dxa"/>
            <w:vMerge w:val="continue"/>
            <w:noWrap w:val="0"/>
            <w:vAlign w:val="center"/>
          </w:tcPr>
          <w:p w14:paraId="77BC45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663" w:type="dxa"/>
            <w:vMerge w:val="continue"/>
            <w:noWrap w:val="0"/>
            <w:vAlign w:val="center"/>
          </w:tcPr>
          <w:p w14:paraId="426149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4ECA91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3D49D9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万古（白荆）水库终点处（☆</w:t>
            </w:r>
            <w:r>
              <w:rPr>
                <w:rFonts w:hint="eastAsia" w:eastAsia="微软雅黑" w:cs="Times New Roman"/>
                <w:sz w:val="21"/>
                <w:szCs w:val="21"/>
                <w:vertAlign w:val="baseline"/>
                <w:lang w:val="en-US" w:eastAsia="zh-CN"/>
              </w:rPr>
              <w:t>48</w:t>
            </w:r>
            <w:r>
              <w:rPr>
                <w:rFonts w:hint="eastAsia"/>
                <w:sz w:val="21"/>
                <w:szCs w:val="21"/>
                <w:vertAlign w:val="baseline"/>
                <w:lang w:val="en-US" w:eastAsia="zh-CN"/>
              </w:rPr>
              <w:t>）</w:t>
            </w:r>
          </w:p>
        </w:tc>
        <w:tc>
          <w:tcPr>
            <w:tcW w:w="1095" w:type="dxa"/>
            <w:noWrap w:val="0"/>
            <w:vAlign w:val="center"/>
          </w:tcPr>
          <w:p w14:paraId="54DEA2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1</w:t>
            </w:r>
          </w:p>
        </w:tc>
        <w:tc>
          <w:tcPr>
            <w:tcW w:w="2009" w:type="dxa"/>
            <w:vMerge w:val="continue"/>
            <w:noWrap w:val="0"/>
            <w:vAlign w:val="center"/>
          </w:tcPr>
          <w:p w14:paraId="6F9A06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663" w:type="dxa"/>
            <w:vMerge w:val="continue"/>
            <w:noWrap w:val="0"/>
            <w:vAlign w:val="center"/>
          </w:tcPr>
          <w:p w14:paraId="68F0C1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0833F2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610922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东南侧小河万古村 1、2 号废渣堆处上游100m断面（☆</w:t>
            </w:r>
            <w:r>
              <w:rPr>
                <w:rFonts w:hint="eastAsia" w:eastAsia="微软雅黑" w:cs="Times New Roman"/>
                <w:sz w:val="21"/>
                <w:szCs w:val="21"/>
                <w:vertAlign w:val="baseline"/>
                <w:lang w:val="en-US" w:eastAsia="zh-CN"/>
              </w:rPr>
              <w:t>49</w:t>
            </w:r>
            <w:r>
              <w:rPr>
                <w:rFonts w:hint="eastAsia"/>
                <w:sz w:val="21"/>
                <w:szCs w:val="21"/>
                <w:vertAlign w:val="baseline"/>
                <w:lang w:val="en-US" w:eastAsia="zh-CN"/>
              </w:rPr>
              <w:t>）</w:t>
            </w:r>
          </w:p>
        </w:tc>
        <w:tc>
          <w:tcPr>
            <w:tcW w:w="1095" w:type="dxa"/>
            <w:noWrap w:val="0"/>
            <w:vAlign w:val="center"/>
          </w:tcPr>
          <w:p w14:paraId="44922D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2009" w:type="dxa"/>
            <w:vMerge w:val="restart"/>
            <w:noWrap w:val="0"/>
            <w:vAlign w:val="center"/>
          </w:tcPr>
          <w:p w14:paraId="2A6742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砷</w:t>
            </w:r>
          </w:p>
        </w:tc>
        <w:tc>
          <w:tcPr>
            <w:tcW w:w="1663" w:type="dxa"/>
            <w:vMerge w:val="restart"/>
            <w:noWrap w:val="0"/>
            <w:vAlign w:val="center"/>
          </w:tcPr>
          <w:p w14:paraId="0D48F2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1次/天，2天</w:t>
            </w:r>
          </w:p>
        </w:tc>
      </w:tr>
      <w:tr w14:paraId="1EDA0F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63" w:type="dxa"/>
            <w:noWrap w:val="0"/>
            <w:vAlign w:val="center"/>
          </w:tcPr>
          <w:p w14:paraId="13ECF0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东南侧小河万古村 1、2 号废渣堆处下游100m断面（☆</w:t>
            </w:r>
            <w:r>
              <w:rPr>
                <w:rFonts w:hint="eastAsia" w:eastAsia="微软雅黑" w:cs="Times New Roman"/>
                <w:sz w:val="21"/>
                <w:szCs w:val="21"/>
                <w:vertAlign w:val="baseline"/>
                <w:lang w:val="en-US" w:eastAsia="zh-CN"/>
              </w:rPr>
              <w:t>50</w:t>
            </w:r>
            <w:r>
              <w:rPr>
                <w:rFonts w:hint="eastAsia"/>
                <w:sz w:val="21"/>
                <w:szCs w:val="21"/>
                <w:vertAlign w:val="baseline"/>
                <w:lang w:val="en-US" w:eastAsia="zh-CN"/>
              </w:rPr>
              <w:t>）</w:t>
            </w:r>
          </w:p>
        </w:tc>
        <w:tc>
          <w:tcPr>
            <w:tcW w:w="1095" w:type="dxa"/>
            <w:noWrap w:val="0"/>
            <w:vAlign w:val="center"/>
          </w:tcPr>
          <w:p w14:paraId="1E4B93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2009" w:type="dxa"/>
            <w:vMerge w:val="continue"/>
            <w:noWrap w:val="0"/>
            <w:vAlign w:val="center"/>
          </w:tcPr>
          <w:p w14:paraId="4F687D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663" w:type="dxa"/>
            <w:vMerge w:val="continue"/>
            <w:noWrap w:val="0"/>
            <w:vAlign w:val="center"/>
          </w:tcPr>
          <w:p w14:paraId="204FC9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bl>
    <w:p w14:paraId="136B6CA9">
      <w:pPr>
        <w:bidi w:val="0"/>
        <w:spacing w:line="240" w:lineRule="auto"/>
        <w:ind w:left="0" w:leftChars="0" w:firstLine="0" w:firstLineChars="0"/>
        <w:jc w:val="center"/>
        <w:rPr>
          <w:rFonts w:hint="eastAsia"/>
          <w:b/>
          <w:bCs/>
          <w:sz w:val="21"/>
          <w:szCs w:val="21"/>
          <w:highlight w:val="none"/>
          <w:lang w:val="en-US" w:eastAsia="zh-CN"/>
        </w:rPr>
      </w:pPr>
      <w:r>
        <w:drawing>
          <wp:inline distT="0" distB="0" distL="114300" distR="114300">
            <wp:extent cx="5803900" cy="3277870"/>
            <wp:effectExtent l="0" t="0" r="6350" b="17780"/>
            <wp:docPr id="16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6"/>
                    <pic:cNvPicPr>
                      <a:picLocks noChangeAspect="1"/>
                    </pic:cNvPicPr>
                  </pic:nvPicPr>
                  <pic:blipFill>
                    <a:blip r:embed="rId65"/>
                    <a:stretch>
                      <a:fillRect/>
                    </a:stretch>
                  </pic:blipFill>
                  <pic:spPr>
                    <a:xfrm>
                      <a:off x="0" y="0"/>
                      <a:ext cx="5803900" cy="3277870"/>
                    </a:xfrm>
                    <a:prstGeom prst="rect">
                      <a:avLst/>
                    </a:prstGeom>
                    <a:noFill/>
                    <a:ln>
                      <a:noFill/>
                    </a:ln>
                  </pic:spPr>
                </pic:pic>
              </a:graphicData>
            </a:graphic>
          </wp:inline>
        </w:drawing>
      </w:r>
      <w:r>
        <w:rPr>
          <w:rFonts w:hint="eastAsia"/>
          <w:b/>
          <w:bCs/>
          <w:sz w:val="21"/>
          <w:szCs w:val="21"/>
          <w:highlight w:val="none"/>
          <w:lang w:val="en-US" w:eastAsia="zh-CN"/>
        </w:rPr>
        <w:t>图3.1-10  地表水环境质量现状监测布点图（1）</w:t>
      </w:r>
    </w:p>
    <w:p w14:paraId="357F9AFD">
      <w:pPr>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pPr>
      <w:r>
        <w:drawing>
          <wp:inline distT="0" distB="0" distL="114300" distR="114300">
            <wp:extent cx="5970905" cy="3381375"/>
            <wp:effectExtent l="0" t="0" r="10795" b="9525"/>
            <wp:docPr id="16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7"/>
                    <pic:cNvPicPr>
                      <a:picLocks noChangeAspect="1"/>
                    </pic:cNvPicPr>
                  </pic:nvPicPr>
                  <pic:blipFill>
                    <a:blip r:embed="rId66"/>
                    <a:stretch>
                      <a:fillRect/>
                    </a:stretch>
                  </pic:blipFill>
                  <pic:spPr>
                    <a:xfrm>
                      <a:off x="0" y="0"/>
                      <a:ext cx="5970905" cy="3381375"/>
                    </a:xfrm>
                    <a:prstGeom prst="rect">
                      <a:avLst/>
                    </a:prstGeom>
                    <a:noFill/>
                    <a:ln>
                      <a:noFill/>
                    </a:ln>
                  </pic:spPr>
                </pic:pic>
              </a:graphicData>
            </a:graphic>
          </wp:inline>
        </w:drawing>
      </w:r>
    </w:p>
    <w:p w14:paraId="60C8834C">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eastAsia"/>
          <w:b/>
          <w:bCs/>
          <w:sz w:val="21"/>
          <w:szCs w:val="21"/>
          <w:highlight w:val="none"/>
          <w:lang w:val="en-US" w:eastAsia="zh-CN"/>
        </w:rPr>
      </w:pPr>
      <w:r>
        <w:rPr>
          <w:rFonts w:hint="eastAsia"/>
          <w:b/>
          <w:bCs/>
          <w:sz w:val="21"/>
          <w:szCs w:val="21"/>
          <w:highlight w:val="none"/>
          <w:lang w:val="en-US" w:eastAsia="zh-CN"/>
        </w:rPr>
        <w:t>图3.1-10  补充地表水环境质量现状监测布点图（2）</w:t>
      </w:r>
    </w:p>
    <w:p w14:paraId="2D45F9B0">
      <w:pPr>
        <w:bidi w:val="0"/>
        <w:rPr>
          <w:rFonts w:hint="default"/>
          <w:sz w:val="24"/>
          <w:szCs w:val="24"/>
          <w:lang w:val="en-US" w:eastAsia="zh-CN"/>
        </w:rPr>
      </w:pPr>
      <w:r>
        <w:rPr>
          <w:rFonts w:hint="eastAsia"/>
          <w:sz w:val="24"/>
          <w:szCs w:val="24"/>
          <w:lang w:val="en-US" w:eastAsia="zh-CN"/>
        </w:rPr>
        <w:t>③地下水</w:t>
      </w:r>
      <w:r>
        <w:rPr>
          <w:rFonts w:hint="eastAsia" w:ascii="Times New Roman" w:hAnsi="Times New Roman" w:eastAsia="宋体" w:cs="Times New Roman"/>
          <w:kern w:val="2"/>
          <w:sz w:val="24"/>
          <w:szCs w:val="24"/>
          <w:lang w:val="en-US" w:eastAsia="zh-CN" w:bidi="ar-SA"/>
        </w:rPr>
        <w:t>监测布点方案</w:t>
      </w:r>
    </w:p>
    <w:p w14:paraId="431F2AEC">
      <w:pPr>
        <w:rPr>
          <w:rFonts w:hint="default"/>
          <w:sz w:val="24"/>
          <w:szCs w:val="24"/>
          <w:highlight w:val="none"/>
          <w:lang w:val="en-US" w:eastAsia="zh-CN"/>
        </w:rPr>
      </w:pPr>
      <w:r>
        <w:rPr>
          <w:rFonts w:hint="eastAsia"/>
          <w:sz w:val="24"/>
          <w:szCs w:val="24"/>
          <w:highlight w:val="none"/>
          <w:lang w:val="en-US" w:eastAsia="zh-CN"/>
        </w:rPr>
        <w:t>依据现场实地勘察，对万古水库废渣堆就近居民点布设1个地下水监测点位，地下水</w:t>
      </w:r>
      <w:r>
        <w:rPr>
          <w:rFonts w:hint="eastAsia"/>
          <w:sz w:val="24"/>
          <w:szCs w:val="24"/>
          <w:lang w:val="en-US" w:eastAsia="zh-CN"/>
        </w:rPr>
        <w:t>监测布点方案见表3.1-17，监测结果见表3.1-21。</w:t>
      </w:r>
    </w:p>
    <w:p w14:paraId="5C8B4F03">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表3.1-17  地下水监测布点方案</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408"/>
        <w:gridCol w:w="1125"/>
        <w:gridCol w:w="3941"/>
        <w:gridCol w:w="1756"/>
      </w:tblGrid>
      <w:tr w14:paraId="71FCEB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408" w:type="dxa"/>
            <w:noWrap w:val="0"/>
            <w:vAlign w:val="center"/>
          </w:tcPr>
          <w:p w14:paraId="0C946E6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监测点位</w:t>
            </w:r>
          </w:p>
        </w:tc>
        <w:tc>
          <w:tcPr>
            <w:tcW w:w="1125" w:type="dxa"/>
            <w:noWrap w:val="0"/>
            <w:vAlign w:val="center"/>
          </w:tcPr>
          <w:p w14:paraId="38394E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点位数量</w:t>
            </w:r>
          </w:p>
        </w:tc>
        <w:tc>
          <w:tcPr>
            <w:tcW w:w="3941" w:type="dxa"/>
            <w:noWrap w:val="0"/>
            <w:vAlign w:val="center"/>
          </w:tcPr>
          <w:p w14:paraId="60350C7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监测因子</w:t>
            </w:r>
          </w:p>
        </w:tc>
        <w:tc>
          <w:tcPr>
            <w:tcW w:w="1756" w:type="dxa"/>
            <w:noWrap w:val="0"/>
            <w:vAlign w:val="center"/>
          </w:tcPr>
          <w:p w14:paraId="2489D48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监测频次</w:t>
            </w:r>
          </w:p>
        </w:tc>
      </w:tr>
      <w:tr w14:paraId="5D973A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8" w:type="dxa"/>
            <w:noWrap w:val="0"/>
            <w:vAlign w:val="center"/>
          </w:tcPr>
          <w:p w14:paraId="24A68E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default"/>
                <w:sz w:val="21"/>
                <w:szCs w:val="21"/>
                <w:vertAlign w:val="baseline"/>
                <w:lang w:val="en-US" w:eastAsia="zh-CN"/>
              </w:rPr>
              <w:t>万古水库废渣点下游（</w:t>
            </w:r>
            <w:r>
              <w:rPr>
                <w:rFonts w:hint="eastAsia"/>
                <w:sz w:val="21"/>
                <w:szCs w:val="21"/>
                <w:vertAlign w:val="baseline"/>
                <w:lang w:val="en-US" w:eastAsia="zh-CN"/>
              </w:rPr>
              <w:t>☆</w:t>
            </w:r>
            <w:r>
              <w:rPr>
                <w:rFonts w:hint="default"/>
                <w:sz w:val="21"/>
                <w:szCs w:val="21"/>
                <w:vertAlign w:val="baseline"/>
                <w:lang w:val="en-US" w:eastAsia="zh-CN"/>
              </w:rPr>
              <w:t>50）</w:t>
            </w:r>
          </w:p>
        </w:tc>
        <w:tc>
          <w:tcPr>
            <w:tcW w:w="1125" w:type="dxa"/>
            <w:noWrap w:val="0"/>
            <w:vAlign w:val="center"/>
          </w:tcPr>
          <w:p w14:paraId="66CD82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3941" w:type="dxa"/>
            <w:noWrap w:val="0"/>
            <w:vAlign w:val="center"/>
          </w:tcPr>
          <w:p w14:paraId="56DCEC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pH、总铬、镍、铜、锌、砷、镉、铅、汞、六价铬、氰化物</w:t>
            </w:r>
          </w:p>
        </w:tc>
        <w:tc>
          <w:tcPr>
            <w:tcW w:w="1756" w:type="dxa"/>
            <w:noWrap w:val="0"/>
            <w:vAlign w:val="center"/>
          </w:tcPr>
          <w:p w14:paraId="58CE23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1次/天，2天</w:t>
            </w:r>
          </w:p>
        </w:tc>
      </w:tr>
    </w:tbl>
    <w:p w14:paraId="65B8DF6E">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④底泥</w:t>
      </w:r>
      <w:r>
        <w:rPr>
          <w:rFonts w:hint="default" w:ascii="Times New Roman" w:hAnsi="Times New Roman" w:eastAsia="宋体" w:cs="Times New Roman"/>
          <w:kern w:val="2"/>
          <w:sz w:val="24"/>
          <w:szCs w:val="24"/>
          <w:lang w:val="en-US" w:eastAsia="zh-CN" w:bidi="ar-SA"/>
        </w:rPr>
        <w:t>监测布点方案</w:t>
      </w:r>
    </w:p>
    <w:p w14:paraId="7BE2F1D3">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lang w:val="en-US" w:eastAsia="zh-CN"/>
        </w:rPr>
        <w:t>因万古水库废渣堆裸露堆积在万古水库旁，渣堆周边均未修建截、排水措施，也无任何拦挡措施，极易被直接冲入水库中。为了解万古水库废渣堆对万古水库的影响，对万古（白荆）水库底泥实施采样，底泥采样点位同地表水，监测1次。</w:t>
      </w:r>
    </w:p>
    <w:p w14:paraId="2D38426F">
      <w:pPr>
        <w:spacing w:line="240" w:lineRule="auto"/>
        <w:ind w:left="0" w:leftChars="0" w:firstLine="0" w:firstLineChars="0"/>
        <w:rPr>
          <w:rFonts w:hint="eastAsia"/>
          <w:highlight w:val="none"/>
          <w:lang w:val="en-US" w:eastAsia="zh-CN"/>
        </w:rPr>
      </w:pPr>
      <w:r>
        <w:drawing>
          <wp:inline distT="0" distB="0" distL="114300" distR="114300">
            <wp:extent cx="5922010" cy="3412490"/>
            <wp:effectExtent l="0" t="0" r="2540" b="16510"/>
            <wp:docPr id="16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8"/>
                    <pic:cNvPicPr>
                      <a:picLocks noChangeAspect="1"/>
                    </pic:cNvPicPr>
                  </pic:nvPicPr>
                  <pic:blipFill>
                    <a:blip r:embed="rId67"/>
                    <a:stretch>
                      <a:fillRect/>
                    </a:stretch>
                  </pic:blipFill>
                  <pic:spPr>
                    <a:xfrm>
                      <a:off x="0" y="0"/>
                      <a:ext cx="5922010" cy="3412490"/>
                    </a:xfrm>
                    <a:prstGeom prst="rect">
                      <a:avLst/>
                    </a:prstGeom>
                    <a:noFill/>
                    <a:ln>
                      <a:noFill/>
                    </a:ln>
                  </pic:spPr>
                </pic:pic>
              </a:graphicData>
            </a:graphic>
          </wp:inline>
        </w:drawing>
      </w:r>
    </w:p>
    <w:p w14:paraId="2ED12988">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图3.1-11  地下水及底泥环境质量现状监测布点图</w:t>
      </w:r>
    </w:p>
    <w:p w14:paraId="17CDF2EF">
      <w:pPr>
        <w:ind w:left="0" w:leftChars="0" w:firstLine="0" w:firstLineChars="0"/>
        <w:jc w:val="center"/>
        <w:rPr>
          <w:rFonts w:hint="eastAsia"/>
          <w:b/>
          <w:bCs/>
          <w:sz w:val="21"/>
          <w:szCs w:val="21"/>
          <w:highlight w:val="none"/>
          <w:lang w:val="en-US" w:eastAsia="zh-CN"/>
        </w:rPr>
        <w:sectPr>
          <w:pgSz w:w="11850" w:h="16783"/>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9D39A3F">
      <w:pPr>
        <w:spacing w:line="240" w:lineRule="auto"/>
        <w:ind w:left="0" w:leftChars="0" w:firstLine="0" w:firstLineChars="0"/>
        <w:jc w:val="center"/>
        <w:rPr>
          <w:rFonts w:hint="eastAsia"/>
          <w:b/>
          <w:bCs/>
          <w:sz w:val="24"/>
          <w:szCs w:val="24"/>
          <w:highlight w:val="none"/>
          <w:lang w:val="en-US" w:eastAsia="zh-CN"/>
        </w:rPr>
      </w:pPr>
      <w:r>
        <w:rPr>
          <w:rFonts w:hint="eastAsia"/>
          <w:b/>
          <w:bCs/>
          <w:sz w:val="21"/>
          <w:szCs w:val="21"/>
          <w:highlight w:val="none"/>
          <w:lang w:val="en-US" w:eastAsia="zh-CN"/>
        </w:rPr>
        <w:t>表3.1-18  土壤检测结果一览表    单位：mg/kg，pH（无量纲）</w:t>
      </w:r>
    </w:p>
    <w:tbl>
      <w:tblPr>
        <w:tblStyle w:val="111"/>
        <w:tblW w:w="508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832"/>
        <w:gridCol w:w="964"/>
        <w:gridCol w:w="1280"/>
        <w:gridCol w:w="947"/>
        <w:gridCol w:w="871"/>
        <w:gridCol w:w="745"/>
        <w:gridCol w:w="788"/>
        <w:gridCol w:w="723"/>
        <w:gridCol w:w="882"/>
        <w:gridCol w:w="780"/>
        <w:gridCol w:w="828"/>
        <w:gridCol w:w="828"/>
        <w:gridCol w:w="839"/>
        <w:gridCol w:w="842"/>
        <w:gridCol w:w="1076"/>
      </w:tblGrid>
      <w:tr w14:paraId="329953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vMerge w:val="restart"/>
            <w:tcBorders>
              <w:tl2br w:val="nil"/>
              <w:tr2bl w:val="nil"/>
            </w:tcBorders>
            <w:noWrap w:val="0"/>
            <w:vAlign w:val="center"/>
          </w:tcPr>
          <w:p w14:paraId="23089A2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采样点位</w:t>
            </w:r>
          </w:p>
        </w:tc>
        <w:tc>
          <w:tcPr>
            <w:tcW w:w="339" w:type="pct"/>
            <w:vMerge w:val="restart"/>
            <w:tcBorders>
              <w:tl2br w:val="nil"/>
              <w:tr2bl w:val="nil"/>
            </w:tcBorders>
            <w:noWrap w:val="0"/>
            <w:vAlign w:val="center"/>
          </w:tcPr>
          <w:p w14:paraId="35DABA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采样日期</w:t>
            </w:r>
          </w:p>
        </w:tc>
        <w:tc>
          <w:tcPr>
            <w:tcW w:w="450" w:type="pct"/>
            <w:vMerge w:val="restart"/>
            <w:tcBorders>
              <w:tl2br w:val="nil"/>
              <w:tr2bl w:val="nil"/>
            </w:tcBorders>
            <w:noWrap w:val="0"/>
            <w:vAlign w:val="center"/>
          </w:tcPr>
          <w:p w14:paraId="5EA7ECA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eastAsia" w:cs="Times New Roman"/>
                <w:b/>
                <w:bCs/>
                <w:snapToGrid w:val="0"/>
                <w:color w:val="auto"/>
                <w:spacing w:val="0"/>
                <w:w w:val="100"/>
                <w:kern w:val="0"/>
                <w:position w:val="0"/>
                <w:sz w:val="21"/>
                <w:szCs w:val="21"/>
                <w:lang w:val="en-US" w:eastAsia="zh-CN" w:bidi="ar-SA"/>
              </w:rPr>
              <w:t>经纬度（°）</w:t>
            </w:r>
          </w:p>
        </w:tc>
        <w:tc>
          <w:tcPr>
            <w:tcW w:w="333" w:type="pct"/>
            <w:vMerge w:val="restart"/>
            <w:tcBorders>
              <w:tl2br w:val="nil"/>
              <w:tr2bl w:val="nil"/>
            </w:tcBorders>
            <w:noWrap w:val="0"/>
            <w:vAlign w:val="center"/>
          </w:tcPr>
          <w:p w14:paraId="7DF895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eastAsia="en-US"/>
              </w:rPr>
              <w:t>采样深度</w:t>
            </w:r>
            <w:r>
              <w:rPr>
                <w:rFonts w:hint="default" w:ascii="Times New Roman" w:hAnsi="Times New Roman" w:eastAsia="宋体" w:cs="Times New Roman"/>
                <w:b/>
                <w:bCs/>
                <w:snapToGrid w:val="0"/>
                <w:color w:val="auto"/>
                <w:spacing w:val="0"/>
                <w:w w:val="100"/>
                <w:kern w:val="0"/>
                <w:position w:val="0"/>
                <w:sz w:val="21"/>
                <w:szCs w:val="21"/>
                <w:lang w:val="en-US" w:eastAsia="en-US" w:bidi="ar-SA"/>
              </w:rPr>
              <w:t>cm</w:t>
            </w:r>
          </w:p>
        </w:tc>
        <w:tc>
          <w:tcPr>
            <w:tcW w:w="306" w:type="pct"/>
            <w:vMerge w:val="restart"/>
            <w:tcBorders>
              <w:tl2br w:val="nil"/>
              <w:tr2bl w:val="nil"/>
            </w:tcBorders>
            <w:noWrap w:val="0"/>
            <w:vAlign w:val="center"/>
          </w:tcPr>
          <w:p w14:paraId="39363B1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样品状态</w:t>
            </w:r>
          </w:p>
        </w:tc>
        <w:tc>
          <w:tcPr>
            <w:tcW w:w="2927" w:type="pct"/>
            <w:gridSpan w:val="10"/>
            <w:tcBorders>
              <w:tl2br w:val="nil"/>
              <w:tr2bl w:val="nil"/>
            </w:tcBorders>
            <w:noWrap w:val="0"/>
            <w:vAlign w:val="center"/>
          </w:tcPr>
          <w:p w14:paraId="5AA226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检测项目及检测结果</w:t>
            </w:r>
          </w:p>
        </w:tc>
      </w:tr>
      <w:tr w14:paraId="1915CC5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vMerge w:val="continue"/>
            <w:tcBorders>
              <w:tl2br w:val="nil"/>
              <w:tr2bl w:val="nil"/>
            </w:tcBorders>
            <w:noWrap w:val="0"/>
            <w:vAlign w:val="center"/>
          </w:tcPr>
          <w:p w14:paraId="363CE5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339" w:type="pct"/>
            <w:vMerge w:val="continue"/>
            <w:tcBorders>
              <w:tl2br w:val="nil"/>
              <w:tr2bl w:val="nil"/>
            </w:tcBorders>
            <w:noWrap w:val="0"/>
            <w:vAlign w:val="center"/>
          </w:tcPr>
          <w:p w14:paraId="42F7DEE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450" w:type="pct"/>
            <w:vMerge w:val="continue"/>
            <w:tcBorders>
              <w:tl2br w:val="nil"/>
              <w:tr2bl w:val="nil"/>
            </w:tcBorders>
            <w:noWrap w:val="0"/>
            <w:vAlign w:val="center"/>
          </w:tcPr>
          <w:p w14:paraId="6FC6453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333" w:type="pct"/>
            <w:vMerge w:val="continue"/>
            <w:tcBorders>
              <w:tl2br w:val="nil"/>
              <w:tr2bl w:val="nil"/>
            </w:tcBorders>
            <w:noWrap w:val="0"/>
            <w:vAlign w:val="center"/>
          </w:tcPr>
          <w:p w14:paraId="6E7225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306" w:type="pct"/>
            <w:vMerge w:val="continue"/>
            <w:tcBorders>
              <w:tl2br w:val="nil"/>
              <w:tr2bl w:val="nil"/>
            </w:tcBorders>
            <w:noWrap w:val="0"/>
            <w:vAlign w:val="center"/>
          </w:tcPr>
          <w:p w14:paraId="283A11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262" w:type="pct"/>
            <w:tcBorders>
              <w:tl2br w:val="nil"/>
              <w:tr2bl w:val="nil"/>
            </w:tcBorders>
            <w:noWrap w:val="0"/>
            <w:vAlign w:val="center"/>
          </w:tcPr>
          <w:p w14:paraId="09EB988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pH值</w:t>
            </w:r>
          </w:p>
        </w:tc>
        <w:tc>
          <w:tcPr>
            <w:tcW w:w="277" w:type="pct"/>
            <w:tcBorders>
              <w:tl2br w:val="nil"/>
              <w:tr2bl w:val="nil"/>
            </w:tcBorders>
            <w:noWrap w:val="0"/>
            <w:vAlign w:val="center"/>
          </w:tcPr>
          <w:p w14:paraId="57FE6E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总铬</w:t>
            </w:r>
          </w:p>
        </w:tc>
        <w:tc>
          <w:tcPr>
            <w:tcW w:w="254" w:type="pct"/>
            <w:tcBorders>
              <w:tl2br w:val="nil"/>
              <w:tr2bl w:val="nil"/>
            </w:tcBorders>
            <w:noWrap w:val="0"/>
            <w:vAlign w:val="center"/>
          </w:tcPr>
          <w:p w14:paraId="179647F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总镍</w:t>
            </w:r>
          </w:p>
        </w:tc>
        <w:tc>
          <w:tcPr>
            <w:tcW w:w="310" w:type="pct"/>
            <w:tcBorders>
              <w:tl2br w:val="nil"/>
              <w:tr2bl w:val="nil"/>
            </w:tcBorders>
            <w:noWrap w:val="0"/>
            <w:vAlign w:val="center"/>
          </w:tcPr>
          <w:p w14:paraId="1502E3C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总铜</w:t>
            </w:r>
          </w:p>
        </w:tc>
        <w:tc>
          <w:tcPr>
            <w:tcW w:w="274" w:type="pct"/>
            <w:tcBorders>
              <w:tl2br w:val="nil"/>
              <w:tr2bl w:val="nil"/>
            </w:tcBorders>
            <w:noWrap w:val="0"/>
            <w:vAlign w:val="center"/>
          </w:tcPr>
          <w:p w14:paraId="48BD6B6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总锌</w:t>
            </w:r>
          </w:p>
        </w:tc>
        <w:tc>
          <w:tcPr>
            <w:tcW w:w="291" w:type="pct"/>
            <w:tcBorders>
              <w:tl2br w:val="nil"/>
              <w:tr2bl w:val="nil"/>
            </w:tcBorders>
            <w:noWrap w:val="0"/>
            <w:vAlign w:val="center"/>
          </w:tcPr>
          <w:p w14:paraId="24A91CF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总砷</w:t>
            </w:r>
          </w:p>
        </w:tc>
        <w:tc>
          <w:tcPr>
            <w:tcW w:w="291" w:type="pct"/>
            <w:tcBorders>
              <w:tl2br w:val="nil"/>
              <w:tr2bl w:val="nil"/>
            </w:tcBorders>
            <w:noWrap w:val="0"/>
            <w:vAlign w:val="center"/>
          </w:tcPr>
          <w:p w14:paraId="1A8973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总镉</w:t>
            </w:r>
          </w:p>
        </w:tc>
        <w:tc>
          <w:tcPr>
            <w:tcW w:w="295" w:type="pct"/>
            <w:tcBorders>
              <w:tl2br w:val="nil"/>
              <w:tr2bl w:val="nil"/>
            </w:tcBorders>
            <w:noWrap w:val="0"/>
            <w:vAlign w:val="center"/>
          </w:tcPr>
          <w:p w14:paraId="6F9DFE3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总铅</w:t>
            </w:r>
          </w:p>
        </w:tc>
        <w:tc>
          <w:tcPr>
            <w:tcW w:w="296" w:type="pct"/>
            <w:tcBorders>
              <w:tl2br w:val="nil"/>
              <w:tr2bl w:val="nil"/>
            </w:tcBorders>
            <w:noWrap w:val="0"/>
            <w:vAlign w:val="center"/>
          </w:tcPr>
          <w:p w14:paraId="40275B2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总汞</w:t>
            </w:r>
          </w:p>
        </w:tc>
        <w:tc>
          <w:tcPr>
            <w:tcW w:w="370" w:type="pct"/>
            <w:tcBorders>
              <w:tl2br w:val="nil"/>
              <w:tr2bl w:val="nil"/>
            </w:tcBorders>
            <w:noWrap w:val="0"/>
            <w:vAlign w:val="center"/>
          </w:tcPr>
          <w:p w14:paraId="64FFDA5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b/>
                <w:bCs/>
                <w:snapToGrid w:val="0"/>
                <w:color w:val="auto"/>
                <w:spacing w:val="0"/>
                <w:w w:val="100"/>
                <w:kern w:val="0"/>
                <w:position w:val="0"/>
                <w:sz w:val="21"/>
                <w:szCs w:val="21"/>
                <w:lang w:eastAsia="en-US"/>
              </w:rPr>
              <w:t>氰化物</w:t>
            </w:r>
          </w:p>
        </w:tc>
      </w:tr>
      <w:tr w14:paraId="447785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tcBorders>
              <w:tl2br w:val="nil"/>
              <w:tr2bl w:val="nil"/>
            </w:tcBorders>
            <w:noWrap w:val="0"/>
            <w:vAlign w:val="center"/>
          </w:tcPr>
          <w:p w14:paraId="0B64E27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■35#万古村2号废渣点东南侧农田1#</w:t>
            </w:r>
          </w:p>
        </w:tc>
        <w:tc>
          <w:tcPr>
            <w:tcW w:w="339" w:type="pct"/>
            <w:tcBorders>
              <w:tl2br w:val="nil"/>
              <w:tr2bl w:val="nil"/>
            </w:tcBorders>
            <w:noWrap w:val="0"/>
            <w:vAlign w:val="center"/>
          </w:tcPr>
          <w:p w14:paraId="1017C09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2022.06.30</w:t>
            </w:r>
          </w:p>
        </w:tc>
        <w:tc>
          <w:tcPr>
            <w:tcW w:w="450" w:type="pct"/>
            <w:tcBorders>
              <w:tl2br w:val="nil"/>
              <w:tr2bl w:val="nil"/>
            </w:tcBorders>
            <w:noWrap w:val="0"/>
            <w:vAlign w:val="center"/>
          </w:tcPr>
          <w:p w14:paraId="70A484E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E:113.573451</w:t>
            </w:r>
          </w:p>
          <w:p w14:paraId="6F7B8B6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N:28.627054</w:t>
            </w:r>
          </w:p>
        </w:tc>
        <w:tc>
          <w:tcPr>
            <w:tcW w:w="333" w:type="pct"/>
            <w:tcBorders>
              <w:tl2br w:val="nil"/>
              <w:tr2bl w:val="nil"/>
            </w:tcBorders>
            <w:noWrap w:val="0"/>
            <w:vAlign w:val="center"/>
          </w:tcPr>
          <w:p w14:paraId="4D48CA6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0-20</w:t>
            </w:r>
          </w:p>
        </w:tc>
        <w:tc>
          <w:tcPr>
            <w:tcW w:w="306" w:type="pct"/>
            <w:tcBorders>
              <w:tl2br w:val="nil"/>
              <w:tr2bl w:val="nil"/>
            </w:tcBorders>
            <w:noWrap w:val="0"/>
            <w:vAlign w:val="center"/>
          </w:tcPr>
          <w:p w14:paraId="547F4C0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snapToGrid w:val="0"/>
                <w:color w:val="auto"/>
                <w:spacing w:val="0"/>
                <w:w w:val="100"/>
                <w:kern w:val="0"/>
                <w:position w:val="0"/>
                <w:sz w:val="21"/>
                <w:szCs w:val="21"/>
                <w:lang w:eastAsia="en-US"/>
              </w:rPr>
              <w:t>暗灰色、砂壤土</w:t>
            </w:r>
          </w:p>
        </w:tc>
        <w:tc>
          <w:tcPr>
            <w:tcW w:w="262" w:type="pct"/>
            <w:tcBorders>
              <w:tl2br w:val="nil"/>
              <w:tr2bl w:val="nil"/>
            </w:tcBorders>
            <w:noWrap w:val="0"/>
            <w:vAlign w:val="center"/>
          </w:tcPr>
          <w:p w14:paraId="2519A48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7.14</w:t>
            </w:r>
          </w:p>
        </w:tc>
        <w:tc>
          <w:tcPr>
            <w:tcW w:w="277" w:type="pct"/>
            <w:tcBorders>
              <w:tl2br w:val="nil"/>
              <w:tr2bl w:val="nil"/>
            </w:tcBorders>
            <w:noWrap w:val="0"/>
            <w:vAlign w:val="center"/>
          </w:tcPr>
          <w:p w14:paraId="5C28332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81</w:t>
            </w:r>
          </w:p>
        </w:tc>
        <w:tc>
          <w:tcPr>
            <w:tcW w:w="254" w:type="pct"/>
            <w:tcBorders>
              <w:tl2br w:val="nil"/>
              <w:tr2bl w:val="nil"/>
            </w:tcBorders>
            <w:noWrap w:val="0"/>
            <w:vAlign w:val="center"/>
          </w:tcPr>
          <w:p w14:paraId="1D74997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32</w:t>
            </w:r>
          </w:p>
        </w:tc>
        <w:tc>
          <w:tcPr>
            <w:tcW w:w="310" w:type="pct"/>
            <w:tcBorders>
              <w:tl2br w:val="nil"/>
              <w:tr2bl w:val="nil"/>
            </w:tcBorders>
            <w:noWrap w:val="0"/>
            <w:vAlign w:val="center"/>
          </w:tcPr>
          <w:p w14:paraId="0D5A16B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27</w:t>
            </w:r>
          </w:p>
        </w:tc>
        <w:tc>
          <w:tcPr>
            <w:tcW w:w="274" w:type="pct"/>
            <w:tcBorders>
              <w:tl2br w:val="nil"/>
              <w:tr2bl w:val="nil"/>
            </w:tcBorders>
            <w:noWrap w:val="0"/>
            <w:vAlign w:val="center"/>
          </w:tcPr>
          <w:p w14:paraId="6370393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131</w:t>
            </w:r>
          </w:p>
        </w:tc>
        <w:tc>
          <w:tcPr>
            <w:tcW w:w="291" w:type="pct"/>
            <w:tcBorders>
              <w:tl2br w:val="nil"/>
              <w:tr2bl w:val="nil"/>
            </w:tcBorders>
            <w:noWrap w:val="0"/>
            <w:vAlign w:val="center"/>
          </w:tcPr>
          <w:p w14:paraId="30C36F0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26.7</w:t>
            </w:r>
          </w:p>
        </w:tc>
        <w:tc>
          <w:tcPr>
            <w:tcW w:w="291" w:type="pct"/>
            <w:tcBorders>
              <w:tl2br w:val="nil"/>
              <w:tr2bl w:val="nil"/>
            </w:tcBorders>
            <w:noWrap w:val="0"/>
            <w:vAlign w:val="center"/>
          </w:tcPr>
          <w:p w14:paraId="4343B2E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0.18</w:t>
            </w:r>
          </w:p>
        </w:tc>
        <w:tc>
          <w:tcPr>
            <w:tcW w:w="295" w:type="pct"/>
            <w:tcBorders>
              <w:tl2br w:val="nil"/>
              <w:tr2bl w:val="nil"/>
            </w:tcBorders>
            <w:noWrap w:val="0"/>
            <w:vAlign w:val="center"/>
          </w:tcPr>
          <w:p w14:paraId="2651142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16</w:t>
            </w:r>
          </w:p>
        </w:tc>
        <w:tc>
          <w:tcPr>
            <w:tcW w:w="296" w:type="pct"/>
            <w:tcBorders>
              <w:tl2br w:val="nil"/>
              <w:tr2bl w:val="nil"/>
            </w:tcBorders>
            <w:noWrap w:val="0"/>
            <w:vAlign w:val="center"/>
          </w:tcPr>
          <w:p w14:paraId="69F6113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0.239</w:t>
            </w:r>
          </w:p>
        </w:tc>
        <w:tc>
          <w:tcPr>
            <w:tcW w:w="370" w:type="pct"/>
            <w:tcBorders>
              <w:tl2br w:val="nil"/>
              <w:tr2bl w:val="nil"/>
            </w:tcBorders>
            <w:noWrap w:val="0"/>
            <w:vAlign w:val="center"/>
          </w:tcPr>
          <w:p w14:paraId="1D8DB96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06EFF0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tcBorders>
              <w:tl2br w:val="nil"/>
              <w:tr2bl w:val="nil"/>
            </w:tcBorders>
            <w:noWrap w:val="0"/>
            <w:vAlign w:val="center"/>
          </w:tcPr>
          <w:p w14:paraId="46F8582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■36#万古村2号废渣点东南侧农田2#</w:t>
            </w:r>
          </w:p>
        </w:tc>
        <w:tc>
          <w:tcPr>
            <w:tcW w:w="339" w:type="pct"/>
            <w:tcBorders>
              <w:tl2br w:val="nil"/>
              <w:tr2bl w:val="nil"/>
            </w:tcBorders>
            <w:noWrap w:val="0"/>
            <w:vAlign w:val="center"/>
          </w:tcPr>
          <w:p w14:paraId="3784DA1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2022.06.30</w:t>
            </w:r>
          </w:p>
        </w:tc>
        <w:tc>
          <w:tcPr>
            <w:tcW w:w="450" w:type="pct"/>
            <w:tcBorders>
              <w:tl2br w:val="nil"/>
              <w:tr2bl w:val="nil"/>
            </w:tcBorders>
            <w:noWrap w:val="0"/>
            <w:vAlign w:val="center"/>
          </w:tcPr>
          <w:p w14:paraId="718615F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E:113.573449</w:t>
            </w:r>
          </w:p>
          <w:p w14:paraId="2E3E394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N:28.627149</w:t>
            </w:r>
          </w:p>
        </w:tc>
        <w:tc>
          <w:tcPr>
            <w:tcW w:w="333" w:type="pct"/>
            <w:tcBorders>
              <w:tl2br w:val="nil"/>
              <w:tr2bl w:val="nil"/>
            </w:tcBorders>
            <w:noWrap w:val="0"/>
            <w:vAlign w:val="center"/>
          </w:tcPr>
          <w:p w14:paraId="56C44A9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0-20</w:t>
            </w:r>
          </w:p>
        </w:tc>
        <w:tc>
          <w:tcPr>
            <w:tcW w:w="306" w:type="pct"/>
            <w:tcBorders>
              <w:tl2br w:val="nil"/>
              <w:tr2bl w:val="nil"/>
            </w:tcBorders>
            <w:noWrap w:val="0"/>
            <w:vAlign w:val="center"/>
          </w:tcPr>
          <w:p w14:paraId="70A8823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snapToGrid w:val="0"/>
                <w:color w:val="auto"/>
                <w:spacing w:val="0"/>
                <w:w w:val="100"/>
                <w:kern w:val="0"/>
                <w:position w:val="0"/>
                <w:sz w:val="21"/>
                <w:szCs w:val="21"/>
                <w:lang w:eastAsia="en-US"/>
              </w:rPr>
              <w:t>暗灰色、砂壤土</w:t>
            </w:r>
          </w:p>
        </w:tc>
        <w:tc>
          <w:tcPr>
            <w:tcW w:w="262" w:type="pct"/>
            <w:tcBorders>
              <w:tl2br w:val="nil"/>
              <w:tr2bl w:val="nil"/>
            </w:tcBorders>
            <w:noWrap w:val="0"/>
            <w:vAlign w:val="center"/>
          </w:tcPr>
          <w:p w14:paraId="78B0035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7.22</w:t>
            </w:r>
          </w:p>
        </w:tc>
        <w:tc>
          <w:tcPr>
            <w:tcW w:w="277" w:type="pct"/>
            <w:tcBorders>
              <w:tl2br w:val="nil"/>
              <w:tr2bl w:val="nil"/>
            </w:tcBorders>
            <w:noWrap w:val="0"/>
            <w:vAlign w:val="center"/>
          </w:tcPr>
          <w:p w14:paraId="3D9161C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87</w:t>
            </w:r>
          </w:p>
        </w:tc>
        <w:tc>
          <w:tcPr>
            <w:tcW w:w="254" w:type="pct"/>
            <w:tcBorders>
              <w:tl2br w:val="nil"/>
              <w:tr2bl w:val="nil"/>
            </w:tcBorders>
            <w:noWrap w:val="0"/>
            <w:vAlign w:val="center"/>
          </w:tcPr>
          <w:p w14:paraId="0FE310F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31</w:t>
            </w:r>
          </w:p>
        </w:tc>
        <w:tc>
          <w:tcPr>
            <w:tcW w:w="310" w:type="pct"/>
            <w:tcBorders>
              <w:tl2br w:val="nil"/>
              <w:tr2bl w:val="nil"/>
            </w:tcBorders>
            <w:noWrap w:val="0"/>
            <w:vAlign w:val="center"/>
          </w:tcPr>
          <w:p w14:paraId="334F6F9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26</w:t>
            </w:r>
          </w:p>
        </w:tc>
        <w:tc>
          <w:tcPr>
            <w:tcW w:w="274" w:type="pct"/>
            <w:tcBorders>
              <w:tl2br w:val="nil"/>
              <w:tr2bl w:val="nil"/>
            </w:tcBorders>
            <w:noWrap w:val="0"/>
            <w:vAlign w:val="center"/>
          </w:tcPr>
          <w:p w14:paraId="31CFA1D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114</w:t>
            </w:r>
          </w:p>
        </w:tc>
        <w:tc>
          <w:tcPr>
            <w:tcW w:w="291" w:type="pct"/>
            <w:tcBorders>
              <w:tl2br w:val="nil"/>
              <w:tr2bl w:val="nil"/>
            </w:tcBorders>
            <w:noWrap w:val="0"/>
            <w:vAlign w:val="center"/>
          </w:tcPr>
          <w:p w14:paraId="3551557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38.6</w:t>
            </w:r>
          </w:p>
        </w:tc>
        <w:tc>
          <w:tcPr>
            <w:tcW w:w="291" w:type="pct"/>
            <w:tcBorders>
              <w:tl2br w:val="nil"/>
              <w:tr2bl w:val="nil"/>
            </w:tcBorders>
            <w:noWrap w:val="0"/>
            <w:vAlign w:val="center"/>
          </w:tcPr>
          <w:p w14:paraId="48A33C5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0.23</w:t>
            </w:r>
          </w:p>
        </w:tc>
        <w:tc>
          <w:tcPr>
            <w:tcW w:w="295" w:type="pct"/>
            <w:tcBorders>
              <w:tl2br w:val="nil"/>
              <w:tr2bl w:val="nil"/>
            </w:tcBorders>
            <w:noWrap w:val="0"/>
            <w:vAlign w:val="center"/>
          </w:tcPr>
          <w:p w14:paraId="134F76B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16</w:t>
            </w:r>
          </w:p>
        </w:tc>
        <w:tc>
          <w:tcPr>
            <w:tcW w:w="296" w:type="pct"/>
            <w:tcBorders>
              <w:tl2br w:val="nil"/>
              <w:tr2bl w:val="nil"/>
            </w:tcBorders>
            <w:noWrap w:val="0"/>
            <w:vAlign w:val="center"/>
          </w:tcPr>
          <w:p w14:paraId="1328C1B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0.299</w:t>
            </w:r>
          </w:p>
        </w:tc>
        <w:tc>
          <w:tcPr>
            <w:tcW w:w="370" w:type="pct"/>
            <w:tcBorders>
              <w:tl2br w:val="nil"/>
              <w:tr2bl w:val="nil"/>
            </w:tcBorders>
            <w:noWrap w:val="0"/>
            <w:vAlign w:val="center"/>
          </w:tcPr>
          <w:p w14:paraId="580A583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704419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tcBorders>
              <w:tl2br w:val="nil"/>
              <w:tr2bl w:val="nil"/>
            </w:tcBorders>
            <w:noWrap w:val="0"/>
            <w:vAlign w:val="center"/>
          </w:tcPr>
          <w:p w14:paraId="38E41B0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■38#万古水库坝下居民农田2#</w:t>
            </w:r>
          </w:p>
        </w:tc>
        <w:tc>
          <w:tcPr>
            <w:tcW w:w="339" w:type="pct"/>
            <w:tcBorders>
              <w:tl2br w:val="nil"/>
              <w:tr2bl w:val="nil"/>
            </w:tcBorders>
            <w:noWrap w:val="0"/>
            <w:vAlign w:val="center"/>
          </w:tcPr>
          <w:p w14:paraId="0078928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2022.06.30</w:t>
            </w:r>
          </w:p>
        </w:tc>
        <w:tc>
          <w:tcPr>
            <w:tcW w:w="450" w:type="pct"/>
            <w:tcBorders>
              <w:tl2br w:val="nil"/>
              <w:tr2bl w:val="nil"/>
            </w:tcBorders>
            <w:noWrap w:val="0"/>
            <w:vAlign w:val="center"/>
          </w:tcPr>
          <w:p w14:paraId="637EBDA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E:113.565698</w:t>
            </w:r>
          </w:p>
          <w:p w14:paraId="0565364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N:28.630295</w:t>
            </w:r>
          </w:p>
        </w:tc>
        <w:tc>
          <w:tcPr>
            <w:tcW w:w="333" w:type="pct"/>
            <w:tcBorders>
              <w:tl2br w:val="nil"/>
              <w:tr2bl w:val="nil"/>
            </w:tcBorders>
            <w:noWrap w:val="0"/>
            <w:vAlign w:val="center"/>
          </w:tcPr>
          <w:p w14:paraId="14B28B6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0-20</w:t>
            </w:r>
          </w:p>
        </w:tc>
        <w:tc>
          <w:tcPr>
            <w:tcW w:w="306" w:type="pct"/>
            <w:tcBorders>
              <w:tl2br w:val="nil"/>
              <w:tr2bl w:val="nil"/>
            </w:tcBorders>
            <w:noWrap w:val="0"/>
            <w:vAlign w:val="center"/>
          </w:tcPr>
          <w:p w14:paraId="473DD39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snapToGrid w:val="0"/>
                <w:color w:val="auto"/>
                <w:spacing w:val="0"/>
                <w:w w:val="100"/>
                <w:kern w:val="0"/>
                <w:position w:val="0"/>
                <w:sz w:val="21"/>
                <w:szCs w:val="21"/>
                <w:lang w:eastAsia="en-US"/>
              </w:rPr>
              <w:t>黄棕色、砂壤土</w:t>
            </w:r>
          </w:p>
        </w:tc>
        <w:tc>
          <w:tcPr>
            <w:tcW w:w="262" w:type="pct"/>
            <w:tcBorders>
              <w:tl2br w:val="nil"/>
              <w:tr2bl w:val="nil"/>
            </w:tcBorders>
            <w:noWrap w:val="0"/>
            <w:vAlign w:val="center"/>
          </w:tcPr>
          <w:p w14:paraId="17037D2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7.24</w:t>
            </w:r>
          </w:p>
        </w:tc>
        <w:tc>
          <w:tcPr>
            <w:tcW w:w="277" w:type="pct"/>
            <w:tcBorders>
              <w:tl2br w:val="nil"/>
              <w:tr2bl w:val="nil"/>
            </w:tcBorders>
            <w:noWrap w:val="0"/>
            <w:vAlign w:val="center"/>
          </w:tcPr>
          <w:p w14:paraId="0A8A044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99</w:t>
            </w:r>
          </w:p>
        </w:tc>
        <w:tc>
          <w:tcPr>
            <w:tcW w:w="254" w:type="pct"/>
            <w:tcBorders>
              <w:tl2br w:val="nil"/>
              <w:tr2bl w:val="nil"/>
            </w:tcBorders>
            <w:noWrap w:val="0"/>
            <w:vAlign w:val="center"/>
          </w:tcPr>
          <w:p w14:paraId="0FDCB30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28</w:t>
            </w:r>
          </w:p>
        </w:tc>
        <w:tc>
          <w:tcPr>
            <w:tcW w:w="310" w:type="pct"/>
            <w:tcBorders>
              <w:tl2br w:val="nil"/>
              <w:tr2bl w:val="nil"/>
            </w:tcBorders>
            <w:noWrap w:val="0"/>
            <w:vAlign w:val="center"/>
          </w:tcPr>
          <w:p w14:paraId="0B23A0C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35</w:t>
            </w:r>
          </w:p>
        </w:tc>
        <w:tc>
          <w:tcPr>
            <w:tcW w:w="274" w:type="pct"/>
            <w:tcBorders>
              <w:tl2br w:val="nil"/>
              <w:tr2bl w:val="nil"/>
            </w:tcBorders>
            <w:noWrap w:val="0"/>
            <w:vAlign w:val="center"/>
          </w:tcPr>
          <w:p w14:paraId="2DA3B44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115</w:t>
            </w:r>
          </w:p>
        </w:tc>
        <w:tc>
          <w:tcPr>
            <w:tcW w:w="291" w:type="pct"/>
            <w:tcBorders>
              <w:tl2br w:val="nil"/>
              <w:tr2bl w:val="nil"/>
            </w:tcBorders>
            <w:noWrap w:val="0"/>
            <w:vAlign w:val="center"/>
          </w:tcPr>
          <w:p w14:paraId="0743B96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20.3</w:t>
            </w:r>
          </w:p>
        </w:tc>
        <w:tc>
          <w:tcPr>
            <w:tcW w:w="291" w:type="pct"/>
            <w:tcBorders>
              <w:tl2br w:val="nil"/>
              <w:tr2bl w:val="nil"/>
            </w:tcBorders>
            <w:noWrap w:val="0"/>
            <w:vAlign w:val="center"/>
          </w:tcPr>
          <w:p w14:paraId="68E5F00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3.16</w:t>
            </w:r>
          </w:p>
        </w:tc>
        <w:tc>
          <w:tcPr>
            <w:tcW w:w="295" w:type="pct"/>
            <w:tcBorders>
              <w:tl2br w:val="nil"/>
              <w:tr2bl w:val="nil"/>
            </w:tcBorders>
            <w:noWrap w:val="0"/>
            <w:vAlign w:val="center"/>
          </w:tcPr>
          <w:p w14:paraId="7445F97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22</w:t>
            </w:r>
          </w:p>
        </w:tc>
        <w:tc>
          <w:tcPr>
            <w:tcW w:w="296" w:type="pct"/>
            <w:tcBorders>
              <w:tl2br w:val="nil"/>
              <w:tr2bl w:val="nil"/>
            </w:tcBorders>
            <w:noWrap w:val="0"/>
            <w:vAlign w:val="center"/>
          </w:tcPr>
          <w:p w14:paraId="5F3373E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0.431</w:t>
            </w:r>
          </w:p>
        </w:tc>
        <w:tc>
          <w:tcPr>
            <w:tcW w:w="370" w:type="pct"/>
            <w:tcBorders>
              <w:tl2br w:val="nil"/>
              <w:tr2bl w:val="nil"/>
            </w:tcBorders>
            <w:noWrap w:val="0"/>
            <w:vAlign w:val="center"/>
          </w:tcPr>
          <w:p w14:paraId="4B5C6AE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13ADCA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tcBorders>
              <w:tl2br w:val="nil"/>
              <w:tr2bl w:val="nil"/>
            </w:tcBorders>
            <w:noWrap w:val="0"/>
            <w:vAlign w:val="center"/>
          </w:tcPr>
          <w:p w14:paraId="61013B6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■39#万古村1号废渣1号农田土壤</w:t>
            </w:r>
          </w:p>
        </w:tc>
        <w:tc>
          <w:tcPr>
            <w:tcW w:w="339" w:type="pct"/>
            <w:tcBorders>
              <w:tl2br w:val="nil"/>
              <w:tr2bl w:val="nil"/>
            </w:tcBorders>
            <w:noWrap w:val="0"/>
            <w:vAlign w:val="center"/>
          </w:tcPr>
          <w:p w14:paraId="5CD8957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2022.06.30</w:t>
            </w:r>
          </w:p>
        </w:tc>
        <w:tc>
          <w:tcPr>
            <w:tcW w:w="450" w:type="pct"/>
            <w:tcBorders>
              <w:tl2br w:val="nil"/>
              <w:tr2bl w:val="nil"/>
            </w:tcBorders>
            <w:noWrap w:val="0"/>
            <w:vAlign w:val="center"/>
          </w:tcPr>
          <w:p w14:paraId="54558A4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E:113.573848</w:t>
            </w:r>
          </w:p>
          <w:p w14:paraId="38CF57F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N:28.627518</w:t>
            </w:r>
          </w:p>
        </w:tc>
        <w:tc>
          <w:tcPr>
            <w:tcW w:w="333" w:type="pct"/>
            <w:tcBorders>
              <w:tl2br w:val="nil"/>
              <w:tr2bl w:val="nil"/>
            </w:tcBorders>
            <w:noWrap w:val="0"/>
            <w:vAlign w:val="center"/>
          </w:tcPr>
          <w:p w14:paraId="090F98E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0-20</w:t>
            </w:r>
          </w:p>
        </w:tc>
        <w:tc>
          <w:tcPr>
            <w:tcW w:w="306" w:type="pct"/>
            <w:tcBorders>
              <w:tl2br w:val="nil"/>
              <w:tr2bl w:val="nil"/>
            </w:tcBorders>
            <w:noWrap w:val="0"/>
            <w:vAlign w:val="center"/>
          </w:tcPr>
          <w:p w14:paraId="48D3284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snapToGrid w:val="0"/>
                <w:color w:val="auto"/>
                <w:spacing w:val="0"/>
                <w:w w:val="100"/>
                <w:kern w:val="0"/>
                <w:position w:val="0"/>
                <w:sz w:val="21"/>
                <w:szCs w:val="21"/>
                <w:lang w:eastAsia="en-US"/>
              </w:rPr>
              <w:t>黄棕色、砂壤土</w:t>
            </w:r>
          </w:p>
        </w:tc>
        <w:tc>
          <w:tcPr>
            <w:tcW w:w="262" w:type="pct"/>
            <w:tcBorders>
              <w:tl2br w:val="nil"/>
              <w:tr2bl w:val="nil"/>
            </w:tcBorders>
            <w:noWrap w:val="0"/>
            <w:vAlign w:val="center"/>
          </w:tcPr>
          <w:p w14:paraId="2791A7D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6.92</w:t>
            </w:r>
          </w:p>
        </w:tc>
        <w:tc>
          <w:tcPr>
            <w:tcW w:w="277" w:type="pct"/>
            <w:tcBorders>
              <w:tl2br w:val="nil"/>
              <w:tr2bl w:val="nil"/>
            </w:tcBorders>
            <w:noWrap w:val="0"/>
            <w:vAlign w:val="center"/>
          </w:tcPr>
          <w:p w14:paraId="44C84B7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112</w:t>
            </w:r>
          </w:p>
        </w:tc>
        <w:tc>
          <w:tcPr>
            <w:tcW w:w="254" w:type="pct"/>
            <w:tcBorders>
              <w:tl2br w:val="nil"/>
              <w:tr2bl w:val="nil"/>
            </w:tcBorders>
            <w:noWrap w:val="0"/>
            <w:vAlign w:val="center"/>
          </w:tcPr>
          <w:p w14:paraId="38A45C2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32</w:t>
            </w:r>
          </w:p>
        </w:tc>
        <w:tc>
          <w:tcPr>
            <w:tcW w:w="310" w:type="pct"/>
            <w:tcBorders>
              <w:tl2br w:val="nil"/>
              <w:tr2bl w:val="nil"/>
            </w:tcBorders>
            <w:noWrap w:val="0"/>
            <w:vAlign w:val="center"/>
          </w:tcPr>
          <w:p w14:paraId="0B46762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27</w:t>
            </w:r>
          </w:p>
        </w:tc>
        <w:tc>
          <w:tcPr>
            <w:tcW w:w="274" w:type="pct"/>
            <w:tcBorders>
              <w:tl2br w:val="nil"/>
              <w:tr2bl w:val="nil"/>
            </w:tcBorders>
            <w:noWrap w:val="0"/>
            <w:vAlign w:val="center"/>
          </w:tcPr>
          <w:p w14:paraId="1576FF1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112</w:t>
            </w:r>
          </w:p>
        </w:tc>
        <w:tc>
          <w:tcPr>
            <w:tcW w:w="291" w:type="pct"/>
            <w:tcBorders>
              <w:tl2br w:val="nil"/>
              <w:tr2bl w:val="nil"/>
            </w:tcBorders>
            <w:noWrap w:val="0"/>
            <w:vAlign w:val="center"/>
          </w:tcPr>
          <w:p w14:paraId="3D58D25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14.2</w:t>
            </w:r>
          </w:p>
        </w:tc>
        <w:tc>
          <w:tcPr>
            <w:tcW w:w="291" w:type="pct"/>
            <w:tcBorders>
              <w:tl2br w:val="nil"/>
              <w:tr2bl w:val="nil"/>
            </w:tcBorders>
            <w:noWrap w:val="0"/>
            <w:vAlign w:val="center"/>
          </w:tcPr>
          <w:p w14:paraId="39861C3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0.17</w:t>
            </w:r>
          </w:p>
        </w:tc>
        <w:tc>
          <w:tcPr>
            <w:tcW w:w="295" w:type="pct"/>
            <w:tcBorders>
              <w:tl2br w:val="nil"/>
              <w:tr2bl w:val="nil"/>
            </w:tcBorders>
            <w:noWrap w:val="0"/>
            <w:vAlign w:val="center"/>
          </w:tcPr>
          <w:p w14:paraId="3D144BA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18</w:t>
            </w:r>
          </w:p>
        </w:tc>
        <w:tc>
          <w:tcPr>
            <w:tcW w:w="296" w:type="pct"/>
            <w:tcBorders>
              <w:tl2br w:val="nil"/>
              <w:tr2bl w:val="nil"/>
            </w:tcBorders>
            <w:noWrap w:val="0"/>
            <w:vAlign w:val="center"/>
          </w:tcPr>
          <w:p w14:paraId="42836FA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0.298</w:t>
            </w:r>
          </w:p>
        </w:tc>
        <w:tc>
          <w:tcPr>
            <w:tcW w:w="370" w:type="pct"/>
            <w:tcBorders>
              <w:tl2br w:val="nil"/>
              <w:tr2bl w:val="nil"/>
            </w:tcBorders>
            <w:noWrap w:val="0"/>
            <w:vAlign w:val="center"/>
          </w:tcPr>
          <w:p w14:paraId="5E7FB53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06AF81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tcBorders>
              <w:tl2br w:val="nil"/>
              <w:tr2bl w:val="nil"/>
            </w:tcBorders>
            <w:noWrap w:val="0"/>
            <w:vAlign w:val="center"/>
          </w:tcPr>
          <w:p w14:paraId="52F9157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■40#万古村2号废渣 2号农田土壤</w:t>
            </w:r>
          </w:p>
        </w:tc>
        <w:tc>
          <w:tcPr>
            <w:tcW w:w="339" w:type="pct"/>
            <w:tcBorders>
              <w:tl2br w:val="nil"/>
              <w:tr2bl w:val="nil"/>
            </w:tcBorders>
            <w:noWrap w:val="0"/>
            <w:vAlign w:val="center"/>
          </w:tcPr>
          <w:p w14:paraId="2795B80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2022.06.30</w:t>
            </w:r>
          </w:p>
        </w:tc>
        <w:tc>
          <w:tcPr>
            <w:tcW w:w="450" w:type="pct"/>
            <w:tcBorders>
              <w:tl2br w:val="nil"/>
              <w:tr2bl w:val="nil"/>
            </w:tcBorders>
            <w:noWrap w:val="0"/>
            <w:vAlign w:val="center"/>
          </w:tcPr>
          <w:p w14:paraId="6972929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E:113.573826</w:t>
            </w:r>
          </w:p>
          <w:p w14:paraId="496081A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N:28.627501</w:t>
            </w:r>
          </w:p>
        </w:tc>
        <w:tc>
          <w:tcPr>
            <w:tcW w:w="333" w:type="pct"/>
            <w:tcBorders>
              <w:tl2br w:val="nil"/>
              <w:tr2bl w:val="nil"/>
            </w:tcBorders>
            <w:noWrap w:val="0"/>
            <w:vAlign w:val="center"/>
          </w:tcPr>
          <w:p w14:paraId="1BB453B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0-20</w:t>
            </w:r>
          </w:p>
        </w:tc>
        <w:tc>
          <w:tcPr>
            <w:tcW w:w="306" w:type="pct"/>
            <w:tcBorders>
              <w:tl2br w:val="nil"/>
              <w:tr2bl w:val="nil"/>
            </w:tcBorders>
            <w:noWrap w:val="0"/>
            <w:vAlign w:val="center"/>
          </w:tcPr>
          <w:p w14:paraId="0600BB2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snapToGrid w:val="0"/>
                <w:color w:val="auto"/>
                <w:spacing w:val="0"/>
                <w:w w:val="100"/>
                <w:kern w:val="0"/>
                <w:position w:val="0"/>
                <w:sz w:val="21"/>
                <w:szCs w:val="21"/>
                <w:lang w:eastAsia="en-US"/>
              </w:rPr>
              <w:t>黄棕色、砂壤土</w:t>
            </w:r>
          </w:p>
        </w:tc>
        <w:tc>
          <w:tcPr>
            <w:tcW w:w="262" w:type="pct"/>
            <w:tcBorders>
              <w:tl2br w:val="nil"/>
              <w:tr2bl w:val="nil"/>
            </w:tcBorders>
            <w:noWrap w:val="0"/>
            <w:vAlign w:val="center"/>
          </w:tcPr>
          <w:p w14:paraId="1489F41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7.24</w:t>
            </w:r>
          </w:p>
        </w:tc>
        <w:tc>
          <w:tcPr>
            <w:tcW w:w="277" w:type="pct"/>
            <w:tcBorders>
              <w:tl2br w:val="nil"/>
              <w:tr2bl w:val="nil"/>
            </w:tcBorders>
            <w:noWrap w:val="0"/>
            <w:vAlign w:val="center"/>
          </w:tcPr>
          <w:p w14:paraId="6A42D6C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100</w:t>
            </w:r>
          </w:p>
        </w:tc>
        <w:tc>
          <w:tcPr>
            <w:tcW w:w="254" w:type="pct"/>
            <w:tcBorders>
              <w:tl2br w:val="nil"/>
              <w:tr2bl w:val="nil"/>
            </w:tcBorders>
            <w:noWrap w:val="0"/>
            <w:vAlign w:val="center"/>
          </w:tcPr>
          <w:p w14:paraId="0E41468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34</w:t>
            </w:r>
          </w:p>
        </w:tc>
        <w:tc>
          <w:tcPr>
            <w:tcW w:w="310" w:type="pct"/>
            <w:tcBorders>
              <w:tl2br w:val="nil"/>
              <w:tr2bl w:val="nil"/>
            </w:tcBorders>
            <w:noWrap w:val="0"/>
            <w:vAlign w:val="center"/>
          </w:tcPr>
          <w:p w14:paraId="657BAF7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26</w:t>
            </w:r>
          </w:p>
        </w:tc>
        <w:tc>
          <w:tcPr>
            <w:tcW w:w="274" w:type="pct"/>
            <w:tcBorders>
              <w:tl2br w:val="nil"/>
              <w:tr2bl w:val="nil"/>
            </w:tcBorders>
            <w:noWrap w:val="0"/>
            <w:vAlign w:val="center"/>
          </w:tcPr>
          <w:p w14:paraId="10013CF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121</w:t>
            </w:r>
          </w:p>
        </w:tc>
        <w:tc>
          <w:tcPr>
            <w:tcW w:w="291" w:type="pct"/>
            <w:tcBorders>
              <w:tl2br w:val="nil"/>
              <w:tr2bl w:val="nil"/>
            </w:tcBorders>
            <w:noWrap w:val="0"/>
            <w:vAlign w:val="center"/>
          </w:tcPr>
          <w:p w14:paraId="72ABC10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23.9</w:t>
            </w:r>
          </w:p>
        </w:tc>
        <w:tc>
          <w:tcPr>
            <w:tcW w:w="291" w:type="pct"/>
            <w:tcBorders>
              <w:tl2br w:val="nil"/>
              <w:tr2bl w:val="nil"/>
            </w:tcBorders>
            <w:noWrap w:val="0"/>
            <w:vAlign w:val="center"/>
          </w:tcPr>
          <w:p w14:paraId="21EC8C8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0.16</w:t>
            </w:r>
          </w:p>
        </w:tc>
        <w:tc>
          <w:tcPr>
            <w:tcW w:w="295" w:type="pct"/>
            <w:tcBorders>
              <w:tl2br w:val="nil"/>
              <w:tr2bl w:val="nil"/>
            </w:tcBorders>
            <w:noWrap w:val="0"/>
            <w:vAlign w:val="center"/>
          </w:tcPr>
          <w:p w14:paraId="5DBC0FB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19</w:t>
            </w:r>
          </w:p>
        </w:tc>
        <w:tc>
          <w:tcPr>
            <w:tcW w:w="296" w:type="pct"/>
            <w:tcBorders>
              <w:tl2br w:val="nil"/>
              <w:tr2bl w:val="nil"/>
            </w:tcBorders>
            <w:noWrap w:val="0"/>
            <w:vAlign w:val="center"/>
          </w:tcPr>
          <w:p w14:paraId="6D973BA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0.358</w:t>
            </w:r>
          </w:p>
        </w:tc>
        <w:tc>
          <w:tcPr>
            <w:tcW w:w="370" w:type="pct"/>
            <w:tcBorders>
              <w:tl2br w:val="nil"/>
              <w:tr2bl w:val="nil"/>
            </w:tcBorders>
            <w:noWrap w:val="0"/>
            <w:vAlign w:val="center"/>
          </w:tcPr>
          <w:p w14:paraId="13F8AC0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63FBA4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vMerge w:val="restart"/>
            <w:tcBorders>
              <w:tl2br w:val="nil"/>
              <w:tr2bl w:val="nil"/>
            </w:tcBorders>
            <w:noWrap w:val="0"/>
            <w:vAlign w:val="center"/>
          </w:tcPr>
          <w:p w14:paraId="204F25D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r>
              <w:rPr>
                <w:rFonts w:hint="default" w:ascii="Times New Roman" w:hAnsi="Times New Roman" w:eastAsia="宋体" w:cs="Times New Roman"/>
                <w:snapToGrid w:val="0"/>
                <w:color w:val="auto"/>
                <w:spacing w:val="0"/>
                <w:w w:val="100"/>
                <w:kern w:val="0"/>
                <w:position w:val="0"/>
                <w:sz w:val="21"/>
                <w:szCs w:val="21"/>
                <w:lang w:eastAsia="en-US"/>
              </w:rPr>
              <w:t>限值（水田）</w:t>
            </w:r>
          </w:p>
        </w:tc>
        <w:tc>
          <w:tcPr>
            <w:tcW w:w="1428" w:type="pct"/>
            <w:gridSpan w:val="4"/>
            <w:tcBorders>
              <w:tl2br w:val="nil"/>
              <w:tr2bl w:val="nil"/>
            </w:tcBorders>
            <w:noWrap w:val="0"/>
            <w:vAlign w:val="center"/>
          </w:tcPr>
          <w:p w14:paraId="0BF27A8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pH≤5.5</w:t>
            </w:r>
          </w:p>
        </w:tc>
        <w:tc>
          <w:tcPr>
            <w:tcW w:w="262" w:type="pct"/>
            <w:tcBorders>
              <w:tl2br w:val="nil"/>
              <w:tr2bl w:val="nil"/>
            </w:tcBorders>
            <w:noWrap w:val="0"/>
            <w:vAlign w:val="center"/>
          </w:tcPr>
          <w:p w14:paraId="6693BEB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7" w:type="pct"/>
            <w:tcBorders>
              <w:tl2br w:val="nil"/>
              <w:tr2bl w:val="nil"/>
            </w:tcBorders>
            <w:noWrap w:val="0"/>
            <w:vAlign w:val="center"/>
          </w:tcPr>
          <w:p w14:paraId="21FC21F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250</w:t>
            </w:r>
          </w:p>
        </w:tc>
        <w:tc>
          <w:tcPr>
            <w:tcW w:w="254" w:type="pct"/>
            <w:tcBorders>
              <w:tl2br w:val="nil"/>
              <w:tr2bl w:val="nil"/>
            </w:tcBorders>
            <w:noWrap w:val="0"/>
            <w:vAlign w:val="center"/>
          </w:tcPr>
          <w:p w14:paraId="7E0FA78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60</w:t>
            </w:r>
          </w:p>
        </w:tc>
        <w:tc>
          <w:tcPr>
            <w:tcW w:w="310" w:type="pct"/>
            <w:tcBorders>
              <w:tl2br w:val="nil"/>
              <w:tr2bl w:val="nil"/>
            </w:tcBorders>
            <w:noWrap w:val="0"/>
            <w:vAlign w:val="center"/>
          </w:tcPr>
          <w:p w14:paraId="4FF710D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4" w:type="pct"/>
            <w:tcBorders>
              <w:tl2br w:val="nil"/>
              <w:tr2bl w:val="nil"/>
            </w:tcBorders>
            <w:noWrap w:val="0"/>
            <w:vAlign w:val="center"/>
          </w:tcPr>
          <w:p w14:paraId="025ABEF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200</w:t>
            </w:r>
          </w:p>
        </w:tc>
        <w:tc>
          <w:tcPr>
            <w:tcW w:w="291" w:type="pct"/>
            <w:tcBorders>
              <w:tl2br w:val="nil"/>
              <w:tr2bl w:val="nil"/>
            </w:tcBorders>
            <w:noWrap w:val="0"/>
            <w:vAlign w:val="center"/>
          </w:tcPr>
          <w:p w14:paraId="7A1CBB4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30</w:t>
            </w:r>
          </w:p>
        </w:tc>
        <w:tc>
          <w:tcPr>
            <w:tcW w:w="291" w:type="pct"/>
            <w:tcBorders>
              <w:tl2br w:val="nil"/>
              <w:tr2bl w:val="nil"/>
            </w:tcBorders>
            <w:noWrap w:val="0"/>
            <w:vAlign w:val="center"/>
          </w:tcPr>
          <w:p w14:paraId="4113218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0.3</w:t>
            </w:r>
          </w:p>
        </w:tc>
        <w:tc>
          <w:tcPr>
            <w:tcW w:w="295" w:type="pct"/>
            <w:tcBorders>
              <w:tl2br w:val="nil"/>
              <w:tr2bl w:val="nil"/>
            </w:tcBorders>
            <w:noWrap w:val="0"/>
            <w:vAlign w:val="center"/>
          </w:tcPr>
          <w:p w14:paraId="72084A8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80</w:t>
            </w:r>
          </w:p>
        </w:tc>
        <w:tc>
          <w:tcPr>
            <w:tcW w:w="296" w:type="pct"/>
            <w:tcBorders>
              <w:tl2br w:val="nil"/>
              <w:tr2bl w:val="nil"/>
            </w:tcBorders>
            <w:noWrap w:val="0"/>
            <w:vAlign w:val="center"/>
          </w:tcPr>
          <w:p w14:paraId="3175F25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0.5</w:t>
            </w:r>
          </w:p>
        </w:tc>
        <w:tc>
          <w:tcPr>
            <w:tcW w:w="370" w:type="pct"/>
            <w:tcBorders>
              <w:tl2br w:val="nil"/>
              <w:tr2bl w:val="nil"/>
            </w:tcBorders>
            <w:noWrap w:val="0"/>
            <w:vAlign w:val="center"/>
          </w:tcPr>
          <w:p w14:paraId="540E657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r>
      <w:tr w14:paraId="06D5D1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vMerge w:val="continue"/>
            <w:tcBorders>
              <w:tl2br w:val="nil"/>
              <w:tr2bl w:val="nil"/>
            </w:tcBorders>
            <w:noWrap w:val="0"/>
            <w:vAlign w:val="center"/>
          </w:tcPr>
          <w:p w14:paraId="2680A2F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1428" w:type="pct"/>
            <w:gridSpan w:val="4"/>
            <w:tcBorders>
              <w:tl2br w:val="nil"/>
              <w:tr2bl w:val="nil"/>
            </w:tcBorders>
            <w:noWrap w:val="0"/>
            <w:vAlign w:val="center"/>
          </w:tcPr>
          <w:p w14:paraId="735A3E0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5.5&lt;pH≤6.5</w:t>
            </w:r>
          </w:p>
        </w:tc>
        <w:tc>
          <w:tcPr>
            <w:tcW w:w="262" w:type="pct"/>
            <w:tcBorders>
              <w:tl2br w:val="nil"/>
              <w:tr2bl w:val="nil"/>
            </w:tcBorders>
            <w:noWrap w:val="0"/>
            <w:vAlign w:val="center"/>
          </w:tcPr>
          <w:p w14:paraId="628BFB1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7" w:type="pct"/>
            <w:tcBorders>
              <w:tl2br w:val="nil"/>
              <w:tr2bl w:val="nil"/>
            </w:tcBorders>
            <w:noWrap w:val="0"/>
            <w:vAlign w:val="center"/>
          </w:tcPr>
          <w:p w14:paraId="7D548FF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250</w:t>
            </w:r>
          </w:p>
        </w:tc>
        <w:tc>
          <w:tcPr>
            <w:tcW w:w="254" w:type="pct"/>
            <w:tcBorders>
              <w:tl2br w:val="nil"/>
              <w:tr2bl w:val="nil"/>
            </w:tcBorders>
            <w:noWrap w:val="0"/>
            <w:vAlign w:val="center"/>
          </w:tcPr>
          <w:p w14:paraId="1169B0C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70</w:t>
            </w:r>
          </w:p>
        </w:tc>
        <w:tc>
          <w:tcPr>
            <w:tcW w:w="310" w:type="pct"/>
            <w:tcBorders>
              <w:tl2br w:val="nil"/>
              <w:tr2bl w:val="nil"/>
            </w:tcBorders>
            <w:noWrap w:val="0"/>
            <w:vAlign w:val="center"/>
          </w:tcPr>
          <w:p w14:paraId="4F69FE0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4" w:type="pct"/>
            <w:tcBorders>
              <w:tl2br w:val="nil"/>
              <w:tr2bl w:val="nil"/>
            </w:tcBorders>
            <w:noWrap w:val="0"/>
            <w:vAlign w:val="center"/>
          </w:tcPr>
          <w:p w14:paraId="2756FC9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200</w:t>
            </w:r>
          </w:p>
        </w:tc>
        <w:tc>
          <w:tcPr>
            <w:tcW w:w="291" w:type="pct"/>
            <w:tcBorders>
              <w:tl2br w:val="nil"/>
              <w:tr2bl w:val="nil"/>
            </w:tcBorders>
            <w:noWrap w:val="0"/>
            <w:vAlign w:val="center"/>
          </w:tcPr>
          <w:p w14:paraId="4A56852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30</w:t>
            </w:r>
          </w:p>
        </w:tc>
        <w:tc>
          <w:tcPr>
            <w:tcW w:w="291" w:type="pct"/>
            <w:tcBorders>
              <w:tl2br w:val="nil"/>
              <w:tr2bl w:val="nil"/>
            </w:tcBorders>
            <w:noWrap w:val="0"/>
            <w:vAlign w:val="center"/>
          </w:tcPr>
          <w:p w14:paraId="7896FE4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0.4</w:t>
            </w:r>
          </w:p>
        </w:tc>
        <w:tc>
          <w:tcPr>
            <w:tcW w:w="295" w:type="pct"/>
            <w:tcBorders>
              <w:tl2br w:val="nil"/>
              <w:tr2bl w:val="nil"/>
            </w:tcBorders>
            <w:noWrap w:val="0"/>
            <w:vAlign w:val="center"/>
          </w:tcPr>
          <w:p w14:paraId="02C31D5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100</w:t>
            </w:r>
          </w:p>
        </w:tc>
        <w:tc>
          <w:tcPr>
            <w:tcW w:w="296" w:type="pct"/>
            <w:tcBorders>
              <w:tl2br w:val="nil"/>
              <w:tr2bl w:val="nil"/>
            </w:tcBorders>
            <w:noWrap w:val="0"/>
            <w:vAlign w:val="center"/>
          </w:tcPr>
          <w:p w14:paraId="1AB9A0D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0.5</w:t>
            </w:r>
          </w:p>
        </w:tc>
        <w:tc>
          <w:tcPr>
            <w:tcW w:w="370" w:type="pct"/>
            <w:tcBorders>
              <w:tl2br w:val="nil"/>
              <w:tr2bl w:val="nil"/>
            </w:tcBorders>
            <w:noWrap w:val="0"/>
            <w:vAlign w:val="center"/>
          </w:tcPr>
          <w:p w14:paraId="385F95E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r>
      <w:tr w14:paraId="39A050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vMerge w:val="continue"/>
            <w:tcBorders>
              <w:tl2br w:val="nil"/>
              <w:tr2bl w:val="nil"/>
            </w:tcBorders>
            <w:noWrap w:val="0"/>
            <w:vAlign w:val="center"/>
          </w:tcPr>
          <w:p w14:paraId="371A829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1428" w:type="pct"/>
            <w:gridSpan w:val="4"/>
            <w:tcBorders>
              <w:tl2br w:val="nil"/>
              <w:tr2bl w:val="nil"/>
            </w:tcBorders>
            <w:noWrap w:val="0"/>
            <w:vAlign w:val="center"/>
          </w:tcPr>
          <w:p w14:paraId="0B56740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6.5&lt;pH≤7.5</w:t>
            </w:r>
          </w:p>
        </w:tc>
        <w:tc>
          <w:tcPr>
            <w:tcW w:w="262" w:type="pct"/>
            <w:tcBorders>
              <w:tl2br w:val="nil"/>
              <w:tr2bl w:val="nil"/>
            </w:tcBorders>
            <w:noWrap w:val="0"/>
            <w:vAlign w:val="center"/>
          </w:tcPr>
          <w:p w14:paraId="73C4EAD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7" w:type="pct"/>
            <w:tcBorders>
              <w:tl2br w:val="nil"/>
              <w:tr2bl w:val="nil"/>
            </w:tcBorders>
            <w:noWrap w:val="0"/>
            <w:vAlign w:val="center"/>
          </w:tcPr>
          <w:p w14:paraId="1B888AD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300</w:t>
            </w:r>
          </w:p>
        </w:tc>
        <w:tc>
          <w:tcPr>
            <w:tcW w:w="254" w:type="pct"/>
            <w:tcBorders>
              <w:tl2br w:val="nil"/>
              <w:tr2bl w:val="nil"/>
            </w:tcBorders>
            <w:noWrap w:val="0"/>
            <w:vAlign w:val="center"/>
          </w:tcPr>
          <w:p w14:paraId="7B9C8D6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100</w:t>
            </w:r>
          </w:p>
        </w:tc>
        <w:tc>
          <w:tcPr>
            <w:tcW w:w="310" w:type="pct"/>
            <w:tcBorders>
              <w:tl2br w:val="nil"/>
              <w:tr2bl w:val="nil"/>
            </w:tcBorders>
            <w:noWrap w:val="0"/>
            <w:vAlign w:val="center"/>
          </w:tcPr>
          <w:p w14:paraId="364C1F2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4" w:type="pct"/>
            <w:tcBorders>
              <w:tl2br w:val="nil"/>
              <w:tr2bl w:val="nil"/>
            </w:tcBorders>
            <w:noWrap w:val="0"/>
            <w:vAlign w:val="center"/>
          </w:tcPr>
          <w:p w14:paraId="6B3248D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250</w:t>
            </w:r>
          </w:p>
        </w:tc>
        <w:tc>
          <w:tcPr>
            <w:tcW w:w="291" w:type="pct"/>
            <w:tcBorders>
              <w:tl2br w:val="nil"/>
              <w:tr2bl w:val="nil"/>
            </w:tcBorders>
            <w:noWrap w:val="0"/>
            <w:vAlign w:val="center"/>
          </w:tcPr>
          <w:p w14:paraId="2FD9D2D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25</w:t>
            </w:r>
          </w:p>
        </w:tc>
        <w:tc>
          <w:tcPr>
            <w:tcW w:w="291" w:type="pct"/>
            <w:tcBorders>
              <w:tl2br w:val="nil"/>
              <w:tr2bl w:val="nil"/>
            </w:tcBorders>
            <w:noWrap w:val="0"/>
            <w:vAlign w:val="center"/>
          </w:tcPr>
          <w:p w14:paraId="0D57E37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0.6</w:t>
            </w:r>
          </w:p>
        </w:tc>
        <w:tc>
          <w:tcPr>
            <w:tcW w:w="295" w:type="pct"/>
            <w:tcBorders>
              <w:tl2br w:val="nil"/>
              <w:tr2bl w:val="nil"/>
            </w:tcBorders>
            <w:noWrap w:val="0"/>
            <w:vAlign w:val="center"/>
          </w:tcPr>
          <w:p w14:paraId="71382A5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140</w:t>
            </w:r>
          </w:p>
        </w:tc>
        <w:tc>
          <w:tcPr>
            <w:tcW w:w="296" w:type="pct"/>
            <w:tcBorders>
              <w:tl2br w:val="nil"/>
              <w:tr2bl w:val="nil"/>
            </w:tcBorders>
            <w:noWrap w:val="0"/>
            <w:vAlign w:val="center"/>
          </w:tcPr>
          <w:p w14:paraId="5A58416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0.6</w:t>
            </w:r>
          </w:p>
        </w:tc>
        <w:tc>
          <w:tcPr>
            <w:tcW w:w="370" w:type="pct"/>
            <w:tcBorders>
              <w:tl2br w:val="nil"/>
              <w:tr2bl w:val="nil"/>
            </w:tcBorders>
            <w:noWrap w:val="0"/>
            <w:vAlign w:val="center"/>
          </w:tcPr>
          <w:p w14:paraId="2B18A5A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r>
      <w:tr w14:paraId="7FFC52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44" w:type="pct"/>
            <w:vMerge w:val="continue"/>
            <w:tcBorders>
              <w:tl2br w:val="nil"/>
              <w:tr2bl w:val="nil"/>
            </w:tcBorders>
            <w:noWrap w:val="0"/>
            <w:vAlign w:val="center"/>
          </w:tcPr>
          <w:p w14:paraId="46B1ACC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eastAsia="en-US"/>
              </w:rPr>
            </w:pPr>
          </w:p>
        </w:tc>
        <w:tc>
          <w:tcPr>
            <w:tcW w:w="1428" w:type="pct"/>
            <w:gridSpan w:val="4"/>
            <w:tcBorders>
              <w:tl2br w:val="nil"/>
              <w:tr2bl w:val="nil"/>
            </w:tcBorders>
            <w:noWrap w:val="0"/>
            <w:vAlign w:val="center"/>
          </w:tcPr>
          <w:p w14:paraId="266DD7F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pH&gt;7.5</w:t>
            </w:r>
          </w:p>
        </w:tc>
        <w:tc>
          <w:tcPr>
            <w:tcW w:w="262" w:type="pct"/>
            <w:tcBorders>
              <w:tl2br w:val="nil"/>
              <w:tr2bl w:val="nil"/>
            </w:tcBorders>
            <w:noWrap w:val="0"/>
            <w:vAlign w:val="center"/>
          </w:tcPr>
          <w:p w14:paraId="3094486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7" w:type="pct"/>
            <w:tcBorders>
              <w:tl2br w:val="nil"/>
              <w:tr2bl w:val="nil"/>
            </w:tcBorders>
            <w:noWrap w:val="0"/>
            <w:vAlign w:val="center"/>
          </w:tcPr>
          <w:p w14:paraId="5905F3B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350</w:t>
            </w:r>
          </w:p>
        </w:tc>
        <w:tc>
          <w:tcPr>
            <w:tcW w:w="254" w:type="pct"/>
            <w:tcBorders>
              <w:tl2br w:val="nil"/>
              <w:tr2bl w:val="nil"/>
            </w:tcBorders>
            <w:noWrap w:val="0"/>
            <w:vAlign w:val="center"/>
          </w:tcPr>
          <w:p w14:paraId="4010384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190</w:t>
            </w:r>
          </w:p>
        </w:tc>
        <w:tc>
          <w:tcPr>
            <w:tcW w:w="310" w:type="pct"/>
            <w:tcBorders>
              <w:tl2br w:val="nil"/>
              <w:tr2bl w:val="nil"/>
            </w:tcBorders>
            <w:noWrap w:val="0"/>
            <w:vAlign w:val="center"/>
          </w:tcPr>
          <w:p w14:paraId="0D1F87A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274" w:type="pct"/>
            <w:tcBorders>
              <w:tl2br w:val="nil"/>
              <w:tr2bl w:val="nil"/>
            </w:tcBorders>
            <w:noWrap w:val="0"/>
            <w:vAlign w:val="center"/>
          </w:tcPr>
          <w:p w14:paraId="4F68A91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300</w:t>
            </w:r>
          </w:p>
        </w:tc>
        <w:tc>
          <w:tcPr>
            <w:tcW w:w="291" w:type="pct"/>
            <w:tcBorders>
              <w:tl2br w:val="nil"/>
              <w:tr2bl w:val="nil"/>
            </w:tcBorders>
            <w:noWrap w:val="0"/>
            <w:vAlign w:val="center"/>
          </w:tcPr>
          <w:p w14:paraId="5AE1722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w:t>
            </w:r>
          </w:p>
        </w:tc>
        <w:tc>
          <w:tcPr>
            <w:tcW w:w="291" w:type="pct"/>
            <w:tcBorders>
              <w:tl2br w:val="nil"/>
              <w:tr2bl w:val="nil"/>
            </w:tcBorders>
            <w:noWrap w:val="0"/>
            <w:vAlign w:val="center"/>
          </w:tcPr>
          <w:p w14:paraId="28BA2E0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0.8</w:t>
            </w:r>
          </w:p>
        </w:tc>
        <w:tc>
          <w:tcPr>
            <w:tcW w:w="295" w:type="pct"/>
            <w:tcBorders>
              <w:tl2br w:val="nil"/>
              <w:tr2bl w:val="nil"/>
            </w:tcBorders>
            <w:noWrap w:val="0"/>
            <w:vAlign w:val="center"/>
          </w:tcPr>
          <w:p w14:paraId="763A2C7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240</w:t>
            </w:r>
          </w:p>
        </w:tc>
        <w:tc>
          <w:tcPr>
            <w:tcW w:w="296" w:type="pct"/>
            <w:tcBorders>
              <w:tl2br w:val="nil"/>
              <w:tr2bl w:val="nil"/>
            </w:tcBorders>
            <w:noWrap w:val="0"/>
            <w:vAlign w:val="center"/>
          </w:tcPr>
          <w:p w14:paraId="53E17F5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1.0</w:t>
            </w:r>
          </w:p>
        </w:tc>
        <w:tc>
          <w:tcPr>
            <w:tcW w:w="370" w:type="pct"/>
            <w:tcBorders>
              <w:tl2br w:val="nil"/>
              <w:tr2bl w:val="nil"/>
            </w:tcBorders>
            <w:noWrap w:val="0"/>
            <w:vAlign w:val="center"/>
          </w:tcPr>
          <w:p w14:paraId="73C3A0F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r>
      <w:tr w14:paraId="1073E9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15"/>
            <w:tcBorders>
              <w:tl2br w:val="nil"/>
              <w:tr2bl w:val="nil"/>
            </w:tcBorders>
            <w:noWrap w:val="0"/>
            <w:vAlign w:val="center"/>
          </w:tcPr>
          <w:p w14:paraId="445A8AC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eastAsia"/>
                <w:b/>
                <w:bCs/>
                <w:sz w:val="21"/>
                <w:szCs w:val="21"/>
                <w:highlight w:val="none"/>
                <w:vertAlign w:val="baseline"/>
                <w:lang w:val="en-US" w:eastAsia="zh-CN"/>
              </w:rPr>
              <w:t>注：“ND”表示未检出。</w:t>
            </w:r>
          </w:p>
        </w:tc>
      </w:tr>
    </w:tbl>
    <w:p w14:paraId="37D9098D">
      <w:pPr>
        <w:bidi w:val="0"/>
        <w:rPr>
          <w:rFonts w:hint="default"/>
          <w:sz w:val="24"/>
          <w:szCs w:val="24"/>
          <w:lang w:val="en-US" w:eastAsia="zh-CN"/>
        </w:rPr>
      </w:pPr>
      <w:r>
        <w:rPr>
          <w:rFonts w:hint="default"/>
          <w:sz w:val="24"/>
          <w:szCs w:val="24"/>
          <w:lang w:val="en-US" w:eastAsia="zh-CN"/>
        </w:rPr>
        <w:t>由表</w:t>
      </w:r>
      <w:r>
        <w:rPr>
          <w:rFonts w:hint="eastAsia"/>
          <w:sz w:val="24"/>
          <w:szCs w:val="24"/>
          <w:lang w:val="en-US" w:eastAsia="zh-CN"/>
        </w:rPr>
        <w:t>3.1-18</w:t>
      </w:r>
      <w:r>
        <w:rPr>
          <w:rFonts w:hint="default"/>
          <w:sz w:val="24"/>
          <w:szCs w:val="24"/>
          <w:lang w:val="en-US" w:eastAsia="zh-CN"/>
        </w:rPr>
        <w:t>可知：</w:t>
      </w:r>
    </w:p>
    <w:p w14:paraId="2B929BBA">
      <w:pPr>
        <w:bidi w:val="0"/>
        <w:rPr>
          <w:rFonts w:hint="default"/>
          <w:sz w:val="24"/>
          <w:szCs w:val="24"/>
          <w:lang w:val="en-US" w:eastAsia="zh-CN"/>
        </w:rPr>
      </w:pPr>
      <w:r>
        <w:rPr>
          <w:rFonts w:hint="default"/>
          <w:sz w:val="24"/>
          <w:szCs w:val="24"/>
          <w:lang w:val="en-US" w:eastAsia="zh-CN"/>
        </w:rPr>
        <w:t>1）万古村2号废渣点东南侧农田布设2个检测点位</w:t>
      </w:r>
      <w:r>
        <w:rPr>
          <w:rFonts w:hint="eastAsia"/>
          <w:sz w:val="24"/>
          <w:szCs w:val="24"/>
          <w:lang w:val="en-US" w:eastAsia="zh-CN"/>
        </w:rPr>
        <w:t>（</w:t>
      </w:r>
      <w:r>
        <w:rPr>
          <w:rFonts w:hint="default"/>
          <w:sz w:val="24"/>
          <w:szCs w:val="24"/>
          <w:lang w:val="en-US" w:eastAsia="zh-CN"/>
        </w:rPr>
        <w:t>■35#、■36#），所检测8项金属指标中，总砷最大超过《土壤环境质量农用地土壤污染风险管控标准》（GB15618-2018）0.544倍；其余指标总铬、总镍、总铜、总锌、总砷、总铅、总汞均未超过《土壤环境质量农用地土壤污染风险管控标准》（GB15618-2018）表1筛选值，氰化物未检出。</w:t>
      </w:r>
    </w:p>
    <w:p w14:paraId="69D5256B">
      <w:pPr>
        <w:keepNext w:val="0"/>
        <w:keepLines w:val="0"/>
        <w:pageBreakBefore w:val="0"/>
        <w:widowControl w:val="0"/>
        <w:kinsoku/>
        <w:wordWrap/>
        <w:overflowPunct/>
        <w:topLinePunct w:val="0"/>
        <w:autoSpaceDE/>
        <w:autoSpaceDN/>
        <w:bidi w:val="0"/>
        <w:adjustRightInd/>
        <w:snapToGrid/>
        <w:textAlignment w:val="auto"/>
        <w:rPr>
          <w:rFonts w:hint="default"/>
          <w:sz w:val="24"/>
          <w:szCs w:val="24"/>
          <w:lang w:val="en-US" w:eastAsia="zh-CN"/>
        </w:rPr>
      </w:pPr>
      <w:r>
        <w:rPr>
          <w:rFonts w:hint="default"/>
          <w:sz w:val="24"/>
          <w:szCs w:val="24"/>
          <w:lang w:val="en-US" w:eastAsia="zh-CN"/>
        </w:rPr>
        <w:t>2）万古水库坝下居民农田布设1</w:t>
      </w:r>
      <w:r>
        <w:rPr>
          <w:rFonts w:hint="eastAsia"/>
          <w:sz w:val="24"/>
          <w:szCs w:val="24"/>
          <w:lang w:val="en-US" w:eastAsia="zh-CN"/>
        </w:rPr>
        <w:t>（</w:t>
      </w:r>
      <w:r>
        <w:rPr>
          <w:rFonts w:hint="default"/>
          <w:sz w:val="24"/>
          <w:szCs w:val="24"/>
          <w:lang w:val="en-US" w:eastAsia="zh-CN"/>
        </w:rPr>
        <w:t>■38#）个检测点位，所检测8项金属指标中，总镉最大超过《土壤环境质量农用地土壤污染风险管控标准》（GB15618-2018）4.27倍；其余指标总铬、总镍、总铜、总锌、总铅、总汞均未超过《土壤环境质量农用地土壤污染风险管控标准》（GB15618-2018）表1筛选值，氰化物未检出。</w:t>
      </w:r>
    </w:p>
    <w:p w14:paraId="26E23328">
      <w:pPr>
        <w:keepNext w:val="0"/>
        <w:keepLines w:val="0"/>
        <w:pageBreakBefore w:val="0"/>
        <w:widowControl w:val="0"/>
        <w:kinsoku/>
        <w:wordWrap/>
        <w:overflowPunct/>
        <w:topLinePunct w:val="0"/>
        <w:autoSpaceDE/>
        <w:autoSpaceDN/>
        <w:bidi w:val="0"/>
        <w:adjustRightInd/>
        <w:snapToGrid/>
        <w:textAlignment w:val="auto"/>
        <w:rPr>
          <w:rFonts w:hint="default"/>
          <w:sz w:val="24"/>
          <w:szCs w:val="24"/>
          <w:lang w:val="en-US" w:eastAsia="zh-CN"/>
        </w:rPr>
      </w:pPr>
      <w:r>
        <w:rPr>
          <w:rFonts w:hint="default"/>
          <w:sz w:val="24"/>
          <w:szCs w:val="24"/>
          <w:lang w:val="en-US" w:eastAsia="zh-CN"/>
        </w:rPr>
        <w:t>3）万古村1号废渣1号农田土壤</w:t>
      </w:r>
      <w:r>
        <w:rPr>
          <w:rFonts w:hint="eastAsia"/>
          <w:sz w:val="24"/>
          <w:szCs w:val="24"/>
          <w:lang w:val="en-US" w:eastAsia="zh-CN"/>
        </w:rPr>
        <w:t>（</w:t>
      </w:r>
      <w:r>
        <w:rPr>
          <w:rFonts w:hint="default"/>
          <w:sz w:val="24"/>
          <w:szCs w:val="24"/>
          <w:lang w:val="en-US" w:eastAsia="zh-CN"/>
        </w:rPr>
        <w:t>■39#）、万古村2号废渣2号农田土壤</w:t>
      </w:r>
      <w:r>
        <w:rPr>
          <w:rFonts w:hint="eastAsia"/>
          <w:sz w:val="24"/>
          <w:szCs w:val="24"/>
          <w:lang w:val="en-US" w:eastAsia="zh-CN"/>
        </w:rPr>
        <w:t>（</w:t>
      </w:r>
      <w:r>
        <w:rPr>
          <w:rFonts w:hint="default"/>
          <w:sz w:val="24"/>
          <w:szCs w:val="24"/>
          <w:lang w:val="en-US" w:eastAsia="zh-CN"/>
        </w:rPr>
        <w:t>■40#）检测9项指标中，均未超过《土壤环境质量农用地土壤污染风险管控标准》（GB15618-2018）表1筛选值，氰化物未检出。</w:t>
      </w:r>
    </w:p>
    <w:p w14:paraId="00070328">
      <w:pPr>
        <w:bidi w:val="0"/>
        <w:spacing w:line="240" w:lineRule="auto"/>
        <w:ind w:left="0" w:leftChars="0" w:firstLine="0" w:firstLineChars="0"/>
        <w:jc w:val="center"/>
        <w:rPr>
          <w:rFonts w:hint="default"/>
          <w:b/>
          <w:bCs/>
          <w:sz w:val="24"/>
          <w:szCs w:val="24"/>
          <w:lang w:val="en-US" w:eastAsia="zh-CN"/>
        </w:rPr>
      </w:pPr>
      <w:r>
        <w:rPr>
          <w:rFonts w:hint="eastAsia"/>
          <w:b/>
          <w:bCs/>
          <w:sz w:val="21"/>
          <w:szCs w:val="21"/>
          <w:lang w:val="en-US" w:eastAsia="zh-CN"/>
        </w:rPr>
        <w:t>表3.1-19  地表水检测结果一览表单位：mg/L，pH（无量纲）</w:t>
      </w:r>
    </w:p>
    <w:tbl>
      <w:tblPr>
        <w:tblStyle w:val="111"/>
        <w:tblW w:w="499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53"/>
        <w:gridCol w:w="955"/>
        <w:gridCol w:w="1329"/>
        <w:gridCol w:w="868"/>
        <w:gridCol w:w="726"/>
        <w:gridCol w:w="809"/>
        <w:gridCol w:w="759"/>
        <w:gridCol w:w="846"/>
        <w:gridCol w:w="846"/>
        <w:gridCol w:w="849"/>
        <w:gridCol w:w="849"/>
        <w:gridCol w:w="849"/>
        <w:gridCol w:w="850"/>
        <w:gridCol w:w="852"/>
        <w:gridCol w:w="933"/>
      </w:tblGrid>
      <w:tr w14:paraId="071BA9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restart"/>
            <w:tcBorders>
              <w:tl2br w:val="nil"/>
              <w:tr2bl w:val="nil"/>
            </w:tcBorders>
            <w:noWrap w:val="0"/>
            <w:vAlign w:val="center"/>
          </w:tcPr>
          <w:p w14:paraId="07A5D9F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采样点位</w:t>
            </w:r>
          </w:p>
        </w:tc>
        <w:tc>
          <w:tcPr>
            <w:tcW w:w="338" w:type="pct"/>
            <w:vMerge w:val="restart"/>
            <w:tcBorders>
              <w:tl2br w:val="nil"/>
              <w:tr2bl w:val="nil"/>
            </w:tcBorders>
            <w:noWrap w:val="0"/>
            <w:vAlign w:val="center"/>
          </w:tcPr>
          <w:p w14:paraId="6125B9D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采样日期</w:t>
            </w:r>
          </w:p>
        </w:tc>
        <w:tc>
          <w:tcPr>
            <w:tcW w:w="476" w:type="pct"/>
            <w:vMerge w:val="restart"/>
            <w:tcBorders>
              <w:tl2br w:val="nil"/>
              <w:tr2bl w:val="nil"/>
            </w:tcBorders>
            <w:noWrap w:val="0"/>
            <w:vAlign w:val="center"/>
          </w:tcPr>
          <w:p w14:paraId="27C70E8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eastAsia" w:ascii="Times New Roman" w:hAnsi="Times New Roman" w:eastAsia="宋体" w:cs="Times New Roman"/>
                <w:b/>
                <w:bCs/>
                <w:snapToGrid w:val="0"/>
                <w:color w:val="auto"/>
                <w:spacing w:val="0"/>
                <w:w w:val="100"/>
                <w:kern w:val="0"/>
                <w:position w:val="0"/>
                <w:sz w:val="21"/>
                <w:szCs w:val="21"/>
                <w:lang w:val="en-US" w:eastAsia="zh-CN" w:bidi="ar-SA"/>
              </w:rPr>
            </w:pPr>
            <w:r>
              <w:rPr>
                <w:rFonts w:hint="eastAsia" w:cs="Times New Roman"/>
                <w:b/>
                <w:bCs/>
                <w:snapToGrid w:val="0"/>
                <w:color w:val="auto"/>
                <w:spacing w:val="0"/>
                <w:w w:val="100"/>
                <w:kern w:val="0"/>
                <w:position w:val="0"/>
                <w:sz w:val="21"/>
                <w:szCs w:val="21"/>
                <w:lang w:val="en-US" w:eastAsia="zh-CN" w:bidi="ar-SA"/>
              </w:rPr>
              <w:t>经纬度（°）</w:t>
            </w:r>
          </w:p>
        </w:tc>
        <w:tc>
          <w:tcPr>
            <w:tcW w:w="309" w:type="pct"/>
            <w:vMerge w:val="restart"/>
            <w:tcBorders>
              <w:tl2br w:val="nil"/>
              <w:tr2bl w:val="nil"/>
            </w:tcBorders>
            <w:noWrap w:val="0"/>
            <w:vAlign w:val="center"/>
          </w:tcPr>
          <w:p w14:paraId="26DAAD6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样品状态</w:t>
            </w:r>
          </w:p>
        </w:tc>
        <w:tc>
          <w:tcPr>
            <w:tcW w:w="3282" w:type="pct"/>
            <w:gridSpan w:val="11"/>
            <w:tcBorders>
              <w:tl2br w:val="nil"/>
              <w:tr2bl w:val="nil"/>
            </w:tcBorders>
            <w:noWrap w:val="0"/>
            <w:vAlign w:val="center"/>
          </w:tcPr>
          <w:p w14:paraId="3C00139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检测项目及检测结果</w:t>
            </w:r>
          </w:p>
        </w:tc>
      </w:tr>
      <w:tr w14:paraId="2B9F62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continue"/>
            <w:tcBorders>
              <w:tl2br w:val="nil"/>
              <w:tr2bl w:val="nil"/>
            </w:tcBorders>
            <w:noWrap w:val="0"/>
            <w:vAlign w:val="center"/>
          </w:tcPr>
          <w:p w14:paraId="5D3AB98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p>
        </w:tc>
        <w:tc>
          <w:tcPr>
            <w:tcW w:w="338" w:type="pct"/>
            <w:vMerge w:val="continue"/>
            <w:tcBorders>
              <w:tl2br w:val="nil"/>
              <w:tr2bl w:val="nil"/>
            </w:tcBorders>
            <w:noWrap w:val="0"/>
            <w:vAlign w:val="center"/>
          </w:tcPr>
          <w:p w14:paraId="02005F8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p>
        </w:tc>
        <w:tc>
          <w:tcPr>
            <w:tcW w:w="476" w:type="pct"/>
            <w:vMerge w:val="continue"/>
            <w:tcBorders>
              <w:tl2br w:val="nil"/>
              <w:tr2bl w:val="nil"/>
            </w:tcBorders>
            <w:noWrap w:val="0"/>
            <w:vAlign w:val="center"/>
          </w:tcPr>
          <w:p w14:paraId="78782E1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p>
        </w:tc>
        <w:tc>
          <w:tcPr>
            <w:tcW w:w="309" w:type="pct"/>
            <w:vMerge w:val="continue"/>
            <w:tcBorders>
              <w:tl2br w:val="nil"/>
              <w:tr2bl w:val="nil"/>
            </w:tcBorders>
            <w:noWrap w:val="0"/>
            <w:vAlign w:val="center"/>
          </w:tcPr>
          <w:p w14:paraId="1366D17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p>
        </w:tc>
        <w:tc>
          <w:tcPr>
            <w:tcW w:w="260" w:type="pct"/>
            <w:tcBorders>
              <w:tl2br w:val="nil"/>
              <w:tr2bl w:val="nil"/>
            </w:tcBorders>
            <w:noWrap w:val="0"/>
            <w:vAlign w:val="center"/>
          </w:tcPr>
          <w:p w14:paraId="06F042F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pH值</w:t>
            </w:r>
          </w:p>
        </w:tc>
        <w:tc>
          <w:tcPr>
            <w:tcW w:w="290" w:type="pct"/>
            <w:tcBorders>
              <w:tl2br w:val="nil"/>
              <w:tr2bl w:val="nil"/>
            </w:tcBorders>
            <w:noWrap w:val="0"/>
            <w:vAlign w:val="center"/>
          </w:tcPr>
          <w:p w14:paraId="1595A9B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氰化物</w:t>
            </w:r>
          </w:p>
        </w:tc>
        <w:tc>
          <w:tcPr>
            <w:tcW w:w="272" w:type="pct"/>
            <w:tcBorders>
              <w:tl2br w:val="nil"/>
              <w:tr2bl w:val="nil"/>
            </w:tcBorders>
            <w:noWrap w:val="0"/>
            <w:vAlign w:val="center"/>
          </w:tcPr>
          <w:p w14:paraId="350D3E1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总铬</w:t>
            </w:r>
          </w:p>
        </w:tc>
        <w:tc>
          <w:tcPr>
            <w:tcW w:w="303" w:type="pct"/>
            <w:tcBorders>
              <w:tl2br w:val="nil"/>
              <w:tr2bl w:val="nil"/>
            </w:tcBorders>
            <w:noWrap w:val="0"/>
            <w:vAlign w:val="center"/>
          </w:tcPr>
          <w:p w14:paraId="0022A9F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镍</w:t>
            </w:r>
          </w:p>
        </w:tc>
        <w:tc>
          <w:tcPr>
            <w:tcW w:w="303" w:type="pct"/>
            <w:tcBorders>
              <w:tl2br w:val="nil"/>
              <w:tr2bl w:val="nil"/>
            </w:tcBorders>
            <w:noWrap w:val="0"/>
            <w:vAlign w:val="center"/>
          </w:tcPr>
          <w:p w14:paraId="77D35E3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铜</w:t>
            </w:r>
          </w:p>
        </w:tc>
        <w:tc>
          <w:tcPr>
            <w:tcW w:w="304" w:type="pct"/>
            <w:tcBorders>
              <w:tl2br w:val="nil"/>
              <w:tr2bl w:val="nil"/>
            </w:tcBorders>
            <w:noWrap w:val="0"/>
            <w:vAlign w:val="center"/>
          </w:tcPr>
          <w:p w14:paraId="0054C7F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锌</w:t>
            </w:r>
          </w:p>
        </w:tc>
        <w:tc>
          <w:tcPr>
            <w:tcW w:w="304" w:type="pct"/>
            <w:tcBorders>
              <w:tl2br w:val="nil"/>
              <w:tr2bl w:val="nil"/>
            </w:tcBorders>
            <w:noWrap w:val="0"/>
            <w:vAlign w:val="center"/>
          </w:tcPr>
          <w:p w14:paraId="2B7C15E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砷</w:t>
            </w:r>
          </w:p>
        </w:tc>
        <w:tc>
          <w:tcPr>
            <w:tcW w:w="304" w:type="pct"/>
            <w:tcBorders>
              <w:tl2br w:val="nil"/>
              <w:tr2bl w:val="nil"/>
            </w:tcBorders>
            <w:noWrap w:val="0"/>
            <w:vAlign w:val="center"/>
          </w:tcPr>
          <w:p w14:paraId="308CF9F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镉</w:t>
            </w:r>
          </w:p>
        </w:tc>
        <w:tc>
          <w:tcPr>
            <w:tcW w:w="304" w:type="pct"/>
            <w:tcBorders>
              <w:tl2br w:val="nil"/>
              <w:tr2bl w:val="nil"/>
            </w:tcBorders>
            <w:noWrap w:val="0"/>
            <w:vAlign w:val="center"/>
          </w:tcPr>
          <w:p w14:paraId="421E90E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铅</w:t>
            </w:r>
          </w:p>
        </w:tc>
        <w:tc>
          <w:tcPr>
            <w:tcW w:w="305" w:type="pct"/>
            <w:tcBorders>
              <w:tl2br w:val="nil"/>
              <w:tr2bl w:val="nil"/>
            </w:tcBorders>
            <w:noWrap w:val="0"/>
            <w:vAlign w:val="center"/>
          </w:tcPr>
          <w:p w14:paraId="0F02E67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汞</w:t>
            </w:r>
          </w:p>
        </w:tc>
        <w:tc>
          <w:tcPr>
            <w:tcW w:w="330" w:type="pct"/>
            <w:tcBorders>
              <w:tl2br w:val="nil"/>
              <w:tr2bl w:val="nil"/>
            </w:tcBorders>
            <w:noWrap w:val="0"/>
            <w:vAlign w:val="center"/>
          </w:tcPr>
          <w:p w14:paraId="4A27EB5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auto"/>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en-US" w:bidi="ar-SA"/>
              </w:rPr>
              <w:t>六价铬</w:t>
            </w:r>
          </w:p>
        </w:tc>
      </w:tr>
      <w:tr w14:paraId="082478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restart"/>
            <w:tcBorders>
              <w:tl2br w:val="nil"/>
              <w:tr2bl w:val="nil"/>
            </w:tcBorders>
            <w:noWrap w:val="0"/>
            <w:vAlign w:val="center"/>
          </w:tcPr>
          <w:p w14:paraId="45DD1B4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☆43# 1号废渣点上方水塘</w:t>
            </w:r>
          </w:p>
        </w:tc>
        <w:tc>
          <w:tcPr>
            <w:tcW w:w="338" w:type="pct"/>
            <w:tcBorders>
              <w:tl2br w:val="nil"/>
              <w:tr2bl w:val="nil"/>
            </w:tcBorders>
            <w:noWrap w:val="0"/>
            <w:vAlign w:val="center"/>
          </w:tcPr>
          <w:p w14:paraId="3B9CFA6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2022.06.28</w:t>
            </w:r>
          </w:p>
        </w:tc>
        <w:tc>
          <w:tcPr>
            <w:tcW w:w="476" w:type="pct"/>
            <w:vMerge w:val="restart"/>
            <w:tcBorders>
              <w:tl2br w:val="nil"/>
              <w:tr2bl w:val="nil"/>
            </w:tcBorders>
            <w:noWrap w:val="0"/>
            <w:vAlign w:val="center"/>
          </w:tcPr>
          <w:p w14:paraId="6358FB0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E:113.573099</w:t>
            </w:r>
          </w:p>
          <w:p w14:paraId="5FC8579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N:28.629788</w:t>
            </w:r>
          </w:p>
        </w:tc>
        <w:tc>
          <w:tcPr>
            <w:tcW w:w="309" w:type="pct"/>
            <w:tcBorders>
              <w:tl2br w:val="nil"/>
              <w:tr2bl w:val="nil"/>
            </w:tcBorders>
            <w:noWrap w:val="0"/>
            <w:vAlign w:val="center"/>
          </w:tcPr>
          <w:p w14:paraId="127DEEB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1BD26EA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6.7</w:t>
            </w:r>
          </w:p>
        </w:tc>
        <w:tc>
          <w:tcPr>
            <w:tcW w:w="290" w:type="pct"/>
            <w:tcBorders>
              <w:tl2br w:val="nil"/>
              <w:tr2bl w:val="nil"/>
            </w:tcBorders>
            <w:noWrap w:val="0"/>
            <w:vAlign w:val="center"/>
          </w:tcPr>
          <w:p w14:paraId="47F1D1E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43A39BF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193A9F3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4620A25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7F05522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4B17A01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0.0350</w:t>
            </w:r>
          </w:p>
        </w:tc>
        <w:tc>
          <w:tcPr>
            <w:tcW w:w="304" w:type="pct"/>
            <w:tcBorders>
              <w:tl2br w:val="nil"/>
              <w:tr2bl w:val="nil"/>
            </w:tcBorders>
            <w:noWrap w:val="0"/>
            <w:vAlign w:val="center"/>
          </w:tcPr>
          <w:p w14:paraId="5E4CB48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0.00006</w:t>
            </w:r>
          </w:p>
        </w:tc>
        <w:tc>
          <w:tcPr>
            <w:tcW w:w="304" w:type="pct"/>
            <w:tcBorders>
              <w:tl2br w:val="nil"/>
              <w:tr2bl w:val="nil"/>
            </w:tcBorders>
            <w:noWrap w:val="0"/>
            <w:vAlign w:val="center"/>
          </w:tcPr>
          <w:p w14:paraId="7393B66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0.00035</w:t>
            </w:r>
          </w:p>
        </w:tc>
        <w:tc>
          <w:tcPr>
            <w:tcW w:w="305" w:type="pct"/>
            <w:tcBorders>
              <w:tl2br w:val="nil"/>
              <w:tr2bl w:val="nil"/>
            </w:tcBorders>
            <w:noWrap w:val="0"/>
            <w:vAlign w:val="center"/>
          </w:tcPr>
          <w:p w14:paraId="417FB0C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3FF2253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7704CF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continue"/>
            <w:tcBorders>
              <w:tl2br w:val="nil"/>
              <w:tr2bl w:val="nil"/>
            </w:tcBorders>
            <w:noWrap w:val="0"/>
            <w:vAlign w:val="center"/>
          </w:tcPr>
          <w:p w14:paraId="603EB55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38" w:type="pct"/>
            <w:tcBorders>
              <w:tl2br w:val="nil"/>
              <w:tr2bl w:val="nil"/>
            </w:tcBorders>
            <w:noWrap w:val="0"/>
            <w:vAlign w:val="center"/>
          </w:tcPr>
          <w:p w14:paraId="6107FEA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2022.06.29</w:t>
            </w:r>
          </w:p>
        </w:tc>
        <w:tc>
          <w:tcPr>
            <w:tcW w:w="476" w:type="pct"/>
            <w:vMerge w:val="continue"/>
            <w:tcBorders>
              <w:tl2br w:val="nil"/>
              <w:tr2bl w:val="nil"/>
            </w:tcBorders>
            <w:noWrap w:val="0"/>
            <w:vAlign w:val="center"/>
          </w:tcPr>
          <w:p w14:paraId="128C48B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09" w:type="pct"/>
            <w:tcBorders>
              <w:tl2br w:val="nil"/>
              <w:tr2bl w:val="nil"/>
            </w:tcBorders>
            <w:noWrap w:val="0"/>
            <w:vAlign w:val="center"/>
          </w:tcPr>
          <w:p w14:paraId="02E81F8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77BFA23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6.7</w:t>
            </w:r>
          </w:p>
        </w:tc>
        <w:tc>
          <w:tcPr>
            <w:tcW w:w="290" w:type="pct"/>
            <w:tcBorders>
              <w:tl2br w:val="nil"/>
              <w:tr2bl w:val="nil"/>
            </w:tcBorders>
            <w:noWrap w:val="0"/>
            <w:vAlign w:val="center"/>
          </w:tcPr>
          <w:p w14:paraId="13AA2FF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7DB18E0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7E9DB9D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465DD82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3468475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03F3378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0.0348</w:t>
            </w:r>
          </w:p>
        </w:tc>
        <w:tc>
          <w:tcPr>
            <w:tcW w:w="304" w:type="pct"/>
            <w:tcBorders>
              <w:tl2br w:val="nil"/>
              <w:tr2bl w:val="nil"/>
            </w:tcBorders>
            <w:noWrap w:val="0"/>
            <w:vAlign w:val="center"/>
          </w:tcPr>
          <w:p w14:paraId="3725C4B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0.00007</w:t>
            </w:r>
          </w:p>
        </w:tc>
        <w:tc>
          <w:tcPr>
            <w:tcW w:w="304" w:type="pct"/>
            <w:tcBorders>
              <w:tl2br w:val="nil"/>
              <w:tr2bl w:val="nil"/>
            </w:tcBorders>
            <w:noWrap w:val="0"/>
            <w:vAlign w:val="center"/>
          </w:tcPr>
          <w:p w14:paraId="6B9BF45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0.00035</w:t>
            </w:r>
          </w:p>
        </w:tc>
        <w:tc>
          <w:tcPr>
            <w:tcW w:w="305" w:type="pct"/>
            <w:tcBorders>
              <w:tl2br w:val="nil"/>
              <w:tr2bl w:val="nil"/>
            </w:tcBorders>
            <w:noWrap w:val="0"/>
            <w:vAlign w:val="center"/>
          </w:tcPr>
          <w:p w14:paraId="650FC31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4C1279B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0179E0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restart"/>
            <w:tcBorders>
              <w:tl2br w:val="nil"/>
              <w:tr2bl w:val="nil"/>
            </w:tcBorders>
            <w:noWrap w:val="0"/>
            <w:vAlign w:val="center"/>
          </w:tcPr>
          <w:p w14:paraId="50DC65F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☆46# 2号废渣点内水塘</w:t>
            </w:r>
          </w:p>
        </w:tc>
        <w:tc>
          <w:tcPr>
            <w:tcW w:w="338" w:type="pct"/>
            <w:tcBorders>
              <w:tl2br w:val="nil"/>
              <w:tr2bl w:val="nil"/>
            </w:tcBorders>
            <w:noWrap w:val="0"/>
            <w:vAlign w:val="center"/>
          </w:tcPr>
          <w:p w14:paraId="0CC8573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2022.06.28</w:t>
            </w:r>
          </w:p>
        </w:tc>
        <w:tc>
          <w:tcPr>
            <w:tcW w:w="476" w:type="pct"/>
            <w:vMerge w:val="restart"/>
            <w:tcBorders>
              <w:tl2br w:val="nil"/>
              <w:tr2bl w:val="nil"/>
            </w:tcBorders>
            <w:noWrap w:val="0"/>
            <w:vAlign w:val="center"/>
          </w:tcPr>
          <w:p w14:paraId="1A325F2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E:113.572076</w:t>
            </w:r>
          </w:p>
          <w:p w14:paraId="18FB133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N:28.628133</w:t>
            </w:r>
          </w:p>
        </w:tc>
        <w:tc>
          <w:tcPr>
            <w:tcW w:w="309" w:type="pct"/>
            <w:tcBorders>
              <w:tl2br w:val="nil"/>
              <w:tr2bl w:val="nil"/>
            </w:tcBorders>
            <w:noWrap w:val="0"/>
            <w:vAlign w:val="center"/>
          </w:tcPr>
          <w:p w14:paraId="56AD82C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微黄、无异味</w:t>
            </w:r>
          </w:p>
        </w:tc>
        <w:tc>
          <w:tcPr>
            <w:tcW w:w="260" w:type="pct"/>
            <w:tcBorders>
              <w:tl2br w:val="nil"/>
              <w:tr2bl w:val="nil"/>
            </w:tcBorders>
            <w:noWrap w:val="0"/>
            <w:vAlign w:val="center"/>
          </w:tcPr>
          <w:p w14:paraId="0B5EA97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6.8</w:t>
            </w:r>
          </w:p>
        </w:tc>
        <w:tc>
          <w:tcPr>
            <w:tcW w:w="290" w:type="pct"/>
            <w:tcBorders>
              <w:tl2br w:val="nil"/>
              <w:tr2bl w:val="nil"/>
            </w:tcBorders>
            <w:noWrap w:val="0"/>
            <w:vAlign w:val="center"/>
          </w:tcPr>
          <w:p w14:paraId="03B5005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091DDFC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3DF81A0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4601F06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2530020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1D5464C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0.0728</w:t>
            </w:r>
          </w:p>
        </w:tc>
        <w:tc>
          <w:tcPr>
            <w:tcW w:w="304" w:type="pct"/>
            <w:tcBorders>
              <w:tl2br w:val="nil"/>
              <w:tr2bl w:val="nil"/>
            </w:tcBorders>
            <w:noWrap w:val="0"/>
            <w:vAlign w:val="center"/>
          </w:tcPr>
          <w:p w14:paraId="12AD4C1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3B04226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0.00017</w:t>
            </w:r>
          </w:p>
        </w:tc>
        <w:tc>
          <w:tcPr>
            <w:tcW w:w="305" w:type="pct"/>
            <w:tcBorders>
              <w:tl2br w:val="nil"/>
              <w:tr2bl w:val="nil"/>
            </w:tcBorders>
            <w:noWrap w:val="0"/>
            <w:vAlign w:val="center"/>
          </w:tcPr>
          <w:p w14:paraId="058AF80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2922E28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65DE2C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continue"/>
            <w:tcBorders>
              <w:tl2br w:val="nil"/>
              <w:tr2bl w:val="nil"/>
            </w:tcBorders>
            <w:noWrap w:val="0"/>
            <w:vAlign w:val="center"/>
          </w:tcPr>
          <w:p w14:paraId="7D8FE2D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38" w:type="pct"/>
            <w:tcBorders>
              <w:tl2br w:val="nil"/>
              <w:tr2bl w:val="nil"/>
            </w:tcBorders>
            <w:noWrap w:val="0"/>
            <w:vAlign w:val="center"/>
          </w:tcPr>
          <w:p w14:paraId="3D35A37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2022.06.29</w:t>
            </w:r>
          </w:p>
        </w:tc>
        <w:tc>
          <w:tcPr>
            <w:tcW w:w="476" w:type="pct"/>
            <w:vMerge w:val="continue"/>
            <w:tcBorders>
              <w:tl2br w:val="nil"/>
              <w:tr2bl w:val="nil"/>
            </w:tcBorders>
            <w:noWrap w:val="0"/>
            <w:vAlign w:val="center"/>
          </w:tcPr>
          <w:p w14:paraId="7BA6B62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09" w:type="pct"/>
            <w:tcBorders>
              <w:tl2br w:val="nil"/>
              <w:tr2bl w:val="nil"/>
            </w:tcBorders>
            <w:noWrap w:val="0"/>
            <w:vAlign w:val="center"/>
          </w:tcPr>
          <w:p w14:paraId="0D20EDB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微黄、无异味</w:t>
            </w:r>
          </w:p>
        </w:tc>
        <w:tc>
          <w:tcPr>
            <w:tcW w:w="260" w:type="pct"/>
            <w:tcBorders>
              <w:tl2br w:val="nil"/>
              <w:tr2bl w:val="nil"/>
            </w:tcBorders>
            <w:noWrap w:val="0"/>
            <w:vAlign w:val="center"/>
          </w:tcPr>
          <w:p w14:paraId="1EAE3E8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6.8</w:t>
            </w:r>
          </w:p>
        </w:tc>
        <w:tc>
          <w:tcPr>
            <w:tcW w:w="290" w:type="pct"/>
            <w:tcBorders>
              <w:tl2br w:val="nil"/>
              <w:tr2bl w:val="nil"/>
            </w:tcBorders>
            <w:noWrap w:val="0"/>
            <w:vAlign w:val="center"/>
          </w:tcPr>
          <w:p w14:paraId="5439322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518A6D1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0488C87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34941B8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25A674B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27CFBA6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0.0733</w:t>
            </w:r>
          </w:p>
        </w:tc>
        <w:tc>
          <w:tcPr>
            <w:tcW w:w="304" w:type="pct"/>
            <w:tcBorders>
              <w:tl2br w:val="nil"/>
              <w:tr2bl w:val="nil"/>
            </w:tcBorders>
            <w:noWrap w:val="0"/>
            <w:vAlign w:val="center"/>
          </w:tcPr>
          <w:p w14:paraId="3EC7C27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64F9CA9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0.00017</w:t>
            </w:r>
          </w:p>
        </w:tc>
        <w:tc>
          <w:tcPr>
            <w:tcW w:w="305" w:type="pct"/>
            <w:tcBorders>
              <w:tl2br w:val="nil"/>
              <w:tr2bl w:val="nil"/>
            </w:tcBorders>
            <w:noWrap w:val="0"/>
            <w:vAlign w:val="center"/>
          </w:tcPr>
          <w:p w14:paraId="3D7B85B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0DA9143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05D48C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restart"/>
            <w:tcBorders>
              <w:tl2br w:val="nil"/>
              <w:tr2bl w:val="nil"/>
            </w:tcBorders>
            <w:noWrap w:val="0"/>
            <w:vAlign w:val="center"/>
          </w:tcPr>
          <w:p w14:paraId="3AF56C3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☆53#万古村2号废渣下游径流小溪</w:t>
            </w:r>
          </w:p>
        </w:tc>
        <w:tc>
          <w:tcPr>
            <w:tcW w:w="338" w:type="pct"/>
            <w:tcBorders>
              <w:tl2br w:val="nil"/>
              <w:tr2bl w:val="nil"/>
            </w:tcBorders>
            <w:noWrap w:val="0"/>
            <w:vAlign w:val="center"/>
          </w:tcPr>
          <w:p w14:paraId="710AE47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2022.06.28</w:t>
            </w:r>
          </w:p>
        </w:tc>
        <w:tc>
          <w:tcPr>
            <w:tcW w:w="476" w:type="pct"/>
            <w:vMerge w:val="restart"/>
            <w:tcBorders>
              <w:tl2br w:val="nil"/>
              <w:tr2bl w:val="nil"/>
            </w:tcBorders>
            <w:noWrap w:val="0"/>
            <w:vAlign w:val="center"/>
          </w:tcPr>
          <w:p w14:paraId="4AD0B09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E:113.571555</w:t>
            </w:r>
          </w:p>
          <w:p w14:paraId="4FBA19A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N:28.628732</w:t>
            </w:r>
          </w:p>
        </w:tc>
        <w:tc>
          <w:tcPr>
            <w:tcW w:w="309" w:type="pct"/>
            <w:tcBorders>
              <w:tl2br w:val="nil"/>
              <w:tr2bl w:val="nil"/>
            </w:tcBorders>
            <w:noWrap w:val="0"/>
            <w:vAlign w:val="center"/>
          </w:tcPr>
          <w:p w14:paraId="601CC7B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5F5ABE6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w:t>
            </w:r>
          </w:p>
        </w:tc>
        <w:tc>
          <w:tcPr>
            <w:tcW w:w="290" w:type="pct"/>
            <w:tcBorders>
              <w:tl2br w:val="nil"/>
              <w:tr2bl w:val="nil"/>
            </w:tcBorders>
            <w:noWrap w:val="0"/>
            <w:vAlign w:val="center"/>
          </w:tcPr>
          <w:p w14:paraId="1B58A8C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5EC23C0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44AAD47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392DE66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1DAB912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6B32105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0.0596</w:t>
            </w:r>
          </w:p>
        </w:tc>
        <w:tc>
          <w:tcPr>
            <w:tcW w:w="304" w:type="pct"/>
            <w:tcBorders>
              <w:tl2br w:val="nil"/>
              <w:tr2bl w:val="nil"/>
            </w:tcBorders>
            <w:noWrap w:val="0"/>
            <w:vAlign w:val="center"/>
          </w:tcPr>
          <w:p w14:paraId="6B5078D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0.00005</w:t>
            </w:r>
          </w:p>
        </w:tc>
        <w:tc>
          <w:tcPr>
            <w:tcW w:w="304" w:type="pct"/>
            <w:tcBorders>
              <w:tl2br w:val="nil"/>
              <w:tr2bl w:val="nil"/>
            </w:tcBorders>
            <w:noWrap w:val="0"/>
            <w:vAlign w:val="center"/>
          </w:tcPr>
          <w:p w14:paraId="31DEA9D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0.00019</w:t>
            </w:r>
          </w:p>
        </w:tc>
        <w:tc>
          <w:tcPr>
            <w:tcW w:w="305" w:type="pct"/>
            <w:tcBorders>
              <w:tl2br w:val="nil"/>
              <w:tr2bl w:val="nil"/>
            </w:tcBorders>
            <w:noWrap w:val="0"/>
            <w:vAlign w:val="center"/>
          </w:tcPr>
          <w:p w14:paraId="498ED6D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4D61180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4605A2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continue"/>
            <w:tcBorders>
              <w:tl2br w:val="nil"/>
              <w:tr2bl w:val="nil"/>
            </w:tcBorders>
            <w:noWrap w:val="0"/>
            <w:vAlign w:val="center"/>
          </w:tcPr>
          <w:p w14:paraId="7A29358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38" w:type="pct"/>
            <w:tcBorders>
              <w:tl2br w:val="nil"/>
              <w:tr2bl w:val="nil"/>
            </w:tcBorders>
            <w:noWrap w:val="0"/>
            <w:vAlign w:val="center"/>
          </w:tcPr>
          <w:p w14:paraId="6224F3E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2022.06.29</w:t>
            </w:r>
          </w:p>
        </w:tc>
        <w:tc>
          <w:tcPr>
            <w:tcW w:w="476" w:type="pct"/>
            <w:vMerge w:val="continue"/>
            <w:tcBorders>
              <w:tl2br w:val="nil"/>
              <w:tr2bl w:val="nil"/>
            </w:tcBorders>
            <w:noWrap w:val="0"/>
            <w:vAlign w:val="center"/>
          </w:tcPr>
          <w:p w14:paraId="1CB79A6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09" w:type="pct"/>
            <w:tcBorders>
              <w:tl2br w:val="nil"/>
              <w:tr2bl w:val="nil"/>
            </w:tcBorders>
            <w:noWrap w:val="0"/>
            <w:vAlign w:val="center"/>
          </w:tcPr>
          <w:p w14:paraId="427B912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1CDB2AC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6.8</w:t>
            </w:r>
          </w:p>
        </w:tc>
        <w:tc>
          <w:tcPr>
            <w:tcW w:w="290" w:type="pct"/>
            <w:tcBorders>
              <w:tl2br w:val="nil"/>
              <w:tr2bl w:val="nil"/>
            </w:tcBorders>
            <w:noWrap w:val="0"/>
            <w:vAlign w:val="center"/>
          </w:tcPr>
          <w:p w14:paraId="7E7A5FA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179C446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2FF2C37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30DE192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260BCA7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2325486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0.0582</w:t>
            </w:r>
          </w:p>
        </w:tc>
        <w:tc>
          <w:tcPr>
            <w:tcW w:w="304" w:type="pct"/>
            <w:tcBorders>
              <w:tl2br w:val="nil"/>
              <w:tr2bl w:val="nil"/>
            </w:tcBorders>
            <w:noWrap w:val="0"/>
            <w:vAlign w:val="center"/>
          </w:tcPr>
          <w:p w14:paraId="607B955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0.00005</w:t>
            </w:r>
          </w:p>
        </w:tc>
        <w:tc>
          <w:tcPr>
            <w:tcW w:w="304" w:type="pct"/>
            <w:tcBorders>
              <w:tl2br w:val="nil"/>
              <w:tr2bl w:val="nil"/>
            </w:tcBorders>
            <w:noWrap w:val="0"/>
            <w:vAlign w:val="center"/>
          </w:tcPr>
          <w:p w14:paraId="713DA47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0.00018</w:t>
            </w:r>
          </w:p>
        </w:tc>
        <w:tc>
          <w:tcPr>
            <w:tcW w:w="305" w:type="pct"/>
            <w:tcBorders>
              <w:tl2br w:val="nil"/>
              <w:tr2bl w:val="nil"/>
            </w:tcBorders>
            <w:noWrap w:val="0"/>
            <w:vAlign w:val="center"/>
          </w:tcPr>
          <w:p w14:paraId="0E3DE42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1A03388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3F0F74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restart"/>
            <w:tcBorders>
              <w:tl2br w:val="nil"/>
              <w:tr2bl w:val="nil"/>
            </w:tcBorders>
            <w:noWrap w:val="0"/>
            <w:vAlign w:val="center"/>
          </w:tcPr>
          <w:p w14:paraId="1BCCF18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☆47#万古水库废渣点下游50米</w:t>
            </w:r>
          </w:p>
        </w:tc>
        <w:tc>
          <w:tcPr>
            <w:tcW w:w="338" w:type="pct"/>
            <w:tcBorders>
              <w:tl2br w:val="nil"/>
              <w:tr2bl w:val="nil"/>
            </w:tcBorders>
            <w:noWrap w:val="0"/>
            <w:vAlign w:val="center"/>
          </w:tcPr>
          <w:p w14:paraId="53CBBE7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2022.06.28</w:t>
            </w:r>
          </w:p>
        </w:tc>
        <w:tc>
          <w:tcPr>
            <w:tcW w:w="476" w:type="pct"/>
            <w:vMerge w:val="restart"/>
            <w:tcBorders>
              <w:tl2br w:val="nil"/>
              <w:tr2bl w:val="nil"/>
            </w:tcBorders>
            <w:noWrap w:val="0"/>
            <w:vAlign w:val="center"/>
          </w:tcPr>
          <w:p w14:paraId="38EB6ED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E:113.566152</w:t>
            </w:r>
          </w:p>
          <w:p w14:paraId="46C7854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N:28.630948</w:t>
            </w:r>
          </w:p>
        </w:tc>
        <w:tc>
          <w:tcPr>
            <w:tcW w:w="309" w:type="pct"/>
            <w:tcBorders>
              <w:tl2br w:val="nil"/>
              <w:tr2bl w:val="nil"/>
            </w:tcBorders>
            <w:noWrap w:val="0"/>
            <w:vAlign w:val="center"/>
          </w:tcPr>
          <w:p w14:paraId="039F977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7E3BD24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w:t>
            </w:r>
          </w:p>
        </w:tc>
        <w:tc>
          <w:tcPr>
            <w:tcW w:w="290" w:type="pct"/>
            <w:tcBorders>
              <w:tl2br w:val="nil"/>
              <w:tr2bl w:val="nil"/>
            </w:tcBorders>
            <w:noWrap w:val="0"/>
            <w:vAlign w:val="center"/>
          </w:tcPr>
          <w:p w14:paraId="08283CC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206791A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2299599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269EEC5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6CC5E07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35D2ACB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0.0139</w:t>
            </w:r>
          </w:p>
        </w:tc>
        <w:tc>
          <w:tcPr>
            <w:tcW w:w="304" w:type="pct"/>
            <w:tcBorders>
              <w:tl2br w:val="nil"/>
              <w:tr2bl w:val="nil"/>
            </w:tcBorders>
            <w:noWrap w:val="0"/>
            <w:vAlign w:val="center"/>
          </w:tcPr>
          <w:p w14:paraId="1A9A032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0.00008</w:t>
            </w:r>
          </w:p>
        </w:tc>
        <w:tc>
          <w:tcPr>
            <w:tcW w:w="304" w:type="pct"/>
            <w:tcBorders>
              <w:tl2br w:val="nil"/>
              <w:tr2bl w:val="nil"/>
            </w:tcBorders>
            <w:noWrap w:val="0"/>
            <w:vAlign w:val="center"/>
          </w:tcPr>
          <w:p w14:paraId="5EF9C8E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0.00015</w:t>
            </w:r>
          </w:p>
        </w:tc>
        <w:tc>
          <w:tcPr>
            <w:tcW w:w="305" w:type="pct"/>
            <w:tcBorders>
              <w:tl2br w:val="nil"/>
              <w:tr2bl w:val="nil"/>
            </w:tcBorders>
            <w:noWrap w:val="0"/>
            <w:vAlign w:val="center"/>
          </w:tcPr>
          <w:p w14:paraId="35C849E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72608B7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1B404E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continue"/>
            <w:tcBorders>
              <w:tl2br w:val="nil"/>
              <w:tr2bl w:val="nil"/>
            </w:tcBorders>
            <w:noWrap w:val="0"/>
            <w:vAlign w:val="center"/>
          </w:tcPr>
          <w:p w14:paraId="7156A86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38" w:type="pct"/>
            <w:tcBorders>
              <w:tl2br w:val="nil"/>
              <w:tr2bl w:val="nil"/>
            </w:tcBorders>
            <w:noWrap w:val="0"/>
            <w:vAlign w:val="center"/>
          </w:tcPr>
          <w:p w14:paraId="3871087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2022.06.29</w:t>
            </w:r>
          </w:p>
        </w:tc>
        <w:tc>
          <w:tcPr>
            <w:tcW w:w="476" w:type="pct"/>
            <w:vMerge w:val="continue"/>
            <w:tcBorders>
              <w:tl2br w:val="nil"/>
              <w:tr2bl w:val="nil"/>
            </w:tcBorders>
            <w:noWrap w:val="0"/>
            <w:vAlign w:val="center"/>
          </w:tcPr>
          <w:p w14:paraId="714D707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09" w:type="pct"/>
            <w:tcBorders>
              <w:tl2br w:val="nil"/>
              <w:tr2bl w:val="nil"/>
            </w:tcBorders>
            <w:noWrap w:val="0"/>
            <w:vAlign w:val="center"/>
          </w:tcPr>
          <w:p w14:paraId="754B4F8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2C49ADF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w:t>
            </w:r>
          </w:p>
        </w:tc>
        <w:tc>
          <w:tcPr>
            <w:tcW w:w="290" w:type="pct"/>
            <w:tcBorders>
              <w:tl2br w:val="nil"/>
              <w:tr2bl w:val="nil"/>
            </w:tcBorders>
            <w:noWrap w:val="0"/>
            <w:vAlign w:val="center"/>
          </w:tcPr>
          <w:p w14:paraId="7F882AC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1832DE5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5E2D12C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44ACD78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3863FB0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1D67C7E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0.0148</w:t>
            </w:r>
          </w:p>
        </w:tc>
        <w:tc>
          <w:tcPr>
            <w:tcW w:w="304" w:type="pct"/>
            <w:tcBorders>
              <w:tl2br w:val="nil"/>
              <w:tr2bl w:val="nil"/>
            </w:tcBorders>
            <w:noWrap w:val="0"/>
            <w:vAlign w:val="center"/>
          </w:tcPr>
          <w:p w14:paraId="7794250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0.00009</w:t>
            </w:r>
          </w:p>
        </w:tc>
        <w:tc>
          <w:tcPr>
            <w:tcW w:w="304" w:type="pct"/>
            <w:tcBorders>
              <w:tl2br w:val="nil"/>
              <w:tr2bl w:val="nil"/>
            </w:tcBorders>
            <w:noWrap w:val="0"/>
            <w:vAlign w:val="center"/>
          </w:tcPr>
          <w:p w14:paraId="78B1AE5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0.00015</w:t>
            </w:r>
          </w:p>
        </w:tc>
        <w:tc>
          <w:tcPr>
            <w:tcW w:w="305" w:type="pct"/>
            <w:tcBorders>
              <w:tl2br w:val="nil"/>
              <w:tr2bl w:val="nil"/>
            </w:tcBorders>
            <w:noWrap w:val="0"/>
            <w:vAlign w:val="center"/>
          </w:tcPr>
          <w:p w14:paraId="2FEAEC8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1DEE4E6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311AD1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restart"/>
            <w:tcBorders>
              <w:tl2br w:val="nil"/>
              <w:tr2bl w:val="nil"/>
            </w:tcBorders>
            <w:noWrap w:val="0"/>
            <w:vAlign w:val="center"/>
          </w:tcPr>
          <w:p w14:paraId="0FD7220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☆48#白荆水库终点处</w:t>
            </w:r>
          </w:p>
        </w:tc>
        <w:tc>
          <w:tcPr>
            <w:tcW w:w="338" w:type="pct"/>
            <w:tcBorders>
              <w:tl2br w:val="nil"/>
              <w:tr2bl w:val="nil"/>
            </w:tcBorders>
            <w:noWrap w:val="0"/>
            <w:vAlign w:val="center"/>
          </w:tcPr>
          <w:p w14:paraId="57D90493">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2022.06.28</w:t>
            </w:r>
          </w:p>
        </w:tc>
        <w:tc>
          <w:tcPr>
            <w:tcW w:w="476" w:type="pct"/>
            <w:vMerge w:val="restart"/>
            <w:tcBorders>
              <w:tl2br w:val="nil"/>
              <w:tr2bl w:val="nil"/>
            </w:tcBorders>
            <w:noWrap w:val="0"/>
            <w:vAlign w:val="center"/>
          </w:tcPr>
          <w:p w14:paraId="036A207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E:113.566142</w:t>
            </w:r>
          </w:p>
          <w:p w14:paraId="34CEE09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N:28.631475</w:t>
            </w:r>
          </w:p>
        </w:tc>
        <w:tc>
          <w:tcPr>
            <w:tcW w:w="309" w:type="pct"/>
            <w:tcBorders>
              <w:tl2br w:val="nil"/>
              <w:tr2bl w:val="nil"/>
            </w:tcBorders>
            <w:noWrap w:val="0"/>
            <w:vAlign w:val="center"/>
          </w:tcPr>
          <w:p w14:paraId="355A4CF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7464E6A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w:t>
            </w:r>
          </w:p>
        </w:tc>
        <w:tc>
          <w:tcPr>
            <w:tcW w:w="290" w:type="pct"/>
            <w:tcBorders>
              <w:tl2br w:val="nil"/>
              <w:tr2bl w:val="nil"/>
            </w:tcBorders>
            <w:noWrap w:val="0"/>
            <w:vAlign w:val="center"/>
          </w:tcPr>
          <w:p w14:paraId="4B46133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08364CA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544096E5">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386F598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0C3FEA2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5823799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0.0095</w:t>
            </w:r>
          </w:p>
        </w:tc>
        <w:tc>
          <w:tcPr>
            <w:tcW w:w="304" w:type="pct"/>
            <w:tcBorders>
              <w:tl2br w:val="nil"/>
              <w:tr2bl w:val="nil"/>
            </w:tcBorders>
            <w:noWrap w:val="0"/>
            <w:vAlign w:val="center"/>
          </w:tcPr>
          <w:p w14:paraId="571172A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7D2F3B2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5" w:type="pct"/>
            <w:tcBorders>
              <w:tl2br w:val="nil"/>
              <w:tr2bl w:val="nil"/>
            </w:tcBorders>
            <w:noWrap w:val="0"/>
            <w:vAlign w:val="center"/>
          </w:tcPr>
          <w:p w14:paraId="685EA4C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1012E63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12C87C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2" w:type="pct"/>
            <w:vMerge w:val="continue"/>
            <w:tcBorders>
              <w:tl2br w:val="nil"/>
              <w:tr2bl w:val="nil"/>
            </w:tcBorders>
            <w:noWrap w:val="0"/>
            <w:vAlign w:val="center"/>
          </w:tcPr>
          <w:p w14:paraId="56E8C4F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38" w:type="pct"/>
            <w:tcBorders>
              <w:tl2br w:val="nil"/>
              <w:tr2bl w:val="nil"/>
            </w:tcBorders>
            <w:noWrap w:val="0"/>
            <w:vAlign w:val="center"/>
          </w:tcPr>
          <w:p w14:paraId="7EC625D6">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2022.06.29</w:t>
            </w:r>
          </w:p>
        </w:tc>
        <w:tc>
          <w:tcPr>
            <w:tcW w:w="476" w:type="pct"/>
            <w:vMerge w:val="continue"/>
            <w:tcBorders>
              <w:tl2br w:val="nil"/>
              <w:tr2bl w:val="nil"/>
            </w:tcBorders>
            <w:noWrap w:val="0"/>
            <w:vAlign w:val="center"/>
          </w:tcPr>
          <w:p w14:paraId="177182B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p>
        </w:tc>
        <w:tc>
          <w:tcPr>
            <w:tcW w:w="309" w:type="pct"/>
            <w:tcBorders>
              <w:tl2br w:val="nil"/>
              <w:tr2bl w:val="nil"/>
            </w:tcBorders>
            <w:noWrap w:val="0"/>
            <w:vAlign w:val="center"/>
          </w:tcPr>
          <w:p w14:paraId="2395BC0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无色、无异味</w:t>
            </w:r>
          </w:p>
        </w:tc>
        <w:tc>
          <w:tcPr>
            <w:tcW w:w="260" w:type="pct"/>
            <w:tcBorders>
              <w:tl2br w:val="nil"/>
              <w:tr2bl w:val="nil"/>
            </w:tcBorders>
            <w:noWrap w:val="0"/>
            <w:vAlign w:val="center"/>
          </w:tcPr>
          <w:p w14:paraId="0F4E4CF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w:t>
            </w:r>
          </w:p>
        </w:tc>
        <w:tc>
          <w:tcPr>
            <w:tcW w:w="290" w:type="pct"/>
            <w:tcBorders>
              <w:tl2br w:val="nil"/>
              <w:tr2bl w:val="nil"/>
            </w:tcBorders>
            <w:noWrap w:val="0"/>
            <w:vAlign w:val="center"/>
          </w:tcPr>
          <w:p w14:paraId="7B5348F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272" w:type="pct"/>
            <w:tcBorders>
              <w:tl2br w:val="nil"/>
              <w:tr2bl w:val="nil"/>
            </w:tcBorders>
            <w:noWrap w:val="0"/>
            <w:vAlign w:val="center"/>
          </w:tcPr>
          <w:p w14:paraId="49F072D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14B7B99A">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3" w:type="pct"/>
            <w:tcBorders>
              <w:tl2br w:val="nil"/>
              <w:tr2bl w:val="nil"/>
            </w:tcBorders>
            <w:noWrap w:val="0"/>
            <w:vAlign w:val="center"/>
          </w:tcPr>
          <w:p w14:paraId="5592AF5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4201B28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4" w:type="pct"/>
            <w:tcBorders>
              <w:tl2br w:val="nil"/>
              <w:tr2bl w:val="nil"/>
            </w:tcBorders>
            <w:noWrap w:val="0"/>
            <w:vAlign w:val="center"/>
          </w:tcPr>
          <w:p w14:paraId="79D915A2">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0.0084</w:t>
            </w:r>
          </w:p>
        </w:tc>
        <w:tc>
          <w:tcPr>
            <w:tcW w:w="304" w:type="pct"/>
            <w:tcBorders>
              <w:tl2br w:val="nil"/>
              <w:tr2bl w:val="nil"/>
            </w:tcBorders>
            <w:noWrap w:val="0"/>
            <w:vAlign w:val="center"/>
          </w:tcPr>
          <w:p w14:paraId="7948891F">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0.00005</w:t>
            </w:r>
          </w:p>
        </w:tc>
        <w:tc>
          <w:tcPr>
            <w:tcW w:w="304" w:type="pct"/>
            <w:tcBorders>
              <w:tl2br w:val="nil"/>
              <w:tr2bl w:val="nil"/>
            </w:tcBorders>
            <w:noWrap w:val="0"/>
            <w:vAlign w:val="center"/>
          </w:tcPr>
          <w:p w14:paraId="2669CA6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05" w:type="pct"/>
            <w:tcBorders>
              <w:tl2br w:val="nil"/>
              <w:tr2bl w:val="nil"/>
            </w:tcBorders>
            <w:noWrap w:val="0"/>
            <w:vAlign w:val="center"/>
          </w:tcPr>
          <w:p w14:paraId="3D60D51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c>
          <w:tcPr>
            <w:tcW w:w="330" w:type="pct"/>
            <w:tcBorders>
              <w:tl2br w:val="nil"/>
              <w:tr2bl w:val="nil"/>
            </w:tcBorders>
            <w:noWrap w:val="0"/>
            <w:vAlign w:val="center"/>
          </w:tcPr>
          <w:p w14:paraId="3C87CBB4">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ND</w:t>
            </w:r>
          </w:p>
        </w:tc>
      </w:tr>
      <w:tr w14:paraId="711C82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717" w:type="pct"/>
            <w:gridSpan w:val="4"/>
            <w:tcBorders>
              <w:tl2br w:val="nil"/>
              <w:tr2bl w:val="nil"/>
            </w:tcBorders>
            <w:noWrap w:val="0"/>
            <w:vAlign w:val="center"/>
          </w:tcPr>
          <w:p w14:paraId="56AD417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限值</w:t>
            </w:r>
          </w:p>
        </w:tc>
        <w:tc>
          <w:tcPr>
            <w:tcW w:w="260" w:type="pct"/>
            <w:tcBorders>
              <w:tl2br w:val="nil"/>
              <w:tr2bl w:val="nil"/>
            </w:tcBorders>
            <w:noWrap w:val="0"/>
            <w:vAlign w:val="center"/>
          </w:tcPr>
          <w:p w14:paraId="7B13DB3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6~9</w:t>
            </w:r>
          </w:p>
        </w:tc>
        <w:tc>
          <w:tcPr>
            <w:tcW w:w="290" w:type="pct"/>
            <w:tcBorders>
              <w:tl2br w:val="nil"/>
              <w:tr2bl w:val="nil"/>
            </w:tcBorders>
            <w:noWrap w:val="0"/>
            <w:vAlign w:val="center"/>
          </w:tcPr>
          <w:p w14:paraId="68C341B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0.2</w:t>
            </w:r>
          </w:p>
        </w:tc>
        <w:tc>
          <w:tcPr>
            <w:tcW w:w="272" w:type="pct"/>
            <w:tcBorders>
              <w:tl2br w:val="nil"/>
              <w:tr2bl w:val="nil"/>
            </w:tcBorders>
            <w:noWrap w:val="0"/>
            <w:vAlign w:val="center"/>
          </w:tcPr>
          <w:p w14:paraId="17EFAAD0">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w:t>
            </w:r>
          </w:p>
        </w:tc>
        <w:tc>
          <w:tcPr>
            <w:tcW w:w="303" w:type="pct"/>
            <w:tcBorders>
              <w:tl2br w:val="nil"/>
              <w:tr2bl w:val="nil"/>
            </w:tcBorders>
            <w:noWrap w:val="0"/>
            <w:vAlign w:val="center"/>
          </w:tcPr>
          <w:p w14:paraId="09549D49">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0.02</w:t>
            </w:r>
          </w:p>
        </w:tc>
        <w:tc>
          <w:tcPr>
            <w:tcW w:w="303" w:type="pct"/>
            <w:tcBorders>
              <w:tl2br w:val="nil"/>
              <w:tr2bl w:val="nil"/>
            </w:tcBorders>
            <w:noWrap w:val="0"/>
            <w:vAlign w:val="center"/>
          </w:tcPr>
          <w:p w14:paraId="4A29A27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1.0</w:t>
            </w:r>
          </w:p>
        </w:tc>
        <w:tc>
          <w:tcPr>
            <w:tcW w:w="304" w:type="pct"/>
            <w:tcBorders>
              <w:tl2br w:val="nil"/>
              <w:tr2bl w:val="nil"/>
            </w:tcBorders>
            <w:noWrap w:val="0"/>
            <w:vAlign w:val="center"/>
          </w:tcPr>
          <w:p w14:paraId="23A17B6C">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1.0</w:t>
            </w:r>
          </w:p>
        </w:tc>
        <w:tc>
          <w:tcPr>
            <w:tcW w:w="304" w:type="pct"/>
            <w:tcBorders>
              <w:tl2br w:val="nil"/>
              <w:tr2bl w:val="nil"/>
            </w:tcBorders>
            <w:noWrap w:val="0"/>
            <w:vAlign w:val="center"/>
          </w:tcPr>
          <w:p w14:paraId="6DFD2F9E">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0.05</w:t>
            </w:r>
          </w:p>
        </w:tc>
        <w:tc>
          <w:tcPr>
            <w:tcW w:w="304" w:type="pct"/>
            <w:tcBorders>
              <w:tl2br w:val="nil"/>
              <w:tr2bl w:val="nil"/>
            </w:tcBorders>
            <w:noWrap w:val="0"/>
            <w:vAlign w:val="center"/>
          </w:tcPr>
          <w:p w14:paraId="23E6CAD8">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0.005</w:t>
            </w:r>
          </w:p>
        </w:tc>
        <w:tc>
          <w:tcPr>
            <w:tcW w:w="304" w:type="pct"/>
            <w:tcBorders>
              <w:tl2br w:val="nil"/>
              <w:tr2bl w:val="nil"/>
            </w:tcBorders>
            <w:noWrap w:val="0"/>
            <w:vAlign w:val="center"/>
          </w:tcPr>
          <w:p w14:paraId="7EBE7CFD">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0.05</w:t>
            </w:r>
          </w:p>
        </w:tc>
        <w:tc>
          <w:tcPr>
            <w:tcW w:w="305" w:type="pct"/>
            <w:tcBorders>
              <w:tl2br w:val="nil"/>
              <w:tr2bl w:val="nil"/>
            </w:tcBorders>
            <w:noWrap w:val="0"/>
            <w:vAlign w:val="center"/>
          </w:tcPr>
          <w:p w14:paraId="528CA541">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0.0001</w:t>
            </w:r>
          </w:p>
        </w:tc>
        <w:tc>
          <w:tcPr>
            <w:tcW w:w="330" w:type="pct"/>
            <w:tcBorders>
              <w:tl2br w:val="nil"/>
              <w:tr2bl w:val="nil"/>
            </w:tcBorders>
            <w:noWrap w:val="0"/>
            <w:vAlign w:val="center"/>
          </w:tcPr>
          <w:p w14:paraId="773E7E97">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default" w:ascii="Times New Roman" w:hAnsi="Times New Roman" w:eastAsia="宋体" w:cs="Times New Roman"/>
                <w:snapToGrid w:val="0"/>
                <w:color w:val="auto"/>
                <w:spacing w:val="0"/>
                <w:w w:val="100"/>
                <w:kern w:val="0"/>
                <w:position w:val="0"/>
                <w:sz w:val="21"/>
                <w:szCs w:val="21"/>
                <w:lang w:val="en-US" w:eastAsia="en-US" w:bidi="ar-SA"/>
              </w:rPr>
              <w:t>0.05</w:t>
            </w:r>
          </w:p>
        </w:tc>
      </w:tr>
      <w:tr w14:paraId="46075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15"/>
            <w:tcBorders>
              <w:tl2br w:val="nil"/>
              <w:tr2bl w:val="nil"/>
            </w:tcBorders>
            <w:noWrap w:val="0"/>
            <w:vAlign w:val="center"/>
          </w:tcPr>
          <w:p w14:paraId="0EBAEC4B">
            <w:pPr>
              <w:keepNext w:val="0"/>
              <w:keepLines w:val="0"/>
              <w:pageBreakBefore w:val="0"/>
              <w:widowControl w:val="0"/>
              <w:kinsoku/>
              <w:wordWrap/>
              <w:overflowPunct/>
              <w:topLinePunct w:val="0"/>
              <w:autoSpaceDE/>
              <w:autoSpaceDN/>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auto"/>
                <w:spacing w:val="0"/>
                <w:w w:val="100"/>
                <w:kern w:val="0"/>
                <w:position w:val="0"/>
                <w:sz w:val="21"/>
                <w:szCs w:val="21"/>
                <w:lang w:val="en-US" w:eastAsia="en-US" w:bidi="ar-SA"/>
              </w:rPr>
            </w:pPr>
            <w:r>
              <w:rPr>
                <w:rFonts w:hint="eastAsia"/>
                <w:b/>
                <w:bCs/>
                <w:sz w:val="21"/>
                <w:szCs w:val="21"/>
                <w:highlight w:val="none"/>
                <w:vertAlign w:val="baseline"/>
                <w:lang w:val="en-US" w:eastAsia="zh-CN"/>
              </w:rPr>
              <w:t>注：“ND”表示未检出。</w:t>
            </w:r>
          </w:p>
        </w:tc>
      </w:tr>
    </w:tbl>
    <w:p w14:paraId="2F6243C7">
      <w:pPr>
        <w:bidi w:val="0"/>
        <w:rPr>
          <w:rFonts w:hint="default"/>
          <w:sz w:val="24"/>
          <w:szCs w:val="24"/>
          <w:lang w:val="en-US" w:eastAsia="zh-CN"/>
        </w:rPr>
      </w:pPr>
      <w:r>
        <w:rPr>
          <w:rFonts w:hint="default"/>
          <w:sz w:val="24"/>
          <w:szCs w:val="24"/>
          <w:lang w:val="en-US" w:eastAsia="zh-CN"/>
        </w:rPr>
        <w:t>由表</w:t>
      </w:r>
      <w:r>
        <w:rPr>
          <w:rFonts w:hint="eastAsia"/>
          <w:sz w:val="24"/>
          <w:szCs w:val="24"/>
          <w:lang w:val="en-US" w:eastAsia="zh-CN"/>
        </w:rPr>
        <w:t>3.1-16</w:t>
      </w:r>
      <w:r>
        <w:rPr>
          <w:rFonts w:hint="default"/>
          <w:sz w:val="24"/>
          <w:szCs w:val="24"/>
          <w:lang w:val="en-US" w:eastAsia="zh-CN"/>
        </w:rPr>
        <w:t>可知：地表水共</w:t>
      </w:r>
      <w:r>
        <w:rPr>
          <w:rFonts w:hint="eastAsia"/>
          <w:sz w:val="24"/>
          <w:szCs w:val="24"/>
          <w:lang w:val="en-US" w:eastAsia="zh-CN"/>
        </w:rPr>
        <w:t>布设5</w:t>
      </w:r>
      <w:r>
        <w:rPr>
          <w:rFonts w:hint="default"/>
          <w:sz w:val="24"/>
          <w:szCs w:val="24"/>
          <w:lang w:val="en-US" w:eastAsia="zh-CN"/>
        </w:rPr>
        <w:t>个检测点位，检测指标11项，结果分析如下：</w:t>
      </w:r>
    </w:p>
    <w:p w14:paraId="10780677">
      <w:pPr>
        <w:keepNext w:val="0"/>
        <w:keepLines w:val="0"/>
        <w:pageBreakBefore w:val="0"/>
        <w:widowControl w:val="0"/>
        <w:kinsoku/>
        <w:wordWrap/>
        <w:overflowPunct/>
        <w:topLinePunct w:val="0"/>
        <w:autoSpaceDE/>
        <w:autoSpaceDN/>
        <w:bidi w:val="0"/>
        <w:adjustRightInd/>
        <w:snapToGrid/>
        <w:textAlignment w:val="auto"/>
        <w:rPr>
          <w:rFonts w:hint="default"/>
          <w:sz w:val="24"/>
          <w:szCs w:val="24"/>
          <w:lang w:val="en-US" w:eastAsia="zh-CN"/>
        </w:rPr>
      </w:pPr>
      <w:r>
        <w:rPr>
          <w:rFonts w:hint="default"/>
          <w:sz w:val="24"/>
          <w:szCs w:val="24"/>
          <w:lang w:val="en-US" w:eastAsia="zh-CN"/>
        </w:rPr>
        <w:t>1）2号废渣点内水塘</w:t>
      </w:r>
      <w:r>
        <w:rPr>
          <w:rFonts w:hint="eastAsia"/>
          <w:sz w:val="24"/>
          <w:szCs w:val="24"/>
          <w:lang w:val="en-US" w:eastAsia="zh-CN"/>
        </w:rPr>
        <w:t>（</w:t>
      </w:r>
      <w:r>
        <w:rPr>
          <w:rFonts w:hint="default"/>
          <w:sz w:val="24"/>
          <w:szCs w:val="24"/>
          <w:lang w:val="en-US" w:eastAsia="zh-CN"/>
        </w:rPr>
        <w:t>☆46</w:t>
      </w:r>
      <w:r>
        <w:rPr>
          <w:rFonts w:hint="eastAsia"/>
          <w:sz w:val="24"/>
          <w:szCs w:val="24"/>
          <w:lang w:val="en-US" w:eastAsia="zh-CN"/>
        </w:rPr>
        <w:t>）</w:t>
      </w:r>
      <w:r>
        <w:rPr>
          <w:rFonts w:hint="default"/>
          <w:sz w:val="24"/>
          <w:szCs w:val="24"/>
          <w:lang w:val="en-US" w:eastAsia="zh-CN"/>
        </w:rPr>
        <w:t>、万古村2号废渣下游径流小溪</w:t>
      </w:r>
      <w:r>
        <w:rPr>
          <w:rFonts w:hint="eastAsia"/>
          <w:sz w:val="24"/>
          <w:szCs w:val="24"/>
          <w:lang w:val="en-US" w:eastAsia="zh-CN"/>
        </w:rPr>
        <w:t>（</w:t>
      </w:r>
      <w:r>
        <w:rPr>
          <w:rFonts w:hint="default"/>
          <w:sz w:val="24"/>
          <w:szCs w:val="24"/>
          <w:lang w:val="en-US" w:eastAsia="zh-CN"/>
        </w:rPr>
        <w:t>☆53</w:t>
      </w:r>
      <w:r>
        <w:rPr>
          <w:rFonts w:hint="eastAsia"/>
          <w:sz w:val="24"/>
          <w:szCs w:val="24"/>
          <w:lang w:val="en-US" w:eastAsia="zh-CN"/>
        </w:rPr>
        <w:t>）</w:t>
      </w:r>
      <w:r>
        <w:rPr>
          <w:rFonts w:hint="default"/>
          <w:sz w:val="24"/>
          <w:szCs w:val="24"/>
          <w:lang w:val="en-US" w:eastAsia="zh-CN"/>
        </w:rPr>
        <w:t>砷检测结果超过《地表水环境质量标准》（GB3838-2002）表1中Ⅲ类标准限值。</w:t>
      </w:r>
    </w:p>
    <w:p w14:paraId="0AC202C4">
      <w:pPr>
        <w:keepNext w:val="0"/>
        <w:keepLines w:val="0"/>
        <w:pageBreakBefore w:val="0"/>
        <w:widowControl w:val="0"/>
        <w:kinsoku/>
        <w:wordWrap/>
        <w:overflowPunct/>
        <w:topLinePunct w:val="0"/>
        <w:autoSpaceDE/>
        <w:autoSpaceDN/>
        <w:bidi w:val="0"/>
        <w:adjustRightInd/>
        <w:snapToGrid/>
        <w:textAlignment w:val="auto"/>
        <w:rPr>
          <w:rFonts w:hint="default"/>
          <w:sz w:val="24"/>
          <w:szCs w:val="24"/>
          <w:lang w:val="en-US" w:eastAsia="zh-CN"/>
        </w:rPr>
      </w:pPr>
      <w:r>
        <w:rPr>
          <w:rFonts w:hint="default"/>
          <w:sz w:val="24"/>
          <w:szCs w:val="24"/>
          <w:lang w:val="en-US" w:eastAsia="zh-CN"/>
        </w:rPr>
        <w:t>2）</w:t>
      </w:r>
      <w:r>
        <w:rPr>
          <w:rFonts w:hint="eastAsia"/>
          <w:sz w:val="24"/>
          <w:szCs w:val="24"/>
          <w:lang w:val="en-US" w:eastAsia="zh-CN"/>
        </w:rPr>
        <w:t>1</w:t>
      </w:r>
      <w:r>
        <w:rPr>
          <w:rFonts w:hint="default"/>
          <w:sz w:val="24"/>
          <w:szCs w:val="24"/>
          <w:lang w:val="en-US" w:eastAsia="zh-CN"/>
        </w:rPr>
        <w:t>号废渣点上方水塘</w:t>
      </w:r>
      <w:r>
        <w:rPr>
          <w:rFonts w:hint="eastAsia"/>
          <w:sz w:val="24"/>
          <w:szCs w:val="24"/>
          <w:lang w:val="en-US" w:eastAsia="zh-CN"/>
        </w:rPr>
        <w:t>（</w:t>
      </w:r>
      <w:r>
        <w:rPr>
          <w:rFonts w:hint="default"/>
          <w:sz w:val="24"/>
          <w:szCs w:val="24"/>
          <w:lang w:val="en-US" w:eastAsia="zh-CN"/>
        </w:rPr>
        <w:t>☆43</w:t>
      </w:r>
      <w:r>
        <w:rPr>
          <w:rFonts w:hint="eastAsia"/>
          <w:sz w:val="24"/>
          <w:szCs w:val="24"/>
          <w:lang w:val="en-US" w:eastAsia="zh-CN"/>
        </w:rPr>
        <w:t>）</w:t>
      </w:r>
      <w:r>
        <w:rPr>
          <w:rFonts w:hint="default"/>
          <w:sz w:val="24"/>
          <w:szCs w:val="24"/>
          <w:lang w:val="en-US" w:eastAsia="zh-CN"/>
        </w:rPr>
        <w:t>、万古水库废渣点下游</w:t>
      </w:r>
      <w:r>
        <w:rPr>
          <w:rFonts w:hint="eastAsia"/>
          <w:sz w:val="24"/>
          <w:szCs w:val="24"/>
          <w:lang w:val="en-US" w:eastAsia="zh-CN"/>
        </w:rPr>
        <w:t>5</w:t>
      </w:r>
      <w:r>
        <w:rPr>
          <w:rFonts w:hint="default"/>
          <w:sz w:val="24"/>
          <w:szCs w:val="24"/>
          <w:lang w:val="en-US" w:eastAsia="zh-CN"/>
        </w:rPr>
        <w:t>0</w:t>
      </w:r>
      <w:r>
        <w:rPr>
          <w:rFonts w:hint="eastAsia"/>
          <w:sz w:val="24"/>
          <w:szCs w:val="24"/>
          <w:lang w:val="en-US" w:eastAsia="zh-CN"/>
        </w:rPr>
        <w:t>5</w:t>
      </w:r>
      <w:r>
        <w:rPr>
          <w:rFonts w:hint="default"/>
          <w:sz w:val="24"/>
          <w:szCs w:val="24"/>
          <w:lang w:val="en-US" w:eastAsia="zh-CN"/>
        </w:rPr>
        <w:t>米</w:t>
      </w:r>
      <w:r>
        <w:rPr>
          <w:rFonts w:hint="eastAsia"/>
          <w:sz w:val="24"/>
          <w:szCs w:val="24"/>
          <w:lang w:val="en-US" w:eastAsia="zh-CN"/>
        </w:rPr>
        <w:t>（</w:t>
      </w:r>
      <w:r>
        <w:rPr>
          <w:rFonts w:hint="default"/>
          <w:sz w:val="24"/>
          <w:szCs w:val="24"/>
          <w:lang w:val="en-US" w:eastAsia="zh-CN"/>
        </w:rPr>
        <w:t>☆47）、白荆水库终点处</w:t>
      </w:r>
      <w:r>
        <w:rPr>
          <w:rFonts w:hint="eastAsia"/>
          <w:sz w:val="24"/>
          <w:szCs w:val="24"/>
          <w:lang w:val="en-US" w:eastAsia="zh-CN"/>
        </w:rPr>
        <w:t>（</w:t>
      </w:r>
      <w:r>
        <w:rPr>
          <w:rFonts w:hint="default"/>
          <w:sz w:val="24"/>
          <w:szCs w:val="24"/>
          <w:lang w:val="en-US" w:eastAsia="zh-CN"/>
        </w:rPr>
        <w:t>☆48）检测结果均未超过《地表水环境质量标准》（GB3838-2002）表</w:t>
      </w:r>
      <w:r>
        <w:rPr>
          <w:rFonts w:hint="eastAsia"/>
          <w:sz w:val="24"/>
          <w:szCs w:val="24"/>
          <w:lang w:val="en-US" w:eastAsia="zh-CN"/>
        </w:rPr>
        <w:t>1</w:t>
      </w:r>
      <w:r>
        <w:rPr>
          <w:rFonts w:hint="default"/>
          <w:sz w:val="24"/>
          <w:szCs w:val="24"/>
          <w:lang w:val="en-US" w:eastAsia="zh-CN"/>
        </w:rPr>
        <w:t>中Ⅲ类标准限值。</w:t>
      </w:r>
    </w:p>
    <w:p w14:paraId="474ECFC5">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r>
        <w:rPr>
          <w:rFonts w:hint="default"/>
          <w:sz w:val="24"/>
          <w:szCs w:val="24"/>
          <w:lang w:val="en-US" w:eastAsia="zh-CN"/>
        </w:rPr>
        <w:t>综上，区域地表水检测结果表明，</w:t>
      </w:r>
      <w:r>
        <w:rPr>
          <w:rFonts w:hint="eastAsia"/>
          <w:sz w:val="24"/>
          <w:szCs w:val="24"/>
          <w:lang w:val="en-US" w:eastAsia="zh-CN"/>
        </w:rPr>
        <w:t>1</w:t>
      </w:r>
      <w:r>
        <w:rPr>
          <w:rFonts w:hint="default"/>
          <w:sz w:val="24"/>
          <w:szCs w:val="24"/>
          <w:lang w:val="en-US" w:eastAsia="zh-CN"/>
        </w:rPr>
        <w:t>号废渣点上方水塘</w:t>
      </w:r>
      <w:r>
        <w:rPr>
          <w:rFonts w:hint="eastAsia"/>
          <w:sz w:val="24"/>
          <w:szCs w:val="24"/>
          <w:lang w:val="en-US" w:eastAsia="zh-CN"/>
        </w:rPr>
        <w:t>（</w:t>
      </w:r>
      <w:r>
        <w:rPr>
          <w:rFonts w:hint="default"/>
          <w:sz w:val="24"/>
          <w:szCs w:val="24"/>
          <w:lang w:val="en-US" w:eastAsia="zh-CN"/>
        </w:rPr>
        <w:t>☆43）水质检测结果没有超标情况，废渣堆上游水质环境较好，没有受到废渣堆影响；万古水库废渣点下游50米</w:t>
      </w:r>
      <w:r>
        <w:rPr>
          <w:rFonts w:hint="eastAsia"/>
          <w:sz w:val="24"/>
          <w:szCs w:val="24"/>
          <w:lang w:val="en-US" w:eastAsia="zh-CN"/>
        </w:rPr>
        <w:t>（</w:t>
      </w:r>
      <w:r>
        <w:rPr>
          <w:rFonts w:hint="default"/>
          <w:sz w:val="24"/>
          <w:szCs w:val="24"/>
          <w:lang w:val="en-US" w:eastAsia="zh-CN"/>
        </w:rPr>
        <w:t>☆47）、白荆水库终点处</w:t>
      </w:r>
      <w:r>
        <w:rPr>
          <w:rFonts w:hint="eastAsia"/>
          <w:sz w:val="24"/>
          <w:szCs w:val="24"/>
          <w:lang w:val="en-US" w:eastAsia="zh-CN"/>
        </w:rPr>
        <w:t>（</w:t>
      </w:r>
      <w:r>
        <w:rPr>
          <w:rFonts w:hint="default"/>
          <w:sz w:val="24"/>
          <w:szCs w:val="24"/>
          <w:lang w:val="en-US" w:eastAsia="zh-CN"/>
        </w:rPr>
        <w:t>☆48）水质检测指标浓度无明显上升，废渣堆对白荆水库水质影响较小；2号废渣点内水塘</w:t>
      </w:r>
      <w:r>
        <w:rPr>
          <w:rFonts w:hint="eastAsia"/>
          <w:sz w:val="24"/>
          <w:szCs w:val="24"/>
          <w:lang w:val="en-US" w:eastAsia="zh-CN"/>
        </w:rPr>
        <w:t>（</w:t>
      </w:r>
      <w:r>
        <w:rPr>
          <w:rFonts w:hint="default"/>
          <w:sz w:val="24"/>
          <w:szCs w:val="24"/>
          <w:lang w:val="en-US" w:eastAsia="zh-CN"/>
        </w:rPr>
        <w:t>☆46）、万古村2号废渣下游径流小溪</w:t>
      </w:r>
      <w:r>
        <w:rPr>
          <w:rFonts w:hint="eastAsia"/>
          <w:sz w:val="24"/>
          <w:szCs w:val="24"/>
          <w:lang w:val="en-US" w:eastAsia="zh-CN"/>
        </w:rPr>
        <w:t>（</w:t>
      </w:r>
      <w:r>
        <w:rPr>
          <w:rFonts w:hint="default"/>
          <w:sz w:val="24"/>
          <w:szCs w:val="24"/>
          <w:lang w:val="en-US" w:eastAsia="zh-CN"/>
        </w:rPr>
        <w:t>☆53）水质检测指标砷明显有超标情况，废渣堆在常年雨水冲刷下，产生的重金属浸出液对流经废渣堆内地表径流水质有影响</w:t>
      </w:r>
      <w:r>
        <w:rPr>
          <w:rFonts w:hint="eastAsia"/>
          <w:sz w:val="24"/>
          <w:szCs w:val="24"/>
          <w:lang w:val="en-US" w:eastAsia="zh-CN"/>
        </w:rPr>
        <w:t>。</w:t>
      </w:r>
    </w:p>
    <w:p w14:paraId="45BA4B8E">
      <w:pPr>
        <w:bidi w:val="0"/>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表3.1-20  地表水检测结果一览表    单位：mg/L，pH（无量纲）</w:t>
      </w:r>
    </w:p>
    <w:p w14:paraId="00E68690">
      <w:pPr>
        <w:widowControl/>
        <w:kinsoku w:val="0"/>
        <w:autoSpaceDE w:val="0"/>
        <w:autoSpaceDN w:val="0"/>
        <w:adjustRightInd w:val="0"/>
        <w:snapToGrid w:val="0"/>
        <w:spacing w:line="130" w:lineRule="auto"/>
        <w:ind w:firstLine="0" w:firstLineChars="0"/>
        <w:jc w:val="left"/>
        <w:textAlignment w:val="baseline"/>
        <w:rPr>
          <w:rFonts w:ascii="Arial" w:hAnsi="Arial" w:eastAsia="Arial" w:cs="Arial"/>
          <w:snapToGrid w:val="0"/>
          <w:color w:val="000000"/>
          <w:kern w:val="0"/>
          <w:sz w:val="2"/>
          <w:szCs w:val="21"/>
          <w:lang w:eastAsia="en-US"/>
        </w:rPr>
      </w:pPr>
    </w:p>
    <w:tbl>
      <w:tblPr>
        <w:tblStyle w:val="111"/>
        <w:tblW w:w="14172" w:type="dxa"/>
        <w:tblInd w:w="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901"/>
        <w:gridCol w:w="1261"/>
        <w:gridCol w:w="1513"/>
        <w:gridCol w:w="1604"/>
        <w:gridCol w:w="1148"/>
        <w:gridCol w:w="729"/>
        <w:gridCol w:w="1149"/>
        <w:gridCol w:w="867"/>
      </w:tblGrid>
      <w:tr w14:paraId="3B6898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01" w:type="dxa"/>
            <w:tcBorders>
              <w:tl2br w:val="nil"/>
              <w:tr2bl w:val="nil"/>
            </w:tcBorders>
            <w:noWrap w:val="0"/>
            <w:vAlign w:val="center"/>
          </w:tcPr>
          <w:p w14:paraId="54E1305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采样点位</w:t>
            </w:r>
          </w:p>
        </w:tc>
        <w:tc>
          <w:tcPr>
            <w:tcW w:w="1261" w:type="dxa"/>
            <w:tcBorders>
              <w:tl2br w:val="nil"/>
              <w:tr2bl w:val="nil"/>
            </w:tcBorders>
            <w:noWrap w:val="0"/>
            <w:vAlign w:val="center"/>
          </w:tcPr>
          <w:p w14:paraId="4677DC2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采样日期</w:t>
            </w:r>
          </w:p>
        </w:tc>
        <w:tc>
          <w:tcPr>
            <w:tcW w:w="1513" w:type="dxa"/>
            <w:tcBorders>
              <w:tl2br w:val="nil"/>
              <w:tr2bl w:val="nil"/>
            </w:tcBorders>
            <w:noWrap w:val="0"/>
            <w:vAlign w:val="center"/>
          </w:tcPr>
          <w:p w14:paraId="032824D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zh-CN" w:bidi="ar-SA"/>
              </w:rPr>
              <w:t>经纬度（°）</w:t>
            </w:r>
          </w:p>
        </w:tc>
        <w:tc>
          <w:tcPr>
            <w:tcW w:w="1604" w:type="dxa"/>
            <w:tcBorders>
              <w:tl2br w:val="nil"/>
              <w:tr2bl w:val="nil"/>
            </w:tcBorders>
            <w:noWrap w:val="0"/>
            <w:vAlign w:val="center"/>
          </w:tcPr>
          <w:p w14:paraId="0BE4320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样品状态</w:t>
            </w:r>
          </w:p>
        </w:tc>
        <w:tc>
          <w:tcPr>
            <w:tcW w:w="1148" w:type="dxa"/>
            <w:tcBorders>
              <w:tl2br w:val="nil"/>
              <w:tr2bl w:val="nil"/>
            </w:tcBorders>
            <w:noWrap w:val="0"/>
            <w:vAlign w:val="center"/>
          </w:tcPr>
          <w:p w14:paraId="438D0F9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检测项目</w:t>
            </w:r>
          </w:p>
        </w:tc>
        <w:tc>
          <w:tcPr>
            <w:tcW w:w="729" w:type="dxa"/>
            <w:tcBorders>
              <w:tl2br w:val="nil"/>
              <w:tr2bl w:val="nil"/>
            </w:tcBorders>
            <w:noWrap w:val="0"/>
            <w:vAlign w:val="center"/>
          </w:tcPr>
          <w:p w14:paraId="499CF18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单位</w:t>
            </w:r>
          </w:p>
        </w:tc>
        <w:tc>
          <w:tcPr>
            <w:tcW w:w="1149" w:type="dxa"/>
            <w:tcBorders>
              <w:tl2br w:val="nil"/>
              <w:tr2bl w:val="nil"/>
            </w:tcBorders>
            <w:noWrap w:val="0"/>
            <w:vAlign w:val="center"/>
          </w:tcPr>
          <w:p w14:paraId="231330C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检测结果</w:t>
            </w:r>
          </w:p>
        </w:tc>
        <w:tc>
          <w:tcPr>
            <w:tcW w:w="867" w:type="dxa"/>
            <w:tcBorders>
              <w:tl2br w:val="nil"/>
              <w:tr2bl w:val="nil"/>
            </w:tcBorders>
            <w:noWrap w:val="0"/>
            <w:vAlign w:val="center"/>
          </w:tcPr>
          <w:p w14:paraId="397915D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b/>
                <w:bCs/>
                <w:snapToGrid w:val="0"/>
                <w:color w:val="000000"/>
                <w:spacing w:val="0"/>
                <w:w w:val="100"/>
                <w:kern w:val="0"/>
                <w:position w:val="0"/>
                <w:sz w:val="21"/>
                <w:szCs w:val="21"/>
                <w:lang w:eastAsia="en-US"/>
              </w:rPr>
              <w:t>限值</w:t>
            </w:r>
          </w:p>
        </w:tc>
      </w:tr>
      <w:tr w14:paraId="6DE3B4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01" w:type="dxa"/>
            <w:tcBorders>
              <w:tl2br w:val="nil"/>
              <w:tr2bl w:val="nil"/>
            </w:tcBorders>
            <w:noWrap w:val="0"/>
            <w:vAlign w:val="center"/>
          </w:tcPr>
          <w:p w14:paraId="3FE2D47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☆49#东南侧小河万古村</w:t>
            </w:r>
            <w:r>
              <w:rPr>
                <w:rFonts w:hint="eastAsia" w:ascii="Times New Roman" w:hAnsi="Times New Roman" w:eastAsia="宋体" w:cs="Times New Roman"/>
                <w:snapToGrid w:val="0"/>
                <w:color w:val="000000"/>
                <w:spacing w:val="0"/>
                <w:w w:val="100"/>
                <w:kern w:val="0"/>
                <w:position w:val="0"/>
                <w:sz w:val="21"/>
                <w:szCs w:val="21"/>
                <w:lang w:val="en-US" w:eastAsia="zh-CN" w:bidi="ar-SA"/>
              </w:rPr>
              <w:t>1、2</w:t>
            </w:r>
            <w:r>
              <w:rPr>
                <w:rFonts w:hint="default" w:ascii="Times New Roman" w:hAnsi="Times New Roman" w:eastAsia="宋体" w:cs="Times New Roman"/>
                <w:snapToGrid w:val="0"/>
                <w:color w:val="000000"/>
                <w:spacing w:val="0"/>
                <w:w w:val="100"/>
                <w:kern w:val="0"/>
                <w:position w:val="0"/>
                <w:sz w:val="21"/>
                <w:szCs w:val="21"/>
                <w:lang w:val="en-US" w:eastAsia="en-US" w:bidi="ar-SA"/>
              </w:rPr>
              <w:t>号废渣堆处上游100m断面</w:t>
            </w:r>
          </w:p>
        </w:tc>
        <w:tc>
          <w:tcPr>
            <w:tcW w:w="1261" w:type="dxa"/>
            <w:tcBorders>
              <w:tl2br w:val="nil"/>
              <w:tr2bl w:val="nil"/>
            </w:tcBorders>
            <w:noWrap w:val="0"/>
            <w:vAlign w:val="center"/>
          </w:tcPr>
          <w:p w14:paraId="36F7F0A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2022.07.30</w:t>
            </w:r>
          </w:p>
        </w:tc>
        <w:tc>
          <w:tcPr>
            <w:tcW w:w="1513" w:type="dxa"/>
            <w:tcBorders>
              <w:tl2br w:val="nil"/>
              <w:tr2bl w:val="nil"/>
            </w:tcBorders>
            <w:noWrap w:val="0"/>
            <w:vAlign w:val="center"/>
          </w:tcPr>
          <w:p w14:paraId="01FCDCD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E:113.573786</w:t>
            </w:r>
          </w:p>
          <w:p w14:paraId="40A1515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N:28.626578</w:t>
            </w:r>
          </w:p>
        </w:tc>
        <w:tc>
          <w:tcPr>
            <w:tcW w:w="1604" w:type="dxa"/>
            <w:tcBorders>
              <w:tl2br w:val="nil"/>
              <w:tr2bl w:val="nil"/>
            </w:tcBorders>
            <w:noWrap w:val="0"/>
            <w:vAlign w:val="center"/>
          </w:tcPr>
          <w:p w14:paraId="2F9EE6B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snapToGrid w:val="0"/>
                <w:color w:val="000000"/>
                <w:spacing w:val="0"/>
                <w:w w:val="100"/>
                <w:kern w:val="0"/>
                <w:position w:val="0"/>
                <w:sz w:val="21"/>
                <w:szCs w:val="21"/>
                <w:lang w:eastAsia="en-US"/>
              </w:rPr>
              <w:t>无色，无异味</w:t>
            </w:r>
          </w:p>
        </w:tc>
        <w:tc>
          <w:tcPr>
            <w:tcW w:w="1148" w:type="dxa"/>
            <w:tcBorders>
              <w:tl2br w:val="nil"/>
              <w:tr2bl w:val="nil"/>
            </w:tcBorders>
            <w:noWrap w:val="0"/>
            <w:vAlign w:val="center"/>
          </w:tcPr>
          <w:p w14:paraId="6013827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snapToGrid w:val="0"/>
                <w:color w:val="000000"/>
                <w:spacing w:val="0"/>
                <w:w w:val="100"/>
                <w:kern w:val="0"/>
                <w:position w:val="0"/>
                <w:sz w:val="21"/>
                <w:szCs w:val="21"/>
                <w:lang w:eastAsia="en-US"/>
              </w:rPr>
              <w:t>砷</w:t>
            </w:r>
          </w:p>
        </w:tc>
        <w:tc>
          <w:tcPr>
            <w:tcW w:w="729" w:type="dxa"/>
            <w:tcBorders>
              <w:tl2br w:val="nil"/>
              <w:tr2bl w:val="nil"/>
            </w:tcBorders>
            <w:noWrap w:val="0"/>
            <w:vAlign w:val="center"/>
          </w:tcPr>
          <w:p w14:paraId="1285EBA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mg/L</w:t>
            </w:r>
          </w:p>
        </w:tc>
        <w:tc>
          <w:tcPr>
            <w:tcW w:w="1149" w:type="dxa"/>
            <w:tcBorders>
              <w:tl2br w:val="nil"/>
              <w:tr2bl w:val="nil"/>
            </w:tcBorders>
            <w:noWrap w:val="0"/>
            <w:vAlign w:val="center"/>
          </w:tcPr>
          <w:p w14:paraId="125CC69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0.0140</w:t>
            </w:r>
          </w:p>
        </w:tc>
        <w:tc>
          <w:tcPr>
            <w:tcW w:w="867" w:type="dxa"/>
            <w:tcBorders>
              <w:tl2br w:val="nil"/>
              <w:tr2bl w:val="nil"/>
            </w:tcBorders>
            <w:noWrap w:val="0"/>
            <w:vAlign w:val="center"/>
          </w:tcPr>
          <w:p w14:paraId="129EF70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≤0.05</w:t>
            </w:r>
          </w:p>
        </w:tc>
      </w:tr>
      <w:tr w14:paraId="598F2A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901" w:type="dxa"/>
            <w:tcBorders>
              <w:tl2br w:val="nil"/>
              <w:tr2bl w:val="nil"/>
            </w:tcBorders>
            <w:noWrap w:val="0"/>
            <w:vAlign w:val="center"/>
          </w:tcPr>
          <w:p w14:paraId="7ED47CF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☆50#东南侧小河万古村1、2号废渣堆处下游100m断面</w:t>
            </w:r>
          </w:p>
        </w:tc>
        <w:tc>
          <w:tcPr>
            <w:tcW w:w="1261" w:type="dxa"/>
            <w:tcBorders>
              <w:tl2br w:val="nil"/>
              <w:tr2bl w:val="nil"/>
            </w:tcBorders>
            <w:noWrap w:val="0"/>
            <w:vAlign w:val="center"/>
          </w:tcPr>
          <w:p w14:paraId="69A8F0D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2022.07.30</w:t>
            </w:r>
          </w:p>
        </w:tc>
        <w:tc>
          <w:tcPr>
            <w:tcW w:w="1513" w:type="dxa"/>
            <w:tcBorders>
              <w:tl2br w:val="nil"/>
              <w:tr2bl w:val="nil"/>
            </w:tcBorders>
            <w:noWrap w:val="0"/>
            <w:vAlign w:val="center"/>
          </w:tcPr>
          <w:p w14:paraId="3F56D82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E:113.574340</w:t>
            </w:r>
          </w:p>
          <w:p w14:paraId="4C36134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N:28.628928</w:t>
            </w:r>
          </w:p>
        </w:tc>
        <w:tc>
          <w:tcPr>
            <w:tcW w:w="1604" w:type="dxa"/>
            <w:tcBorders>
              <w:tl2br w:val="nil"/>
              <w:tr2bl w:val="nil"/>
            </w:tcBorders>
            <w:noWrap w:val="0"/>
            <w:vAlign w:val="center"/>
          </w:tcPr>
          <w:p w14:paraId="0E7DE6D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snapToGrid w:val="0"/>
                <w:color w:val="000000"/>
                <w:spacing w:val="0"/>
                <w:w w:val="100"/>
                <w:kern w:val="0"/>
                <w:position w:val="0"/>
                <w:sz w:val="21"/>
                <w:szCs w:val="21"/>
                <w:lang w:eastAsia="en-US"/>
              </w:rPr>
              <w:t>微黄，无异味</w:t>
            </w:r>
          </w:p>
        </w:tc>
        <w:tc>
          <w:tcPr>
            <w:tcW w:w="1148" w:type="dxa"/>
            <w:tcBorders>
              <w:tl2br w:val="nil"/>
              <w:tr2bl w:val="nil"/>
            </w:tcBorders>
            <w:noWrap w:val="0"/>
            <w:vAlign w:val="center"/>
          </w:tcPr>
          <w:p w14:paraId="616E58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eastAsia="en-US"/>
              </w:rPr>
            </w:pPr>
            <w:r>
              <w:rPr>
                <w:rFonts w:hint="default" w:ascii="Times New Roman" w:hAnsi="Times New Roman" w:eastAsia="宋体" w:cs="Times New Roman"/>
                <w:snapToGrid w:val="0"/>
                <w:color w:val="000000"/>
                <w:spacing w:val="0"/>
                <w:w w:val="100"/>
                <w:kern w:val="0"/>
                <w:position w:val="0"/>
                <w:sz w:val="21"/>
                <w:szCs w:val="21"/>
                <w:lang w:eastAsia="en-US"/>
              </w:rPr>
              <w:t>砷</w:t>
            </w:r>
          </w:p>
        </w:tc>
        <w:tc>
          <w:tcPr>
            <w:tcW w:w="729" w:type="dxa"/>
            <w:tcBorders>
              <w:tl2br w:val="nil"/>
              <w:tr2bl w:val="nil"/>
            </w:tcBorders>
            <w:noWrap w:val="0"/>
            <w:vAlign w:val="center"/>
          </w:tcPr>
          <w:p w14:paraId="7ACBA7D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mg/L</w:t>
            </w:r>
          </w:p>
        </w:tc>
        <w:tc>
          <w:tcPr>
            <w:tcW w:w="1149" w:type="dxa"/>
            <w:tcBorders>
              <w:tl2br w:val="nil"/>
              <w:tr2bl w:val="nil"/>
            </w:tcBorders>
            <w:noWrap w:val="0"/>
            <w:vAlign w:val="center"/>
          </w:tcPr>
          <w:p w14:paraId="4A2B781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0.0161</w:t>
            </w:r>
          </w:p>
        </w:tc>
        <w:tc>
          <w:tcPr>
            <w:tcW w:w="867" w:type="dxa"/>
            <w:tcBorders>
              <w:tl2br w:val="nil"/>
              <w:tr2bl w:val="nil"/>
            </w:tcBorders>
            <w:noWrap w:val="0"/>
            <w:vAlign w:val="center"/>
          </w:tcPr>
          <w:p w14:paraId="64AECAF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≤0.05</w:t>
            </w:r>
          </w:p>
        </w:tc>
      </w:tr>
    </w:tbl>
    <w:p w14:paraId="3D3C29FA">
      <w:pPr>
        <w:kinsoku w:val="0"/>
        <w:autoSpaceDE w:val="0"/>
        <w:autoSpaceDN w:val="0"/>
        <w:adjustRightInd w:val="0"/>
        <w:snapToGrid w:val="0"/>
        <w:spacing w:before="131" w:line="384" w:lineRule="auto"/>
        <w:ind w:left="130" w:right="123" w:firstLine="497"/>
        <w:jc w:val="left"/>
        <w:textAlignment w:val="baseline"/>
        <w:rPr>
          <w:rFonts w:ascii="宋体" w:hAnsi="宋体" w:eastAsia="宋体" w:cs="宋体"/>
          <w:snapToGrid w:val="0"/>
          <w:color w:val="000000"/>
          <w:kern w:val="0"/>
          <w:sz w:val="24"/>
          <w:szCs w:val="24"/>
          <w:lang w:val="en-US" w:eastAsia="en-US" w:bidi="ar-SA"/>
        </w:rPr>
      </w:pPr>
      <w:r>
        <w:rPr>
          <w:rFonts w:ascii="宋体" w:hAnsi="宋体" w:eastAsia="宋体" w:cs="宋体"/>
          <w:snapToGrid w:val="0"/>
          <w:color w:val="000000"/>
          <w:spacing w:val="1"/>
          <w:kern w:val="0"/>
          <w:sz w:val="24"/>
          <w:szCs w:val="24"/>
          <w:lang w:val="en-US" w:eastAsia="en-US" w:bidi="ar-SA"/>
        </w:rPr>
        <w:t>由表</w:t>
      </w:r>
      <w:r>
        <w:rPr>
          <w:rFonts w:ascii="宋体" w:hAnsi="宋体" w:eastAsia="宋体" w:cs="宋体"/>
          <w:snapToGrid w:val="0"/>
          <w:color w:val="000000"/>
          <w:spacing w:val="-25"/>
          <w:kern w:val="0"/>
          <w:sz w:val="24"/>
          <w:szCs w:val="24"/>
          <w:lang w:val="en-US" w:eastAsia="en-US" w:bidi="ar-SA"/>
        </w:rPr>
        <w:t xml:space="preserve"> </w:t>
      </w:r>
      <w:r>
        <w:rPr>
          <w:rFonts w:hint="eastAsia" w:ascii="Times New Roman" w:hAnsi="Times New Roman" w:eastAsia="宋体" w:cs="Times New Roman"/>
          <w:snapToGrid w:val="0"/>
          <w:color w:val="000000"/>
          <w:spacing w:val="1"/>
          <w:kern w:val="0"/>
          <w:sz w:val="24"/>
          <w:szCs w:val="24"/>
          <w:lang w:val="en-US" w:eastAsia="zh-CN" w:bidi="ar-SA"/>
        </w:rPr>
        <w:t>3.1-19</w:t>
      </w:r>
      <w:r>
        <w:rPr>
          <w:rFonts w:ascii="宋体" w:hAnsi="宋体" w:eastAsia="宋体" w:cs="宋体"/>
          <w:snapToGrid w:val="0"/>
          <w:color w:val="000000"/>
          <w:spacing w:val="1"/>
          <w:kern w:val="0"/>
          <w:sz w:val="24"/>
          <w:szCs w:val="24"/>
          <w:lang w:val="en-US" w:eastAsia="en-US" w:bidi="ar-SA"/>
        </w:rPr>
        <w:t>可知，万古村</w:t>
      </w:r>
      <w:r>
        <w:rPr>
          <w:rFonts w:ascii="Times New Roman" w:hAnsi="Times New Roman" w:eastAsia="Times New Roman" w:cs="Times New Roman"/>
          <w:snapToGrid w:val="0"/>
          <w:color w:val="000000"/>
          <w:spacing w:val="1"/>
          <w:kern w:val="0"/>
          <w:sz w:val="24"/>
          <w:szCs w:val="24"/>
          <w:lang w:val="en-US" w:eastAsia="en-US" w:bidi="ar-SA"/>
        </w:rPr>
        <w:t>1</w:t>
      </w:r>
      <w:r>
        <w:rPr>
          <w:rFonts w:ascii="宋体" w:hAnsi="宋体" w:eastAsia="宋体" w:cs="宋体"/>
          <w:snapToGrid w:val="0"/>
          <w:color w:val="000000"/>
          <w:spacing w:val="1"/>
          <w:kern w:val="0"/>
          <w:sz w:val="24"/>
          <w:szCs w:val="24"/>
          <w:lang w:val="en-US" w:eastAsia="en-US" w:bidi="ar-SA"/>
        </w:rPr>
        <w:t>、</w:t>
      </w:r>
      <w:r>
        <w:rPr>
          <w:rFonts w:ascii="Times New Roman" w:hAnsi="Times New Roman" w:eastAsia="Times New Roman" w:cs="Times New Roman"/>
          <w:snapToGrid w:val="0"/>
          <w:color w:val="000000"/>
          <w:spacing w:val="1"/>
          <w:kern w:val="0"/>
          <w:sz w:val="24"/>
          <w:szCs w:val="24"/>
          <w:lang w:val="en-US" w:eastAsia="en-US" w:bidi="ar-SA"/>
        </w:rPr>
        <w:t>2</w:t>
      </w:r>
      <w:r>
        <w:rPr>
          <w:rFonts w:ascii="宋体" w:hAnsi="宋体" w:eastAsia="宋体" w:cs="宋体"/>
          <w:snapToGrid w:val="0"/>
          <w:color w:val="000000"/>
          <w:spacing w:val="1"/>
          <w:kern w:val="0"/>
          <w:sz w:val="24"/>
          <w:szCs w:val="24"/>
          <w:lang w:val="en-US" w:eastAsia="en-US" w:bidi="ar-SA"/>
        </w:rPr>
        <w:t>号废渣堆东南侧无名小河上游</w:t>
      </w:r>
      <w:r>
        <w:rPr>
          <w:rFonts w:ascii="Times New Roman" w:hAnsi="Times New Roman" w:eastAsia="Times New Roman" w:cs="Times New Roman"/>
          <w:snapToGrid w:val="0"/>
          <w:color w:val="000000"/>
          <w:spacing w:val="1"/>
          <w:kern w:val="0"/>
          <w:sz w:val="24"/>
          <w:szCs w:val="24"/>
          <w:lang w:val="en-US" w:eastAsia="en-US" w:bidi="ar-SA"/>
        </w:rPr>
        <w:t>100m</w:t>
      </w:r>
      <w:r>
        <w:rPr>
          <w:rFonts w:ascii="宋体" w:hAnsi="宋体" w:eastAsia="宋体" w:cs="宋体"/>
          <w:snapToGrid w:val="0"/>
          <w:color w:val="000000"/>
          <w:spacing w:val="1"/>
          <w:kern w:val="0"/>
          <w:sz w:val="24"/>
          <w:szCs w:val="24"/>
          <w:lang w:val="en-US" w:eastAsia="en-US" w:bidi="ar-SA"/>
        </w:rPr>
        <w:t>及下游</w:t>
      </w:r>
      <w:r>
        <w:rPr>
          <w:rFonts w:ascii="Times New Roman" w:hAnsi="Times New Roman" w:eastAsia="Times New Roman" w:cs="Times New Roman"/>
          <w:snapToGrid w:val="0"/>
          <w:color w:val="000000"/>
          <w:spacing w:val="1"/>
          <w:kern w:val="0"/>
          <w:sz w:val="24"/>
          <w:szCs w:val="24"/>
          <w:lang w:val="en-US" w:eastAsia="en-US" w:bidi="ar-SA"/>
        </w:rPr>
        <w:t>100m</w:t>
      </w:r>
      <w:r>
        <w:rPr>
          <w:rFonts w:ascii="宋体" w:hAnsi="宋体" w:eastAsia="宋体" w:cs="宋体"/>
          <w:snapToGrid w:val="0"/>
          <w:color w:val="000000"/>
          <w:spacing w:val="1"/>
          <w:kern w:val="0"/>
          <w:sz w:val="24"/>
          <w:szCs w:val="24"/>
          <w:lang w:val="en-US" w:eastAsia="en-US" w:bidi="ar-SA"/>
        </w:rPr>
        <w:t>检测结果砷均未超过《地表水环境质量标准》</w:t>
      </w:r>
      <w:r>
        <w:rPr>
          <w:rFonts w:ascii="宋体" w:hAnsi="宋体" w:eastAsia="宋体" w:cs="宋体"/>
          <w:snapToGrid w:val="0"/>
          <w:color w:val="000000"/>
          <w:spacing w:val="-2"/>
          <w:kern w:val="0"/>
          <w:sz w:val="24"/>
          <w:szCs w:val="24"/>
          <w:lang w:val="en-US" w:eastAsia="en-US" w:bidi="ar-SA"/>
        </w:rPr>
        <w:t>（</w:t>
      </w:r>
      <w:r>
        <w:rPr>
          <w:rFonts w:ascii="Times New Roman" w:hAnsi="Times New Roman" w:eastAsia="Times New Roman" w:cs="Times New Roman"/>
          <w:snapToGrid w:val="0"/>
          <w:color w:val="000000"/>
          <w:spacing w:val="-2"/>
          <w:kern w:val="0"/>
          <w:sz w:val="24"/>
          <w:szCs w:val="24"/>
          <w:lang w:val="en-US" w:eastAsia="en-US" w:bidi="ar-SA"/>
        </w:rPr>
        <w:t>GB3838-2002</w:t>
      </w:r>
      <w:r>
        <w:rPr>
          <w:rFonts w:ascii="宋体" w:hAnsi="宋体" w:eastAsia="宋体" w:cs="宋体"/>
          <w:snapToGrid w:val="0"/>
          <w:color w:val="000000"/>
          <w:spacing w:val="-2"/>
          <w:kern w:val="0"/>
          <w:sz w:val="24"/>
          <w:szCs w:val="24"/>
          <w:lang w:val="en-US" w:eastAsia="en-US" w:bidi="ar-SA"/>
        </w:rPr>
        <w:t>）表</w:t>
      </w:r>
      <w:r>
        <w:rPr>
          <w:rFonts w:ascii="Times New Roman" w:hAnsi="Times New Roman" w:eastAsia="Times New Roman" w:cs="Times New Roman"/>
          <w:snapToGrid w:val="0"/>
          <w:color w:val="000000"/>
          <w:spacing w:val="-2"/>
          <w:kern w:val="0"/>
          <w:sz w:val="24"/>
          <w:szCs w:val="24"/>
          <w:lang w:val="en-US" w:eastAsia="en-US" w:bidi="ar-SA"/>
        </w:rPr>
        <w:t>1</w:t>
      </w:r>
      <w:r>
        <w:rPr>
          <w:rFonts w:ascii="宋体" w:hAnsi="宋体" w:eastAsia="宋体" w:cs="宋体"/>
          <w:snapToGrid w:val="0"/>
          <w:color w:val="000000"/>
          <w:spacing w:val="-2"/>
          <w:kern w:val="0"/>
          <w:sz w:val="24"/>
          <w:szCs w:val="24"/>
          <w:lang w:val="en-US" w:eastAsia="en-US" w:bidi="ar-SA"/>
        </w:rPr>
        <w:t>中</w:t>
      </w:r>
      <w:r>
        <w:rPr>
          <w:rFonts w:ascii="Times New Roman" w:hAnsi="Times New Roman" w:eastAsia="Times New Roman" w:cs="Times New Roman"/>
          <w:snapToGrid w:val="0"/>
          <w:color w:val="000000"/>
          <w:spacing w:val="-2"/>
          <w:kern w:val="0"/>
          <w:sz w:val="24"/>
          <w:szCs w:val="24"/>
          <w:lang w:val="en-US" w:eastAsia="en-US" w:bidi="ar-SA"/>
        </w:rPr>
        <w:t>Ⅲ</w:t>
      </w:r>
      <w:r>
        <w:rPr>
          <w:rFonts w:ascii="宋体" w:hAnsi="宋体" w:eastAsia="宋体" w:cs="宋体"/>
          <w:snapToGrid w:val="0"/>
          <w:color w:val="000000"/>
          <w:spacing w:val="-2"/>
          <w:kern w:val="0"/>
          <w:sz w:val="24"/>
          <w:szCs w:val="24"/>
          <w:lang w:val="en-US" w:eastAsia="en-US" w:bidi="ar-SA"/>
        </w:rPr>
        <w:t>类标准限值，但下游数据比上游有所增高，存在一定影响。</w:t>
      </w:r>
    </w:p>
    <w:p w14:paraId="61FE3692">
      <w:pPr>
        <w:bidi w:val="0"/>
        <w:spacing w:line="240" w:lineRule="auto"/>
        <w:ind w:left="0" w:leftChars="0" w:firstLine="0" w:firstLineChars="0"/>
        <w:jc w:val="center"/>
        <w:rPr>
          <w:rFonts w:hint="default"/>
          <w:b/>
          <w:bCs/>
          <w:sz w:val="24"/>
          <w:szCs w:val="24"/>
          <w:lang w:val="en-US" w:eastAsia="zh-CN"/>
        </w:rPr>
      </w:pPr>
      <w:r>
        <w:rPr>
          <w:rFonts w:hint="eastAsia"/>
          <w:b/>
          <w:bCs/>
          <w:sz w:val="21"/>
          <w:szCs w:val="21"/>
          <w:lang w:val="en-US" w:eastAsia="zh-CN"/>
        </w:rPr>
        <w:t>表3.1-21  地下水检测结果一览表    单位：mg/L，pH（无量纲）</w:t>
      </w:r>
    </w:p>
    <w:tbl>
      <w:tblPr>
        <w:tblStyle w:val="111"/>
        <w:tblW w:w="504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566"/>
        <w:gridCol w:w="963"/>
        <w:gridCol w:w="1318"/>
        <w:gridCol w:w="1167"/>
        <w:gridCol w:w="827"/>
        <w:gridCol w:w="827"/>
        <w:gridCol w:w="827"/>
        <w:gridCol w:w="827"/>
        <w:gridCol w:w="827"/>
        <w:gridCol w:w="827"/>
        <w:gridCol w:w="827"/>
        <w:gridCol w:w="827"/>
        <w:gridCol w:w="827"/>
        <w:gridCol w:w="827"/>
        <w:gridCol w:w="834"/>
      </w:tblGrid>
      <w:tr w14:paraId="725745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54" w:type="pct"/>
            <w:vMerge w:val="restart"/>
            <w:tcBorders>
              <w:tl2br w:val="nil"/>
              <w:tr2bl w:val="nil"/>
            </w:tcBorders>
            <w:noWrap w:val="0"/>
            <w:vAlign w:val="center"/>
          </w:tcPr>
          <w:p w14:paraId="284E235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采样点位</w:t>
            </w:r>
          </w:p>
        </w:tc>
        <w:tc>
          <w:tcPr>
            <w:tcW w:w="341" w:type="pct"/>
            <w:vMerge w:val="restart"/>
            <w:tcBorders>
              <w:tl2br w:val="nil"/>
              <w:tr2bl w:val="nil"/>
            </w:tcBorders>
            <w:noWrap w:val="0"/>
            <w:vAlign w:val="center"/>
          </w:tcPr>
          <w:p w14:paraId="69558C2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采样日期</w:t>
            </w:r>
          </w:p>
        </w:tc>
        <w:tc>
          <w:tcPr>
            <w:tcW w:w="467" w:type="pct"/>
            <w:vMerge w:val="restart"/>
            <w:tcBorders>
              <w:tl2br w:val="nil"/>
              <w:tr2bl w:val="nil"/>
            </w:tcBorders>
            <w:noWrap w:val="0"/>
            <w:vAlign w:val="center"/>
          </w:tcPr>
          <w:p w14:paraId="1191F50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auto"/>
                <w:spacing w:val="0"/>
                <w:w w:val="100"/>
                <w:kern w:val="0"/>
                <w:position w:val="0"/>
                <w:sz w:val="21"/>
                <w:szCs w:val="21"/>
                <w:lang w:val="en-US" w:eastAsia="zh-CN" w:bidi="ar-SA"/>
              </w:rPr>
              <w:t>经纬度（°）</w:t>
            </w:r>
          </w:p>
        </w:tc>
        <w:tc>
          <w:tcPr>
            <w:tcW w:w="413" w:type="pct"/>
            <w:vMerge w:val="restart"/>
            <w:tcBorders>
              <w:tl2br w:val="nil"/>
              <w:tr2bl w:val="nil"/>
            </w:tcBorders>
            <w:noWrap w:val="0"/>
            <w:vAlign w:val="center"/>
          </w:tcPr>
          <w:p w14:paraId="65A444D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样品状态</w:t>
            </w:r>
          </w:p>
        </w:tc>
        <w:tc>
          <w:tcPr>
            <w:tcW w:w="3223" w:type="pct"/>
            <w:gridSpan w:val="11"/>
            <w:tcBorders>
              <w:tl2br w:val="nil"/>
              <w:tr2bl w:val="nil"/>
            </w:tcBorders>
            <w:noWrap w:val="0"/>
            <w:vAlign w:val="center"/>
          </w:tcPr>
          <w:p w14:paraId="653F6BC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检测项目及检测结果</w:t>
            </w:r>
          </w:p>
        </w:tc>
      </w:tr>
      <w:tr w14:paraId="25FB0C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54" w:type="pct"/>
            <w:vMerge w:val="continue"/>
            <w:tcBorders>
              <w:tl2br w:val="nil"/>
              <w:tr2bl w:val="nil"/>
            </w:tcBorders>
            <w:noWrap w:val="0"/>
            <w:vAlign w:val="center"/>
          </w:tcPr>
          <w:p w14:paraId="6EB3528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p>
        </w:tc>
        <w:tc>
          <w:tcPr>
            <w:tcW w:w="341" w:type="pct"/>
            <w:vMerge w:val="continue"/>
            <w:tcBorders>
              <w:tl2br w:val="nil"/>
              <w:tr2bl w:val="nil"/>
            </w:tcBorders>
            <w:noWrap w:val="0"/>
            <w:vAlign w:val="center"/>
          </w:tcPr>
          <w:p w14:paraId="6F9BD11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p>
        </w:tc>
        <w:tc>
          <w:tcPr>
            <w:tcW w:w="467" w:type="pct"/>
            <w:vMerge w:val="continue"/>
            <w:tcBorders>
              <w:tl2br w:val="nil"/>
              <w:tr2bl w:val="nil"/>
            </w:tcBorders>
            <w:noWrap w:val="0"/>
            <w:vAlign w:val="center"/>
          </w:tcPr>
          <w:p w14:paraId="04CC5BE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p>
        </w:tc>
        <w:tc>
          <w:tcPr>
            <w:tcW w:w="413" w:type="pct"/>
            <w:vMerge w:val="continue"/>
            <w:tcBorders>
              <w:tl2br w:val="nil"/>
              <w:tr2bl w:val="nil"/>
            </w:tcBorders>
            <w:noWrap w:val="0"/>
            <w:vAlign w:val="center"/>
          </w:tcPr>
          <w:p w14:paraId="5E8D1F6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p>
        </w:tc>
        <w:tc>
          <w:tcPr>
            <w:tcW w:w="292" w:type="pct"/>
            <w:tcBorders>
              <w:tl2br w:val="nil"/>
              <w:tr2bl w:val="nil"/>
            </w:tcBorders>
            <w:noWrap w:val="0"/>
            <w:vAlign w:val="center"/>
          </w:tcPr>
          <w:p w14:paraId="07030F2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pH值</w:t>
            </w:r>
          </w:p>
        </w:tc>
        <w:tc>
          <w:tcPr>
            <w:tcW w:w="292" w:type="pct"/>
            <w:tcBorders>
              <w:tl2br w:val="nil"/>
              <w:tr2bl w:val="nil"/>
            </w:tcBorders>
            <w:noWrap w:val="0"/>
            <w:vAlign w:val="center"/>
          </w:tcPr>
          <w:p w14:paraId="317FF92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氰化物</w:t>
            </w:r>
          </w:p>
        </w:tc>
        <w:tc>
          <w:tcPr>
            <w:tcW w:w="292" w:type="pct"/>
            <w:tcBorders>
              <w:tl2br w:val="nil"/>
              <w:tr2bl w:val="nil"/>
            </w:tcBorders>
            <w:noWrap w:val="0"/>
            <w:vAlign w:val="center"/>
          </w:tcPr>
          <w:p w14:paraId="7B8ACB6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总铬</w:t>
            </w:r>
          </w:p>
        </w:tc>
        <w:tc>
          <w:tcPr>
            <w:tcW w:w="292" w:type="pct"/>
            <w:tcBorders>
              <w:tl2br w:val="nil"/>
              <w:tr2bl w:val="nil"/>
            </w:tcBorders>
            <w:noWrap w:val="0"/>
            <w:vAlign w:val="center"/>
          </w:tcPr>
          <w:p w14:paraId="0FC46C2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镍</w:t>
            </w:r>
          </w:p>
        </w:tc>
        <w:tc>
          <w:tcPr>
            <w:tcW w:w="292" w:type="pct"/>
            <w:tcBorders>
              <w:tl2br w:val="nil"/>
              <w:tr2bl w:val="nil"/>
            </w:tcBorders>
            <w:noWrap w:val="0"/>
            <w:vAlign w:val="center"/>
          </w:tcPr>
          <w:p w14:paraId="55ABB13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铜</w:t>
            </w:r>
          </w:p>
        </w:tc>
        <w:tc>
          <w:tcPr>
            <w:tcW w:w="292" w:type="pct"/>
            <w:tcBorders>
              <w:tl2br w:val="nil"/>
              <w:tr2bl w:val="nil"/>
            </w:tcBorders>
            <w:noWrap w:val="0"/>
            <w:vAlign w:val="center"/>
          </w:tcPr>
          <w:p w14:paraId="0387E76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锌</w:t>
            </w:r>
          </w:p>
        </w:tc>
        <w:tc>
          <w:tcPr>
            <w:tcW w:w="292" w:type="pct"/>
            <w:tcBorders>
              <w:tl2br w:val="nil"/>
              <w:tr2bl w:val="nil"/>
            </w:tcBorders>
            <w:noWrap w:val="0"/>
            <w:vAlign w:val="center"/>
          </w:tcPr>
          <w:p w14:paraId="49188AB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砷</w:t>
            </w:r>
          </w:p>
        </w:tc>
        <w:tc>
          <w:tcPr>
            <w:tcW w:w="292" w:type="pct"/>
            <w:tcBorders>
              <w:tl2br w:val="nil"/>
              <w:tr2bl w:val="nil"/>
            </w:tcBorders>
            <w:noWrap w:val="0"/>
            <w:vAlign w:val="center"/>
          </w:tcPr>
          <w:p w14:paraId="3773596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镉</w:t>
            </w:r>
          </w:p>
        </w:tc>
        <w:tc>
          <w:tcPr>
            <w:tcW w:w="292" w:type="pct"/>
            <w:tcBorders>
              <w:tl2br w:val="nil"/>
              <w:tr2bl w:val="nil"/>
            </w:tcBorders>
            <w:noWrap w:val="0"/>
            <w:vAlign w:val="center"/>
          </w:tcPr>
          <w:p w14:paraId="4941967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铅</w:t>
            </w:r>
          </w:p>
        </w:tc>
        <w:tc>
          <w:tcPr>
            <w:tcW w:w="292" w:type="pct"/>
            <w:tcBorders>
              <w:tl2br w:val="nil"/>
              <w:tr2bl w:val="nil"/>
            </w:tcBorders>
            <w:noWrap w:val="0"/>
            <w:vAlign w:val="center"/>
          </w:tcPr>
          <w:p w14:paraId="2F11107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汞</w:t>
            </w:r>
          </w:p>
        </w:tc>
        <w:tc>
          <w:tcPr>
            <w:tcW w:w="295" w:type="pct"/>
            <w:tcBorders>
              <w:tl2br w:val="nil"/>
              <w:tr2bl w:val="nil"/>
            </w:tcBorders>
            <w:noWrap w:val="0"/>
            <w:vAlign w:val="center"/>
          </w:tcPr>
          <w:p w14:paraId="1709D32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spacing w:val="0"/>
                <w:w w:val="100"/>
                <w:kern w:val="0"/>
                <w:position w:val="0"/>
                <w:sz w:val="21"/>
                <w:szCs w:val="21"/>
                <w:lang w:val="en-US" w:eastAsia="en-US" w:bidi="ar-SA"/>
              </w:rPr>
            </w:pPr>
            <w:r>
              <w:rPr>
                <w:rFonts w:hint="default" w:ascii="Times New Roman" w:hAnsi="Times New Roman" w:eastAsia="宋体" w:cs="Times New Roman"/>
                <w:b/>
                <w:bCs/>
                <w:snapToGrid w:val="0"/>
                <w:color w:val="000000"/>
                <w:spacing w:val="0"/>
                <w:w w:val="100"/>
                <w:kern w:val="0"/>
                <w:position w:val="0"/>
                <w:sz w:val="21"/>
                <w:szCs w:val="21"/>
                <w:lang w:val="en-US" w:eastAsia="en-US" w:bidi="ar-SA"/>
              </w:rPr>
              <w:t>六价铬</w:t>
            </w:r>
          </w:p>
        </w:tc>
      </w:tr>
      <w:tr w14:paraId="32C663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54" w:type="pct"/>
            <w:vMerge w:val="restart"/>
            <w:tcBorders>
              <w:tl2br w:val="nil"/>
              <w:tr2bl w:val="nil"/>
            </w:tcBorders>
            <w:noWrap w:val="0"/>
            <w:vAlign w:val="center"/>
          </w:tcPr>
          <w:p w14:paraId="1402873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☆50#万古水库废渣点下游</w:t>
            </w:r>
          </w:p>
        </w:tc>
        <w:tc>
          <w:tcPr>
            <w:tcW w:w="341" w:type="pct"/>
            <w:tcBorders>
              <w:tl2br w:val="nil"/>
              <w:tr2bl w:val="nil"/>
            </w:tcBorders>
            <w:noWrap w:val="0"/>
            <w:vAlign w:val="center"/>
          </w:tcPr>
          <w:p w14:paraId="4689732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2022.06.28</w:t>
            </w:r>
          </w:p>
        </w:tc>
        <w:tc>
          <w:tcPr>
            <w:tcW w:w="467" w:type="pct"/>
            <w:vMerge w:val="restart"/>
            <w:tcBorders>
              <w:tl2br w:val="nil"/>
              <w:tr2bl w:val="nil"/>
            </w:tcBorders>
            <w:noWrap w:val="0"/>
            <w:vAlign w:val="center"/>
          </w:tcPr>
          <w:p w14:paraId="68AC264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E:113.566165</w:t>
            </w:r>
          </w:p>
          <w:p w14:paraId="216E6CE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N:28.630976</w:t>
            </w:r>
          </w:p>
        </w:tc>
        <w:tc>
          <w:tcPr>
            <w:tcW w:w="413" w:type="pct"/>
            <w:tcBorders>
              <w:tl2br w:val="nil"/>
              <w:tr2bl w:val="nil"/>
            </w:tcBorders>
            <w:noWrap w:val="0"/>
            <w:vAlign w:val="center"/>
          </w:tcPr>
          <w:p w14:paraId="2BFC593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无色、无异味</w:t>
            </w:r>
          </w:p>
        </w:tc>
        <w:tc>
          <w:tcPr>
            <w:tcW w:w="292" w:type="pct"/>
            <w:tcBorders>
              <w:tl2br w:val="nil"/>
              <w:tr2bl w:val="nil"/>
            </w:tcBorders>
            <w:noWrap w:val="0"/>
            <w:vAlign w:val="center"/>
          </w:tcPr>
          <w:p w14:paraId="2F65E32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6.9</w:t>
            </w:r>
          </w:p>
        </w:tc>
        <w:tc>
          <w:tcPr>
            <w:tcW w:w="292" w:type="pct"/>
            <w:tcBorders>
              <w:tl2br w:val="nil"/>
              <w:tr2bl w:val="nil"/>
            </w:tcBorders>
            <w:noWrap w:val="0"/>
            <w:vAlign w:val="center"/>
          </w:tcPr>
          <w:p w14:paraId="581E700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50EA94E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523C893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7B64040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4D63843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071D6CC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0.0008</w:t>
            </w:r>
          </w:p>
        </w:tc>
        <w:tc>
          <w:tcPr>
            <w:tcW w:w="292" w:type="pct"/>
            <w:tcBorders>
              <w:tl2br w:val="nil"/>
              <w:tr2bl w:val="nil"/>
            </w:tcBorders>
            <w:noWrap w:val="0"/>
            <w:vAlign w:val="center"/>
          </w:tcPr>
          <w:p w14:paraId="3EE5520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0.00007</w:t>
            </w:r>
          </w:p>
        </w:tc>
        <w:tc>
          <w:tcPr>
            <w:tcW w:w="292" w:type="pct"/>
            <w:tcBorders>
              <w:tl2br w:val="nil"/>
              <w:tr2bl w:val="nil"/>
            </w:tcBorders>
            <w:noWrap w:val="0"/>
            <w:vAlign w:val="center"/>
          </w:tcPr>
          <w:p w14:paraId="4B85D89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7F7FAB2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5" w:type="pct"/>
            <w:tcBorders>
              <w:tl2br w:val="nil"/>
              <w:tr2bl w:val="nil"/>
            </w:tcBorders>
            <w:noWrap w:val="0"/>
            <w:vAlign w:val="center"/>
          </w:tcPr>
          <w:p w14:paraId="2A27E48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r>
      <w:tr w14:paraId="199D46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54" w:type="pct"/>
            <w:vMerge w:val="continue"/>
            <w:tcBorders>
              <w:tl2br w:val="nil"/>
              <w:tr2bl w:val="nil"/>
            </w:tcBorders>
            <w:noWrap w:val="0"/>
            <w:vAlign w:val="center"/>
          </w:tcPr>
          <w:p w14:paraId="33E12CA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p>
        </w:tc>
        <w:tc>
          <w:tcPr>
            <w:tcW w:w="341" w:type="pct"/>
            <w:tcBorders>
              <w:tl2br w:val="nil"/>
              <w:tr2bl w:val="nil"/>
            </w:tcBorders>
            <w:noWrap w:val="0"/>
            <w:vAlign w:val="center"/>
          </w:tcPr>
          <w:p w14:paraId="42DEC95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2022.06.29</w:t>
            </w:r>
          </w:p>
        </w:tc>
        <w:tc>
          <w:tcPr>
            <w:tcW w:w="467" w:type="pct"/>
            <w:vMerge w:val="continue"/>
            <w:tcBorders>
              <w:tl2br w:val="nil"/>
              <w:tr2bl w:val="nil"/>
            </w:tcBorders>
            <w:noWrap w:val="0"/>
            <w:vAlign w:val="center"/>
          </w:tcPr>
          <w:p w14:paraId="2EE5D2F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p>
        </w:tc>
        <w:tc>
          <w:tcPr>
            <w:tcW w:w="413" w:type="pct"/>
            <w:tcBorders>
              <w:tl2br w:val="nil"/>
              <w:tr2bl w:val="nil"/>
            </w:tcBorders>
            <w:noWrap w:val="0"/>
            <w:vAlign w:val="center"/>
          </w:tcPr>
          <w:p w14:paraId="68E51D8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无色、无异味</w:t>
            </w:r>
          </w:p>
        </w:tc>
        <w:tc>
          <w:tcPr>
            <w:tcW w:w="292" w:type="pct"/>
            <w:tcBorders>
              <w:tl2br w:val="nil"/>
              <w:tr2bl w:val="nil"/>
            </w:tcBorders>
            <w:noWrap w:val="0"/>
            <w:vAlign w:val="center"/>
          </w:tcPr>
          <w:p w14:paraId="13E7B75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6.8</w:t>
            </w:r>
          </w:p>
        </w:tc>
        <w:tc>
          <w:tcPr>
            <w:tcW w:w="292" w:type="pct"/>
            <w:tcBorders>
              <w:tl2br w:val="nil"/>
              <w:tr2bl w:val="nil"/>
            </w:tcBorders>
            <w:noWrap w:val="0"/>
            <w:vAlign w:val="center"/>
          </w:tcPr>
          <w:p w14:paraId="5351802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060D570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163E50A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4316335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5B987D5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6CB4C99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0.0009</w:t>
            </w:r>
          </w:p>
        </w:tc>
        <w:tc>
          <w:tcPr>
            <w:tcW w:w="292" w:type="pct"/>
            <w:tcBorders>
              <w:tl2br w:val="nil"/>
              <w:tr2bl w:val="nil"/>
            </w:tcBorders>
            <w:noWrap w:val="0"/>
            <w:vAlign w:val="center"/>
          </w:tcPr>
          <w:p w14:paraId="7FADBD5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0.00007</w:t>
            </w:r>
          </w:p>
        </w:tc>
        <w:tc>
          <w:tcPr>
            <w:tcW w:w="292" w:type="pct"/>
            <w:tcBorders>
              <w:tl2br w:val="nil"/>
              <w:tr2bl w:val="nil"/>
            </w:tcBorders>
            <w:noWrap w:val="0"/>
            <w:vAlign w:val="center"/>
          </w:tcPr>
          <w:p w14:paraId="69F2C8F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2" w:type="pct"/>
            <w:tcBorders>
              <w:tl2br w:val="nil"/>
              <w:tr2bl w:val="nil"/>
            </w:tcBorders>
            <w:noWrap w:val="0"/>
            <w:vAlign w:val="center"/>
          </w:tcPr>
          <w:p w14:paraId="25A4940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c>
          <w:tcPr>
            <w:tcW w:w="295" w:type="pct"/>
            <w:tcBorders>
              <w:tl2br w:val="nil"/>
              <w:tr2bl w:val="nil"/>
            </w:tcBorders>
            <w:noWrap w:val="0"/>
            <w:vAlign w:val="center"/>
          </w:tcPr>
          <w:p w14:paraId="56D2B303">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ND</w:t>
            </w:r>
          </w:p>
        </w:tc>
      </w:tr>
      <w:tr w14:paraId="259F6CD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776" w:type="pct"/>
            <w:gridSpan w:val="4"/>
            <w:tcBorders>
              <w:tl2br w:val="nil"/>
              <w:tr2bl w:val="nil"/>
            </w:tcBorders>
            <w:noWrap w:val="0"/>
            <w:vAlign w:val="center"/>
          </w:tcPr>
          <w:p w14:paraId="3FA9A7D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限值</w:t>
            </w:r>
          </w:p>
        </w:tc>
        <w:tc>
          <w:tcPr>
            <w:tcW w:w="292" w:type="pct"/>
            <w:tcBorders>
              <w:tl2br w:val="nil"/>
              <w:tr2bl w:val="nil"/>
            </w:tcBorders>
            <w:noWrap w:val="0"/>
            <w:vAlign w:val="center"/>
          </w:tcPr>
          <w:p w14:paraId="6F3CB33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6.5~8.5</w:t>
            </w:r>
          </w:p>
        </w:tc>
        <w:tc>
          <w:tcPr>
            <w:tcW w:w="292" w:type="pct"/>
            <w:tcBorders>
              <w:tl2br w:val="nil"/>
              <w:tr2bl w:val="nil"/>
            </w:tcBorders>
            <w:noWrap w:val="0"/>
            <w:vAlign w:val="center"/>
          </w:tcPr>
          <w:p w14:paraId="27799E8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0.05</w:t>
            </w:r>
          </w:p>
        </w:tc>
        <w:tc>
          <w:tcPr>
            <w:tcW w:w="292" w:type="pct"/>
            <w:tcBorders>
              <w:tl2br w:val="nil"/>
              <w:tr2bl w:val="nil"/>
            </w:tcBorders>
            <w:noWrap w:val="0"/>
            <w:vAlign w:val="center"/>
          </w:tcPr>
          <w:p w14:paraId="24981B3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w:t>
            </w:r>
          </w:p>
        </w:tc>
        <w:tc>
          <w:tcPr>
            <w:tcW w:w="292" w:type="pct"/>
            <w:tcBorders>
              <w:tl2br w:val="nil"/>
              <w:tr2bl w:val="nil"/>
            </w:tcBorders>
            <w:noWrap w:val="0"/>
            <w:vAlign w:val="center"/>
          </w:tcPr>
          <w:p w14:paraId="2021C370">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0.02</w:t>
            </w:r>
          </w:p>
        </w:tc>
        <w:tc>
          <w:tcPr>
            <w:tcW w:w="292" w:type="pct"/>
            <w:tcBorders>
              <w:tl2br w:val="nil"/>
              <w:tr2bl w:val="nil"/>
            </w:tcBorders>
            <w:noWrap w:val="0"/>
            <w:vAlign w:val="center"/>
          </w:tcPr>
          <w:p w14:paraId="15AF8DD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1.00</w:t>
            </w:r>
          </w:p>
        </w:tc>
        <w:tc>
          <w:tcPr>
            <w:tcW w:w="292" w:type="pct"/>
            <w:tcBorders>
              <w:tl2br w:val="nil"/>
              <w:tr2bl w:val="nil"/>
            </w:tcBorders>
            <w:noWrap w:val="0"/>
            <w:vAlign w:val="center"/>
          </w:tcPr>
          <w:p w14:paraId="2A7B54A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1.00</w:t>
            </w:r>
          </w:p>
        </w:tc>
        <w:tc>
          <w:tcPr>
            <w:tcW w:w="292" w:type="pct"/>
            <w:tcBorders>
              <w:tl2br w:val="nil"/>
              <w:tr2bl w:val="nil"/>
            </w:tcBorders>
            <w:noWrap w:val="0"/>
            <w:vAlign w:val="center"/>
          </w:tcPr>
          <w:p w14:paraId="28FA098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0.01</w:t>
            </w:r>
          </w:p>
        </w:tc>
        <w:tc>
          <w:tcPr>
            <w:tcW w:w="292" w:type="pct"/>
            <w:tcBorders>
              <w:tl2br w:val="nil"/>
              <w:tr2bl w:val="nil"/>
            </w:tcBorders>
            <w:noWrap w:val="0"/>
            <w:vAlign w:val="center"/>
          </w:tcPr>
          <w:p w14:paraId="56AA0AE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0.005</w:t>
            </w:r>
          </w:p>
        </w:tc>
        <w:tc>
          <w:tcPr>
            <w:tcW w:w="292" w:type="pct"/>
            <w:tcBorders>
              <w:tl2br w:val="nil"/>
              <w:tr2bl w:val="nil"/>
            </w:tcBorders>
            <w:noWrap w:val="0"/>
            <w:vAlign w:val="center"/>
          </w:tcPr>
          <w:p w14:paraId="046E7575">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0.01</w:t>
            </w:r>
          </w:p>
        </w:tc>
        <w:tc>
          <w:tcPr>
            <w:tcW w:w="292" w:type="pct"/>
            <w:tcBorders>
              <w:tl2br w:val="nil"/>
              <w:tr2bl w:val="nil"/>
            </w:tcBorders>
            <w:noWrap w:val="0"/>
            <w:vAlign w:val="center"/>
          </w:tcPr>
          <w:p w14:paraId="3C84640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0.001</w:t>
            </w:r>
          </w:p>
        </w:tc>
        <w:tc>
          <w:tcPr>
            <w:tcW w:w="295" w:type="pct"/>
            <w:tcBorders>
              <w:tl2br w:val="nil"/>
              <w:tr2bl w:val="nil"/>
            </w:tcBorders>
            <w:noWrap w:val="0"/>
            <w:vAlign w:val="center"/>
          </w:tcPr>
          <w:p w14:paraId="36DDC1F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default" w:ascii="Times New Roman" w:hAnsi="Times New Roman" w:eastAsia="宋体" w:cs="Times New Roman"/>
                <w:snapToGrid w:val="0"/>
                <w:color w:val="000000"/>
                <w:spacing w:val="0"/>
                <w:w w:val="100"/>
                <w:kern w:val="0"/>
                <w:position w:val="0"/>
                <w:sz w:val="21"/>
                <w:szCs w:val="21"/>
                <w:lang w:val="en-US" w:eastAsia="en-US" w:bidi="ar-SA"/>
              </w:rPr>
              <w:t>0.05</w:t>
            </w:r>
          </w:p>
        </w:tc>
      </w:tr>
      <w:tr w14:paraId="025291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15"/>
            <w:tcBorders>
              <w:tl2br w:val="nil"/>
              <w:tr2bl w:val="nil"/>
            </w:tcBorders>
            <w:noWrap w:val="0"/>
            <w:vAlign w:val="center"/>
          </w:tcPr>
          <w:p w14:paraId="423262C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left"/>
              <w:textAlignment w:val="baseline"/>
              <w:rPr>
                <w:rFonts w:hint="default" w:ascii="Times New Roman" w:hAnsi="Times New Roman" w:eastAsia="宋体" w:cs="Times New Roman"/>
                <w:snapToGrid w:val="0"/>
                <w:color w:val="000000"/>
                <w:spacing w:val="0"/>
                <w:w w:val="100"/>
                <w:kern w:val="0"/>
                <w:position w:val="0"/>
                <w:sz w:val="21"/>
                <w:szCs w:val="21"/>
                <w:lang w:val="en-US" w:eastAsia="en-US" w:bidi="ar-SA"/>
              </w:rPr>
            </w:pPr>
            <w:r>
              <w:rPr>
                <w:rFonts w:hint="eastAsia"/>
                <w:b/>
                <w:bCs/>
                <w:sz w:val="21"/>
                <w:szCs w:val="21"/>
                <w:highlight w:val="none"/>
                <w:vertAlign w:val="baseline"/>
                <w:lang w:val="en-US" w:eastAsia="zh-CN"/>
              </w:rPr>
              <w:t>注：“ND”表示未检出。</w:t>
            </w:r>
          </w:p>
        </w:tc>
      </w:tr>
    </w:tbl>
    <w:p w14:paraId="059C12C5">
      <w:pPr>
        <w:bidi w:val="0"/>
        <w:rPr>
          <w:rFonts w:hint="eastAsia"/>
          <w:spacing w:val="-3"/>
          <w:sz w:val="24"/>
          <w:szCs w:val="24"/>
          <w:lang w:eastAsia="zh-CN"/>
        </w:rPr>
      </w:pPr>
      <w:r>
        <w:rPr>
          <w:rFonts w:hint="eastAsia"/>
          <w:sz w:val="24"/>
          <w:szCs w:val="24"/>
          <w:lang w:val="en-US" w:eastAsia="zh-CN"/>
        </w:rPr>
        <w:t>区域地下水检测结果表明，</w:t>
      </w:r>
      <w:r>
        <w:rPr>
          <w:spacing w:val="-2"/>
          <w:sz w:val="24"/>
          <w:szCs w:val="24"/>
        </w:rPr>
        <w:t>万古水库废渣点下游居民家水井所检测指标均达到了《地下水环境质量标准》（</w:t>
      </w:r>
      <w:r>
        <w:rPr>
          <w:rFonts w:ascii="Times New Roman" w:hAnsi="Times New Roman" w:eastAsia="Times New Roman" w:cs="Times New Roman"/>
          <w:spacing w:val="-2"/>
          <w:sz w:val="24"/>
          <w:szCs w:val="24"/>
        </w:rPr>
        <w:t>GB/T14848-20</w:t>
      </w:r>
      <w:r>
        <w:rPr>
          <w:rFonts w:ascii="Times New Roman" w:hAnsi="Times New Roman" w:eastAsia="Times New Roman" w:cs="Times New Roman"/>
          <w:spacing w:val="-3"/>
          <w:sz w:val="24"/>
          <w:szCs w:val="24"/>
        </w:rPr>
        <w:t>17</w:t>
      </w:r>
      <w:r>
        <w:rPr>
          <w:spacing w:val="-3"/>
          <w:sz w:val="24"/>
          <w:szCs w:val="24"/>
        </w:rPr>
        <w:t>）</w:t>
      </w:r>
      <w:r>
        <w:rPr>
          <w:spacing w:val="-2"/>
          <w:sz w:val="24"/>
          <w:szCs w:val="24"/>
        </w:rPr>
        <w:t>表</w:t>
      </w:r>
      <w:r>
        <w:rPr>
          <w:rFonts w:ascii="Times New Roman" w:hAnsi="Times New Roman" w:eastAsia="Times New Roman" w:cs="Times New Roman"/>
          <w:spacing w:val="-2"/>
          <w:sz w:val="24"/>
          <w:szCs w:val="24"/>
        </w:rPr>
        <w:t>1</w:t>
      </w:r>
      <w:r>
        <w:rPr>
          <w:spacing w:val="-2"/>
          <w:sz w:val="24"/>
          <w:szCs w:val="24"/>
        </w:rPr>
        <w:t>、表</w:t>
      </w:r>
      <w:r>
        <w:rPr>
          <w:rFonts w:ascii="Times New Roman" w:hAnsi="Times New Roman" w:eastAsia="Times New Roman" w:cs="Times New Roman"/>
          <w:spacing w:val="-2"/>
          <w:sz w:val="24"/>
          <w:szCs w:val="24"/>
        </w:rPr>
        <w:t>2</w:t>
      </w:r>
      <w:r>
        <w:rPr>
          <w:spacing w:val="-2"/>
          <w:sz w:val="24"/>
          <w:szCs w:val="24"/>
        </w:rPr>
        <w:t>中Ⅲ类标准限值，区域地表下水</w:t>
      </w:r>
      <w:r>
        <w:rPr>
          <w:spacing w:val="-3"/>
          <w:sz w:val="24"/>
          <w:szCs w:val="24"/>
        </w:rPr>
        <w:t>检测结果表明，废渣堆对周边地下水影响较小</w:t>
      </w:r>
      <w:r>
        <w:rPr>
          <w:rFonts w:hint="eastAsia"/>
          <w:spacing w:val="-3"/>
          <w:sz w:val="24"/>
          <w:szCs w:val="24"/>
          <w:lang w:eastAsia="zh-CN"/>
        </w:rPr>
        <w:t>。</w:t>
      </w:r>
    </w:p>
    <w:p w14:paraId="63E41AAC">
      <w:pPr>
        <w:spacing w:line="240" w:lineRule="auto"/>
        <w:ind w:left="0" w:leftChars="0" w:firstLine="0" w:firstLineChars="0"/>
        <w:jc w:val="center"/>
        <w:rPr>
          <w:rFonts w:hint="eastAsia"/>
          <w:b/>
          <w:bCs/>
          <w:sz w:val="21"/>
          <w:szCs w:val="21"/>
          <w:highlight w:val="none"/>
          <w:lang w:val="en-US" w:eastAsia="zh-CN"/>
        </w:rPr>
      </w:pPr>
    </w:p>
    <w:p w14:paraId="1C307E7E">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表3.1-22  底泥检测结果一览表    单位：mg/kg，pH（无量纲）</w:t>
      </w:r>
    </w:p>
    <w:tbl>
      <w:tblPr>
        <w:tblStyle w:val="111"/>
        <w:tblW w:w="5068"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74"/>
        <w:gridCol w:w="1159"/>
        <w:gridCol w:w="1318"/>
        <w:gridCol w:w="927"/>
        <w:gridCol w:w="1040"/>
        <w:gridCol w:w="782"/>
        <w:gridCol w:w="782"/>
        <w:gridCol w:w="782"/>
        <w:gridCol w:w="782"/>
        <w:gridCol w:w="782"/>
        <w:gridCol w:w="782"/>
        <w:gridCol w:w="782"/>
        <w:gridCol w:w="788"/>
        <w:gridCol w:w="791"/>
        <w:gridCol w:w="791"/>
        <w:gridCol w:w="907"/>
      </w:tblGrid>
      <w:tr w14:paraId="4427FD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vMerge w:val="restart"/>
            <w:tcBorders>
              <w:tl2br w:val="nil"/>
              <w:tr2bl w:val="nil"/>
            </w:tcBorders>
            <w:noWrap w:val="0"/>
            <w:vAlign w:val="center"/>
          </w:tcPr>
          <w:p w14:paraId="608ADD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采样点位</w:t>
            </w:r>
          </w:p>
        </w:tc>
        <w:tc>
          <w:tcPr>
            <w:tcW w:w="409" w:type="pct"/>
            <w:vMerge w:val="restart"/>
            <w:tcBorders>
              <w:tl2br w:val="nil"/>
              <w:tr2bl w:val="nil"/>
            </w:tcBorders>
            <w:noWrap w:val="0"/>
            <w:vAlign w:val="center"/>
          </w:tcPr>
          <w:p w14:paraId="2408863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采样日期</w:t>
            </w:r>
          </w:p>
        </w:tc>
        <w:tc>
          <w:tcPr>
            <w:tcW w:w="465" w:type="pct"/>
            <w:vMerge w:val="restart"/>
            <w:tcBorders>
              <w:tl2br w:val="nil"/>
              <w:tr2bl w:val="nil"/>
            </w:tcBorders>
            <w:noWrap w:val="0"/>
            <w:vAlign w:val="center"/>
          </w:tcPr>
          <w:p w14:paraId="4F863BB4">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经纬度（°）</w:t>
            </w:r>
          </w:p>
        </w:tc>
        <w:tc>
          <w:tcPr>
            <w:tcW w:w="327" w:type="pct"/>
            <w:vMerge w:val="restart"/>
            <w:tcBorders>
              <w:tl2br w:val="nil"/>
              <w:tr2bl w:val="nil"/>
            </w:tcBorders>
            <w:noWrap w:val="0"/>
            <w:vAlign w:val="center"/>
          </w:tcPr>
          <w:p w14:paraId="79C69381">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采样深度cm</w:t>
            </w:r>
          </w:p>
        </w:tc>
        <w:tc>
          <w:tcPr>
            <w:tcW w:w="367" w:type="pct"/>
            <w:vMerge w:val="restart"/>
            <w:tcBorders>
              <w:tl2br w:val="nil"/>
              <w:tr2bl w:val="nil"/>
            </w:tcBorders>
            <w:noWrap w:val="0"/>
            <w:vAlign w:val="center"/>
          </w:tcPr>
          <w:p w14:paraId="27170A9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样品状态</w:t>
            </w:r>
          </w:p>
        </w:tc>
        <w:tc>
          <w:tcPr>
            <w:tcW w:w="3087" w:type="pct"/>
            <w:gridSpan w:val="11"/>
            <w:tcBorders>
              <w:tl2br w:val="nil"/>
              <w:tr2bl w:val="nil"/>
            </w:tcBorders>
            <w:noWrap w:val="0"/>
            <w:vAlign w:val="center"/>
          </w:tcPr>
          <w:p w14:paraId="028E8A6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检测项目及检测结果</w:t>
            </w:r>
          </w:p>
        </w:tc>
      </w:tr>
      <w:tr w14:paraId="6E88FA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vMerge w:val="continue"/>
            <w:tcBorders>
              <w:tl2br w:val="nil"/>
              <w:tr2bl w:val="nil"/>
            </w:tcBorders>
            <w:noWrap w:val="0"/>
            <w:vAlign w:val="center"/>
          </w:tcPr>
          <w:p w14:paraId="69CAE79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409" w:type="pct"/>
            <w:vMerge w:val="continue"/>
            <w:tcBorders>
              <w:tl2br w:val="nil"/>
              <w:tr2bl w:val="nil"/>
            </w:tcBorders>
            <w:noWrap w:val="0"/>
            <w:vAlign w:val="center"/>
          </w:tcPr>
          <w:p w14:paraId="6715258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465" w:type="pct"/>
            <w:vMerge w:val="continue"/>
            <w:tcBorders>
              <w:tl2br w:val="nil"/>
              <w:tr2bl w:val="nil"/>
            </w:tcBorders>
            <w:noWrap w:val="0"/>
            <w:vAlign w:val="center"/>
          </w:tcPr>
          <w:p w14:paraId="0A372E6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327" w:type="pct"/>
            <w:vMerge w:val="continue"/>
            <w:tcBorders>
              <w:tl2br w:val="nil"/>
              <w:tr2bl w:val="nil"/>
            </w:tcBorders>
            <w:noWrap w:val="0"/>
            <w:vAlign w:val="center"/>
          </w:tcPr>
          <w:p w14:paraId="2F5574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367" w:type="pct"/>
            <w:vMerge w:val="continue"/>
            <w:tcBorders>
              <w:tl2br w:val="nil"/>
              <w:tr2bl w:val="nil"/>
            </w:tcBorders>
            <w:noWrap w:val="0"/>
            <w:vAlign w:val="center"/>
          </w:tcPr>
          <w:p w14:paraId="547F49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276" w:type="pct"/>
            <w:tcBorders>
              <w:tl2br w:val="nil"/>
              <w:tr2bl w:val="nil"/>
            </w:tcBorders>
            <w:noWrap w:val="0"/>
            <w:vAlign w:val="center"/>
          </w:tcPr>
          <w:p w14:paraId="5162651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pH值</w:t>
            </w:r>
          </w:p>
        </w:tc>
        <w:tc>
          <w:tcPr>
            <w:tcW w:w="276" w:type="pct"/>
            <w:tcBorders>
              <w:tl2br w:val="nil"/>
              <w:tr2bl w:val="nil"/>
            </w:tcBorders>
            <w:noWrap w:val="0"/>
            <w:vAlign w:val="center"/>
          </w:tcPr>
          <w:p w14:paraId="2B0F99C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总铬</w:t>
            </w:r>
          </w:p>
        </w:tc>
        <w:tc>
          <w:tcPr>
            <w:tcW w:w="276" w:type="pct"/>
            <w:tcBorders>
              <w:tl2br w:val="nil"/>
              <w:tr2bl w:val="nil"/>
            </w:tcBorders>
            <w:noWrap w:val="0"/>
            <w:vAlign w:val="center"/>
          </w:tcPr>
          <w:p w14:paraId="1EE7AC9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总镍</w:t>
            </w:r>
          </w:p>
        </w:tc>
        <w:tc>
          <w:tcPr>
            <w:tcW w:w="276" w:type="pct"/>
            <w:tcBorders>
              <w:tl2br w:val="nil"/>
              <w:tr2bl w:val="nil"/>
            </w:tcBorders>
            <w:noWrap w:val="0"/>
            <w:vAlign w:val="center"/>
          </w:tcPr>
          <w:p w14:paraId="53C1B6E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总铜</w:t>
            </w:r>
          </w:p>
        </w:tc>
        <w:tc>
          <w:tcPr>
            <w:tcW w:w="276" w:type="pct"/>
            <w:tcBorders>
              <w:tl2br w:val="nil"/>
              <w:tr2bl w:val="nil"/>
            </w:tcBorders>
            <w:noWrap w:val="0"/>
            <w:vAlign w:val="center"/>
          </w:tcPr>
          <w:p w14:paraId="4635117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总锌</w:t>
            </w:r>
          </w:p>
        </w:tc>
        <w:tc>
          <w:tcPr>
            <w:tcW w:w="276" w:type="pct"/>
            <w:tcBorders>
              <w:tl2br w:val="nil"/>
              <w:tr2bl w:val="nil"/>
            </w:tcBorders>
            <w:noWrap w:val="0"/>
            <w:vAlign w:val="center"/>
          </w:tcPr>
          <w:p w14:paraId="176FE5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总砷</w:t>
            </w:r>
          </w:p>
        </w:tc>
        <w:tc>
          <w:tcPr>
            <w:tcW w:w="276" w:type="pct"/>
            <w:tcBorders>
              <w:tl2br w:val="nil"/>
              <w:tr2bl w:val="nil"/>
            </w:tcBorders>
            <w:noWrap w:val="0"/>
            <w:vAlign w:val="center"/>
          </w:tcPr>
          <w:p w14:paraId="1236735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总镉</w:t>
            </w:r>
          </w:p>
        </w:tc>
        <w:tc>
          <w:tcPr>
            <w:tcW w:w="278" w:type="pct"/>
            <w:tcBorders>
              <w:tl2br w:val="nil"/>
              <w:tr2bl w:val="nil"/>
            </w:tcBorders>
            <w:noWrap w:val="0"/>
            <w:vAlign w:val="center"/>
          </w:tcPr>
          <w:p w14:paraId="01D0FBF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总铅</w:t>
            </w:r>
          </w:p>
        </w:tc>
        <w:tc>
          <w:tcPr>
            <w:tcW w:w="279" w:type="pct"/>
            <w:tcBorders>
              <w:tl2br w:val="nil"/>
              <w:tr2bl w:val="nil"/>
            </w:tcBorders>
            <w:noWrap w:val="0"/>
            <w:vAlign w:val="center"/>
          </w:tcPr>
          <w:p w14:paraId="1B81A7B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总汞</w:t>
            </w:r>
          </w:p>
        </w:tc>
        <w:tc>
          <w:tcPr>
            <w:tcW w:w="279" w:type="pct"/>
            <w:tcBorders>
              <w:tl2br w:val="nil"/>
              <w:tr2bl w:val="nil"/>
            </w:tcBorders>
            <w:noWrap w:val="0"/>
            <w:vAlign w:val="center"/>
          </w:tcPr>
          <w:p w14:paraId="5C8F58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六价铬</w:t>
            </w:r>
          </w:p>
        </w:tc>
        <w:tc>
          <w:tcPr>
            <w:tcW w:w="311" w:type="pct"/>
            <w:tcBorders>
              <w:tl2br w:val="nil"/>
              <w:tr2bl w:val="nil"/>
            </w:tcBorders>
            <w:noWrap w:val="0"/>
            <w:vAlign w:val="center"/>
          </w:tcPr>
          <w:p w14:paraId="326B679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pacing w:val="0"/>
                <w:position w:val="0"/>
                <w:sz w:val="21"/>
                <w:szCs w:val="21"/>
              </w:rPr>
              <w:t>氰化物</w:t>
            </w:r>
          </w:p>
        </w:tc>
      </w:tr>
      <w:tr w14:paraId="0BC383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tcBorders>
              <w:tl2br w:val="nil"/>
              <w:tr2bl w:val="nil"/>
            </w:tcBorders>
            <w:noWrap w:val="0"/>
            <w:vAlign w:val="center"/>
          </w:tcPr>
          <w:p w14:paraId="4498FB4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■52#白荆水库</w:t>
            </w:r>
          </w:p>
        </w:tc>
        <w:tc>
          <w:tcPr>
            <w:tcW w:w="409" w:type="pct"/>
            <w:tcBorders>
              <w:tl2br w:val="nil"/>
              <w:tr2bl w:val="nil"/>
            </w:tcBorders>
            <w:noWrap w:val="0"/>
            <w:vAlign w:val="center"/>
          </w:tcPr>
          <w:p w14:paraId="749A7DF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2022.06.28</w:t>
            </w:r>
          </w:p>
        </w:tc>
        <w:tc>
          <w:tcPr>
            <w:tcW w:w="465" w:type="pct"/>
            <w:tcBorders>
              <w:tl2br w:val="nil"/>
              <w:tr2bl w:val="nil"/>
            </w:tcBorders>
            <w:noWrap w:val="0"/>
            <w:vAlign w:val="center"/>
          </w:tcPr>
          <w:p w14:paraId="63A68F4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E:113.567507</w:t>
            </w:r>
          </w:p>
          <w:p w14:paraId="4DCDD70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N:28.632741</w:t>
            </w:r>
          </w:p>
        </w:tc>
        <w:tc>
          <w:tcPr>
            <w:tcW w:w="327" w:type="pct"/>
            <w:tcBorders>
              <w:tl2br w:val="nil"/>
              <w:tr2bl w:val="nil"/>
            </w:tcBorders>
            <w:noWrap w:val="0"/>
            <w:vAlign w:val="center"/>
          </w:tcPr>
          <w:p w14:paraId="7847F38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水下0-20</w:t>
            </w:r>
          </w:p>
        </w:tc>
        <w:tc>
          <w:tcPr>
            <w:tcW w:w="367" w:type="pct"/>
            <w:tcBorders>
              <w:tl2br w:val="nil"/>
              <w:tr2bl w:val="nil"/>
            </w:tcBorders>
            <w:noWrap w:val="0"/>
            <w:vAlign w:val="center"/>
          </w:tcPr>
          <w:p w14:paraId="4B6AF99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黄棕色、泥</w:t>
            </w:r>
          </w:p>
        </w:tc>
        <w:tc>
          <w:tcPr>
            <w:tcW w:w="276" w:type="pct"/>
            <w:tcBorders>
              <w:tl2br w:val="nil"/>
              <w:tr2bl w:val="nil"/>
            </w:tcBorders>
            <w:noWrap w:val="0"/>
            <w:vAlign w:val="center"/>
          </w:tcPr>
          <w:p w14:paraId="6CADF94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7.58</w:t>
            </w:r>
          </w:p>
        </w:tc>
        <w:tc>
          <w:tcPr>
            <w:tcW w:w="276" w:type="pct"/>
            <w:tcBorders>
              <w:tl2br w:val="nil"/>
              <w:tr2bl w:val="nil"/>
            </w:tcBorders>
            <w:noWrap w:val="0"/>
            <w:vAlign w:val="center"/>
          </w:tcPr>
          <w:p w14:paraId="2FC90B9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110</w:t>
            </w:r>
          </w:p>
        </w:tc>
        <w:tc>
          <w:tcPr>
            <w:tcW w:w="276" w:type="pct"/>
            <w:tcBorders>
              <w:tl2br w:val="nil"/>
              <w:tr2bl w:val="nil"/>
            </w:tcBorders>
            <w:noWrap w:val="0"/>
            <w:vAlign w:val="center"/>
          </w:tcPr>
          <w:p w14:paraId="45138AED">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40</w:t>
            </w:r>
          </w:p>
        </w:tc>
        <w:tc>
          <w:tcPr>
            <w:tcW w:w="276" w:type="pct"/>
            <w:tcBorders>
              <w:tl2br w:val="nil"/>
              <w:tr2bl w:val="nil"/>
            </w:tcBorders>
            <w:noWrap w:val="0"/>
            <w:vAlign w:val="center"/>
          </w:tcPr>
          <w:p w14:paraId="7873A85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42</w:t>
            </w:r>
          </w:p>
        </w:tc>
        <w:tc>
          <w:tcPr>
            <w:tcW w:w="276" w:type="pct"/>
            <w:tcBorders>
              <w:tl2br w:val="nil"/>
              <w:tr2bl w:val="nil"/>
            </w:tcBorders>
            <w:noWrap w:val="0"/>
            <w:vAlign w:val="center"/>
          </w:tcPr>
          <w:p w14:paraId="1C006D8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150</w:t>
            </w:r>
          </w:p>
        </w:tc>
        <w:tc>
          <w:tcPr>
            <w:tcW w:w="276" w:type="pct"/>
            <w:tcBorders>
              <w:tl2br w:val="nil"/>
              <w:tr2bl w:val="nil"/>
            </w:tcBorders>
            <w:noWrap w:val="0"/>
            <w:vAlign w:val="center"/>
          </w:tcPr>
          <w:p w14:paraId="1E5997B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color w:val="auto"/>
                <w:spacing w:val="0"/>
                <w:position w:val="0"/>
                <w:sz w:val="21"/>
                <w:szCs w:val="21"/>
              </w:rPr>
              <w:t>146</w:t>
            </w:r>
          </w:p>
        </w:tc>
        <w:tc>
          <w:tcPr>
            <w:tcW w:w="276" w:type="pct"/>
            <w:tcBorders>
              <w:tl2br w:val="nil"/>
              <w:tr2bl w:val="nil"/>
            </w:tcBorders>
            <w:noWrap w:val="0"/>
            <w:vAlign w:val="center"/>
          </w:tcPr>
          <w:p w14:paraId="5216A53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0.16</w:t>
            </w:r>
          </w:p>
        </w:tc>
        <w:tc>
          <w:tcPr>
            <w:tcW w:w="278" w:type="pct"/>
            <w:tcBorders>
              <w:tl2br w:val="nil"/>
              <w:tr2bl w:val="nil"/>
            </w:tcBorders>
            <w:noWrap w:val="0"/>
            <w:vAlign w:val="center"/>
          </w:tcPr>
          <w:p w14:paraId="0956705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29</w:t>
            </w:r>
          </w:p>
        </w:tc>
        <w:tc>
          <w:tcPr>
            <w:tcW w:w="279" w:type="pct"/>
            <w:tcBorders>
              <w:tl2br w:val="nil"/>
              <w:tr2bl w:val="nil"/>
            </w:tcBorders>
            <w:noWrap w:val="0"/>
            <w:vAlign w:val="center"/>
          </w:tcPr>
          <w:p w14:paraId="4C40A769">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0.169</w:t>
            </w:r>
          </w:p>
        </w:tc>
        <w:tc>
          <w:tcPr>
            <w:tcW w:w="279" w:type="pct"/>
            <w:tcBorders>
              <w:tl2br w:val="nil"/>
              <w:tr2bl w:val="nil"/>
            </w:tcBorders>
            <w:noWrap w:val="0"/>
            <w:vAlign w:val="center"/>
          </w:tcPr>
          <w:p w14:paraId="18F840C1">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0.5</w:t>
            </w:r>
          </w:p>
        </w:tc>
        <w:tc>
          <w:tcPr>
            <w:tcW w:w="311" w:type="pct"/>
            <w:tcBorders>
              <w:tl2br w:val="nil"/>
              <w:tr2bl w:val="nil"/>
            </w:tcBorders>
            <w:noWrap w:val="0"/>
            <w:vAlign w:val="center"/>
          </w:tcPr>
          <w:p w14:paraId="43DE922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ND</w:t>
            </w:r>
          </w:p>
        </w:tc>
      </w:tr>
      <w:tr w14:paraId="23835A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vMerge w:val="restart"/>
            <w:tcBorders>
              <w:tl2br w:val="nil"/>
              <w:tr2bl w:val="nil"/>
            </w:tcBorders>
            <w:noWrap w:val="0"/>
            <w:vAlign w:val="center"/>
          </w:tcPr>
          <w:p w14:paraId="3DDA19A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限值</w:t>
            </w:r>
          </w:p>
        </w:tc>
        <w:tc>
          <w:tcPr>
            <w:tcW w:w="1568" w:type="pct"/>
            <w:gridSpan w:val="4"/>
            <w:tcBorders>
              <w:tl2br w:val="nil"/>
              <w:tr2bl w:val="nil"/>
            </w:tcBorders>
            <w:noWrap w:val="0"/>
            <w:vAlign w:val="center"/>
          </w:tcPr>
          <w:p w14:paraId="7A9FF29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pH</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eastAsia="宋体" w:cs="Times New Roman"/>
                <w:spacing w:val="0"/>
                <w:position w:val="0"/>
                <w:sz w:val="21"/>
                <w:szCs w:val="21"/>
              </w:rPr>
              <w:t>5.5</w:t>
            </w:r>
          </w:p>
        </w:tc>
        <w:tc>
          <w:tcPr>
            <w:tcW w:w="276" w:type="pct"/>
            <w:tcBorders>
              <w:tl2br w:val="nil"/>
              <w:tr2bl w:val="nil"/>
            </w:tcBorders>
            <w:noWrap w:val="0"/>
            <w:vAlign w:val="center"/>
          </w:tcPr>
          <w:p w14:paraId="2F22C2E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2A81811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250</w:t>
            </w:r>
          </w:p>
        </w:tc>
        <w:tc>
          <w:tcPr>
            <w:tcW w:w="276" w:type="pct"/>
            <w:tcBorders>
              <w:tl2br w:val="nil"/>
              <w:tr2bl w:val="nil"/>
            </w:tcBorders>
            <w:noWrap w:val="0"/>
            <w:vAlign w:val="center"/>
          </w:tcPr>
          <w:p w14:paraId="1C6289E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60</w:t>
            </w:r>
          </w:p>
        </w:tc>
        <w:tc>
          <w:tcPr>
            <w:tcW w:w="276" w:type="pct"/>
            <w:tcBorders>
              <w:tl2br w:val="nil"/>
              <w:tr2bl w:val="nil"/>
            </w:tcBorders>
            <w:noWrap w:val="0"/>
            <w:vAlign w:val="center"/>
          </w:tcPr>
          <w:p w14:paraId="5B8CFDA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40C6A6B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200</w:t>
            </w:r>
          </w:p>
        </w:tc>
        <w:tc>
          <w:tcPr>
            <w:tcW w:w="276" w:type="pct"/>
            <w:tcBorders>
              <w:tl2br w:val="nil"/>
              <w:tr2bl w:val="nil"/>
            </w:tcBorders>
            <w:noWrap w:val="0"/>
            <w:vAlign w:val="center"/>
          </w:tcPr>
          <w:p w14:paraId="4A92D7E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30</w:t>
            </w:r>
          </w:p>
        </w:tc>
        <w:tc>
          <w:tcPr>
            <w:tcW w:w="276" w:type="pct"/>
            <w:tcBorders>
              <w:tl2br w:val="nil"/>
              <w:tr2bl w:val="nil"/>
            </w:tcBorders>
            <w:noWrap w:val="0"/>
            <w:vAlign w:val="center"/>
          </w:tcPr>
          <w:p w14:paraId="415B9F3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0.3</w:t>
            </w:r>
          </w:p>
        </w:tc>
        <w:tc>
          <w:tcPr>
            <w:tcW w:w="278" w:type="pct"/>
            <w:tcBorders>
              <w:tl2br w:val="nil"/>
              <w:tr2bl w:val="nil"/>
            </w:tcBorders>
            <w:noWrap w:val="0"/>
            <w:vAlign w:val="center"/>
          </w:tcPr>
          <w:p w14:paraId="760EB72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80</w:t>
            </w:r>
          </w:p>
        </w:tc>
        <w:tc>
          <w:tcPr>
            <w:tcW w:w="279" w:type="pct"/>
            <w:tcBorders>
              <w:tl2br w:val="nil"/>
              <w:tr2bl w:val="nil"/>
            </w:tcBorders>
            <w:noWrap w:val="0"/>
            <w:vAlign w:val="center"/>
          </w:tcPr>
          <w:p w14:paraId="00C2BBB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0.5</w:t>
            </w:r>
          </w:p>
        </w:tc>
        <w:tc>
          <w:tcPr>
            <w:tcW w:w="279" w:type="pct"/>
            <w:tcBorders>
              <w:tl2br w:val="nil"/>
              <w:tr2bl w:val="nil"/>
            </w:tcBorders>
            <w:noWrap w:val="0"/>
            <w:vAlign w:val="center"/>
          </w:tcPr>
          <w:p w14:paraId="220A916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311" w:type="pct"/>
            <w:tcBorders>
              <w:tl2br w:val="nil"/>
              <w:tr2bl w:val="nil"/>
            </w:tcBorders>
            <w:noWrap w:val="0"/>
            <w:vAlign w:val="center"/>
          </w:tcPr>
          <w:p w14:paraId="19D4F35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r>
      <w:tr w14:paraId="3447F9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vMerge w:val="continue"/>
            <w:tcBorders>
              <w:tl2br w:val="nil"/>
              <w:tr2bl w:val="nil"/>
            </w:tcBorders>
            <w:noWrap w:val="0"/>
            <w:vAlign w:val="center"/>
          </w:tcPr>
          <w:p w14:paraId="654F636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1568" w:type="pct"/>
            <w:gridSpan w:val="4"/>
            <w:tcBorders>
              <w:tl2br w:val="nil"/>
              <w:tr2bl w:val="nil"/>
            </w:tcBorders>
            <w:noWrap w:val="0"/>
            <w:vAlign w:val="center"/>
          </w:tcPr>
          <w:p w14:paraId="255458E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5.5</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eastAsia="宋体" w:cs="Times New Roman"/>
                <w:spacing w:val="0"/>
                <w:position w:val="0"/>
                <w:sz w:val="21"/>
                <w:szCs w:val="21"/>
              </w:rPr>
              <w:t>pH</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eastAsia="宋体" w:cs="Times New Roman"/>
                <w:spacing w:val="0"/>
                <w:position w:val="0"/>
                <w:sz w:val="21"/>
                <w:szCs w:val="21"/>
              </w:rPr>
              <w:t>6.5</w:t>
            </w:r>
          </w:p>
        </w:tc>
        <w:tc>
          <w:tcPr>
            <w:tcW w:w="276" w:type="pct"/>
            <w:tcBorders>
              <w:tl2br w:val="nil"/>
              <w:tr2bl w:val="nil"/>
            </w:tcBorders>
            <w:noWrap w:val="0"/>
            <w:vAlign w:val="center"/>
          </w:tcPr>
          <w:p w14:paraId="333D735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2BF43B0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250</w:t>
            </w:r>
          </w:p>
        </w:tc>
        <w:tc>
          <w:tcPr>
            <w:tcW w:w="276" w:type="pct"/>
            <w:tcBorders>
              <w:tl2br w:val="nil"/>
              <w:tr2bl w:val="nil"/>
            </w:tcBorders>
            <w:noWrap w:val="0"/>
            <w:vAlign w:val="center"/>
          </w:tcPr>
          <w:p w14:paraId="20B1B114">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70</w:t>
            </w:r>
          </w:p>
        </w:tc>
        <w:tc>
          <w:tcPr>
            <w:tcW w:w="276" w:type="pct"/>
            <w:tcBorders>
              <w:tl2br w:val="nil"/>
              <w:tr2bl w:val="nil"/>
            </w:tcBorders>
            <w:noWrap w:val="0"/>
            <w:vAlign w:val="center"/>
          </w:tcPr>
          <w:p w14:paraId="0E24193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0BB74C0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200</w:t>
            </w:r>
          </w:p>
        </w:tc>
        <w:tc>
          <w:tcPr>
            <w:tcW w:w="276" w:type="pct"/>
            <w:tcBorders>
              <w:tl2br w:val="nil"/>
              <w:tr2bl w:val="nil"/>
            </w:tcBorders>
            <w:noWrap w:val="0"/>
            <w:vAlign w:val="center"/>
          </w:tcPr>
          <w:p w14:paraId="296B970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30</w:t>
            </w:r>
          </w:p>
        </w:tc>
        <w:tc>
          <w:tcPr>
            <w:tcW w:w="276" w:type="pct"/>
            <w:tcBorders>
              <w:tl2br w:val="nil"/>
              <w:tr2bl w:val="nil"/>
            </w:tcBorders>
            <w:noWrap w:val="0"/>
            <w:vAlign w:val="center"/>
          </w:tcPr>
          <w:p w14:paraId="5F9EF73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0.4</w:t>
            </w:r>
          </w:p>
        </w:tc>
        <w:tc>
          <w:tcPr>
            <w:tcW w:w="278" w:type="pct"/>
            <w:tcBorders>
              <w:tl2br w:val="nil"/>
              <w:tr2bl w:val="nil"/>
            </w:tcBorders>
            <w:noWrap w:val="0"/>
            <w:vAlign w:val="center"/>
          </w:tcPr>
          <w:p w14:paraId="643A306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100</w:t>
            </w:r>
          </w:p>
        </w:tc>
        <w:tc>
          <w:tcPr>
            <w:tcW w:w="279" w:type="pct"/>
            <w:tcBorders>
              <w:tl2br w:val="nil"/>
              <w:tr2bl w:val="nil"/>
            </w:tcBorders>
            <w:noWrap w:val="0"/>
            <w:vAlign w:val="center"/>
          </w:tcPr>
          <w:p w14:paraId="63A7623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0.5</w:t>
            </w:r>
          </w:p>
        </w:tc>
        <w:tc>
          <w:tcPr>
            <w:tcW w:w="279" w:type="pct"/>
            <w:tcBorders>
              <w:tl2br w:val="nil"/>
              <w:tr2bl w:val="nil"/>
            </w:tcBorders>
            <w:noWrap w:val="0"/>
            <w:vAlign w:val="center"/>
          </w:tcPr>
          <w:p w14:paraId="2D589AE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311" w:type="pct"/>
            <w:tcBorders>
              <w:tl2br w:val="nil"/>
              <w:tr2bl w:val="nil"/>
            </w:tcBorders>
            <w:noWrap w:val="0"/>
            <w:vAlign w:val="center"/>
          </w:tcPr>
          <w:p w14:paraId="51EEF91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r>
      <w:tr w14:paraId="6744BF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vMerge w:val="continue"/>
            <w:tcBorders>
              <w:tl2br w:val="nil"/>
              <w:tr2bl w:val="nil"/>
            </w:tcBorders>
            <w:noWrap w:val="0"/>
            <w:vAlign w:val="center"/>
          </w:tcPr>
          <w:p w14:paraId="1D3CACA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1568" w:type="pct"/>
            <w:gridSpan w:val="4"/>
            <w:tcBorders>
              <w:tl2br w:val="nil"/>
              <w:tr2bl w:val="nil"/>
            </w:tcBorders>
            <w:noWrap w:val="0"/>
            <w:vAlign w:val="center"/>
          </w:tcPr>
          <w:p w14:paraId="1882EF5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6.5</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eastAsia="宋体" w:cs="Times New Roman"/>
                <w:spacing w:val="0"/>
                <w:position w:val="0"/>
                <w:sz w:val="21"/>
                <w:szCs w:val="21"/>
              </w:rPr>
              <w:t>pH</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eastAsia="宋体" w:cs="Times New Roman"/>
                <w:spacing w:val="0"/>
                <w:position w:val="0"/>
                <w:sz w:val="21"/>
                <w:szCs w:val="21"/>
              </w:rPr>
              <w:t>7.5</w:t>
            </w:r>
          </w:p>
        </w:tc>
        <w:tc>
          <w:tcPr>
            <w:tcW w:w="276" w:type="pct"/>
            <w:tcBorders>
              <w:tl2br w:val="nil"/>
              <w:tr2bl w:val="nil"/>
            </w:tcBorders>
            <w:noWrap w:val="0"/>
            <w:vAlign w:val="center"/>
          </w:tcPr>
          <w:p w14:paraId="64E7710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4F5BE40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300</w:t>
            </w:r>
          </w:p>
        </w:tc>
        <w:tc>
          <w:tcPr>
            <w:tcW w:w="276" w:type="pct"/>
            <w:tcBorders>
              <w:tl2br w:val="nil"/>
              <w:tr2bl w:val="nil"/>
            </w:tcBorders>
            <w:noWrap w:val="0"/>
            <w:vAlign w:val="center"/>
          </w:tcPr>
          <w:p w14:paraId="122B8E46">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100</w:t>
            </w:r>
          </w:p>
        </w:tc>
        <w:tc>
          <w:tcPr>
            <w:tcW w:w="276" w:type="pct"/>
            <w:tcBorders>
              <w:tl2br w:val="nil"/>
              <w:tr2bl w:val="nil"/>
            </w:tcBorders>
            <w:noWrap w:val="0"/>
            <w:vAlign w:val="center"/>
          </w:tcPr>
          <w:p w14:paraId="7A1BADD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2EE86647">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250</w:t>
            </w:r>
          </w:p>
        </w:tc>
        <w:tc>
          <w:tcPr>
            <w:tcW w:w="276" w:type="pct"/>
            <w:tcBorders>
              <w:tl2br w:val="nil"/>
              <w:tr2bl w:val="nil"/>
            </w:tcBorders>
            <w:noWrap w:val="0"/>
            <w:vAlign w:val="center"/>
          </w:tcPr>
          <w:p w14:paraId="0BFB4139">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25</w:t>
            </w:r>
          </w:p>
        </w:tc>
        <w:tc>
          <w:tcPr>
            <w:tcW w:w="276" w:type="pct"/>
            <w:tcBorders>
              <w:tl2br w:val="nil"/>
              <w:tr2bl w:val="nil"/>
            </w:tcBorders>
            <w:noWrap w:val="0"/>
            <w:vAlign w:val="center"/>
          </w:tcPr>
          <w:p w14:paraId="51FAF782">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0.6</w:t>
            </w:r>
          </w:p>
        </w:tc>
        <w:tc>
          <w:tcPr>
            <w:tcW w:w="278" w:type="pct"/>
            <w:tcBorders>
              <w:tl2br w:val="nil"/>
              <w:tr2bl w:val="nil"/>
            </w:tcBorders>
            <w:noWrap w:val="0"/>
            <w:vAlign w:val="center"/>
          </w:tcPr>
          <w:p w14:paraId="425FFB85">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140</w:t>
            </w:r>
          </w:p>
        </w:tc>
        <w:tc>
          <w:tcPr>
            <w:tcW w:w="279" w:type="pct"/>
            <w:tcBorders>
              <w:tl2br w:val="nil"/>
              <w:tr2bl w:val="nil"/>
            </w:tcBorders>
            <w:noWrap w:val="0"/>
            <w:vAlign w:val="center"/>
          </w:tcPr>
          <w:p w14:paraId="12521CAB">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0.6</w:t>
            </w:r>
          </w:p>
        </w:tc>
        <w:tc>
          <w:tcPr>
            <w:tcW w:w="279" w:type="pct"/>
            <w:tcBorders>
              <w:tl2br w:val="nil"/>
              <w:tr2bl w:val="nil"/>
            </w:tcBorders>
            <w:noWrap w:val="0"/>
            <w:vAlign w:val="center"/>
          </w:tcPr>
          <w:p w14:paraId="50C00B4D">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311" w:type="pct"/>
            <w:tcBorders>
              <w:tl2br w:val="nil"/>
              <w:tr2bl w:val="nil"/>
            </w:tcBorders>
            <w:noWrap w:val="0"/>
            <w:vAlign w:val="center"/>
          </w:tcPr>
          <w:p w14:paraId="7EFBC29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r>
      <w:tr w14:paraId="039D73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44" w:type="pct"/>
            <w:vMerge w:val="continue"/>
            <w:tcBorders>
              <w:tl2br w:val="nil"/>
              <w:tr2bl w:val="nil"/>
            </w:tcBorders>
            <w:noWrap w:val="0"/>
            <w:vAlign w:val="center"/>
          </w:tcPr>
          <w:p w14:paraId="3227577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p>
        </w:tc>
        <w:tc>
          <w:tcPr>
            <w:tcW w:w="1568" w:type="pct"/>
            <w:gridSpan w:val="4"/>
            <w:tcBorders>
              <w:tl2br w:val="nil"/>
              <w:tr2bl w:val="nil"/>
            </w:tcBorders>
            <w:noWrap w:val="0"/>
            <w:vAlign w:val="center"/>
          </w:tcPr>
          <w:p w14:paraId="583BEB2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pH</w:t>
            </w:r>
            <w:r>
              <w:rPr>
                <w:rFonts w:hint="eastAsia" w:ascii="Times New Roman" w:hAnsi="Times New Roman" w:eastAsia="宋体" w:cs="Times New Roman"/>
                <w:spacing w:val="0"/>
                <w:position w:val="0"/>
                <w:sz w:val="21"/>
                <w:szCs w:val="21"/>
                <w:lang w:val="en-US" w:eastAsia="zh-CN"/>
              </w:rPr>
              <w:t>＞</w:t>
            </w:r>
            <w:r>
              <w:rPr>
                <w:rFonts w:hint="default" w:ascii="Times New Roman" w:hAnsi="Times New Roman" w:eastAsia="宋体" w:cs="Times New Roman"/>
                <w:spacing w:val="0"/>
                <w:position w:val="0"/>
                <w:sz w:val="21"/>
                <w:szCs w:val="21"/>
              </w:rPr>
              <w:t>7.5</w:t>
            </w:r>
          </w:p>
        </w:tc>
        <w:tc>
          <w:tcPr>
            <w:tcW w:w="276" w:type="pct"/>
            <w:tcBorders>
              <w:tl2br w:val="nil"/>
              <w:tr2bl w:val="nil"/>
            </w:tcBorders>
            <w:noWrap w:val="0"/>
            <w:vAlign w:val="center"/>
          </w:tcPr>
          <w:p w14:paraId="4543192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1AE9A72C">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350</w:t>
            </w:r>
          </w:p>
        </w:tc>
        <w:tc>
          <w:tcPr>
            <w:tcW w:w="276" w:type="pct"/>
            <w:tcBorders>
              <w:tl2br w:val="nil"/>
              <w:tr2bl w:val="nil"/>
            </w:tcBorders>
            <w:noWrap w:val="0"/>
            <w:vAlign w:val="center"/>
          </w:tcPr>
          <w:p w14:paraId="3F012B6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190</w:t>
            </w:r>
          </w:p>
        </w:tc>
        <w:tc>
          <w:tcPr>
            <w:tcW w:w="276" w:type="pct"/>
            <w:tcBorders>
              <w:tl2br w:val="nil"/>
              <w:tr2bl w:val="nil"/>
            </w:tcBorders>
            <w:noWrap w:val="0"/>
            <w:vAlign w:val="center"/>
          </w:tcPr>
          <w:p w14:paraId="365D474A">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276" w:type="pct"/>
            <w:tcBorders>
              <w:tl2br w:val="nil"/>
              <w:tr2bl w:val="nil"/>
            </w:tcBorders>
            <w:noWrap w:val="0"/>
            <w:vAlign w:val="center"/>
          </w:tcPr>
          <w:p w14:paraId="40B5F6DD">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300</w:t>
            </w:r>
          </w:p>
        </w:tc>
        <w:tc>
          <w:tcPr>
            <w:tcW w:w="276" w:type="pct"/>
            <w:tcBorders>
              <w:tl2br w:val="nil"/>
              <w:tr2bl w:val="nil"/>
            </w:tcBorders>
            <w:noWrap w:val="0"/>
            <w:vAlign w:val="center"/>
          </w:tcPr>
          <w:p w14:paraId="5199377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20</w:t>
            </w:r>
          </w:p>
        </w:tc>
        <w:tc>
          <w:tcPr>
            <w:tcW w:w="276" w:type="pct"/>
            <w:tcBorders>
              <w:tl2br w:val="nil"/>
              <w:tr2bl w:val="nil"/>
            </w:tcBorders>
            <w:noWrap w:val="0"/>
            <w:vAlign w:val="center"/>
          </w:tcPr>
          <w:p w14:paraId="766A7369">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0.8</w:t>
            </w:r>
          </w:p>
        </w:tc>
        <w:tc>
          <w:tcPr>
            <w:tcW w:w="278" w:type="pct"/>
            <w:tcBorders>
              <w:tl2br w:val="nil"/>
              <w:tr2bl w:val="nil"/>
            </w:tcBorders>
            <w:noWrap w:val="0"/>
            <w:vAlign w:val="center"/>
          </w:tcPr>
          <w:p w14:paraId="7E9D6D0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240</w:t>
            </w:r>
          </w:p>
        </w:tc>
        <w:tc>
          <w:tcPr>
            <w:tcW w:w="279" w:type="pct"/>
            <w:tcBorders>
              <w:tl2br w:val="nil"/>
              <w:tr2bl w:val="nil"/>
            </w:tcBorders>
            <w:noWrap w:val="0"/>
            <w:vAlign w:val="center"/>
          </w:tcPr>
          <w:p w14:paraId="06B8A078">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1.0</w:t>
            </w:r>
          </w:p>
        </w:tc>
        <w:tc>
          <w:tcPr>
            <w:tcW w:w="279" w:type="pct"/>
            <w:tcBorders>
              <w:tl2br w:val="nil"/>
              <w:tr2bl w:val="nil"/>
            </w:tcBorders>
            <w:noWrap w:val="0"/>
            <w:vAlign w:val="center"/>
          </w:tcPr>
          <w:p w14:paraId="47F5CF50">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c>
          <w:tcPr>
            <w:tcW w:w="311" w:type="pct"/>
            <w:tcBorders>
              <w:tl2br w:val="nil"/>
              <w:tr2bl w:val="nil"/>
            </w:tcBorders>
            <w:noWrap w:val="0"/>
            <w:vAlign w:val="center"/>
          </w:tcPr>
          <w:p w14:paraId="044B238F">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spacing w:val="0"/>
                <w:position w:val="0"/>
                <w:sz w:val="21"/>
                <w:szCs w:val="21"/>
              </w:rPr>
              <w:t>/</w:t>
            </w:r>
          </w:p>
        </w:tc>
      </w:tr>
      <w:tr w14:paraId="315CC8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16"/>
            <w:tcBorders>
              <w:tl2br w:val="nil"/>
              <w:tr2bl w:val="nil"/>
            </w:tcBorders>
            <w:noWrap w:val="0"/>
            <w:vAlign w:val="center"/>
          </w:tcPr>
          <w:p w14:paraId="1ACBB363">
            <w:pPr>
              <w:pStyle w:val="197"/>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pacing w:val="0"/>
                <w:position w:val="0"/>
                <w:sz w:val="21"/>
                <w:szCs w:val="21"/>
              </w:rPr>
            </w:pPr>
            <w:r>
              <w:rPr>
                <w:rFonts w:hint="default" w:ascii="Times New Roman" w:hAnsi="Times New Roman" w:eastAsia="宋体" w:cs="Times New Roman"/>
                <w:b/>
                <w:bCs/>
                <w:sz w:val="21"/>
                <w:szCs w:val="21"/>
                <w:highlight w:val="none"/>
                <w:vertAlign w:val="baseline"/>
                <w:lang w:val="en-US" w:eastAsia="zh-CN"/>
              </w:rPr>
              <w:t>注：“ND”表示未检出。</w:t>
            </w:r>
          </w:p>
        </w:tc>
      </w:tr>
    </w:tbl>
    <w:p w14:paraId="48A7BE5A">
      <w:pPr>
        <w:bidi w:val="0"/>
        <w:rPr>
          <w:rFonts w:hint="default"/>
          <w:lang w:val="en-US" w:eastAsia="zh-CN"/>
        </w:rPr>
        <w:sectPr>
          <w:pgSz w:w="16783" w:h="11850" w:orient="landscape"/>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sz w:val="24"/>
          <w:szCs w:val="24"/>
          <w:lang w:val="en-US" w:eastAsia="zh-CN"/>
        </w:rPr>
        <w:t>对比pH值&gt;7.5的水田标准可知，底泥中的砷存在超标现象，最大超标倍数为6.3倍。分析检测数据可知，底泥中砷的总量浓度较高，主要因为万古水库废渣堆周边均未修建截、排水措施，也无任何拦挡措施，废渣经雨水冲刷被直接冲入水库边缘形成底泥。</w:t>
      </w:r>
    </w:p>
    <w:p w14:paraId="12BAC5F3">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3.1.2拟建工程概况</w:t>
      </w:r>
    </w:p>
    <w:p w14:paraId="4BC3A6CD">
      <w:pPr>
        <w:keepNext w:val="0"/>
        <w:keepLines w:val="0"/>
        <w:pageBreakBefore w:val="0"/>
        <w:widowControl w:val="0"/>
        <w:kinsoku/>
        <w:wordWrap w:val="0"/>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highlight w:val="yellow"/>
          <w:u w:val="none" w:color="auto"/>
          <w:lang w:val="en-US" w:eastAsia="zh-CN"/>
        </w:rPr>
      </w:pPr>
      <w:r>
        <w:rPr>
          <w:rFonts w:hint="eastAsia" w:cs="Times New Roman"/>
          <w:b/>
          <w:bCs/>
          <w:color w:val="auto"/>
          <w:sz w:val="24"/>
          <w:szCs w:val="24"/>
          <w:highlight w:val="none"/>
          <w:u w:val="none" w:color="auto"/>
          <w:lang w:val="en-US" w:eastAsia="zh-CN"/>
        </w:rPr>
        <w:t>项目名称：</w:t>
      </w:r>
      <w:r>
        <w:rPr>
          <w:rFonts w:hint="eastAsia" w:cs="Times New Roman"/>
          <w:b w:val="0"/>
          <w:bCs w:val="0"/>
          <w:color w:val="auto"/>
          <w:sz w:val="24"/>
          <w:szCs w:val="24"/>
          <w:highlight w:val="none"/>
          <w:u w:val="none" w:color="auto"/>
          <w:lang w:val="en-US" w:eastAsia="zh-CN"/>
        </w:rPr>
        <w:t>平江县三阳乡万古村万古水库周边历史遗留重金属废渣整治项目</w:t>
      </w:r>
      <w:r>
        <w:rPr>
          <w:rFonts w:hint="eastAsia" w:cs="Times New Roman"/>
          <w:color w:val="auto"/>
          <w:sz w:val="24"/>
          <w:szCs w:val="24"/>
          <w:highlight w:val="none"/>
          <w:u w:val="none" w:color="auto"/>
          <w:lang w:val="en-US" w:eastAsia="zh-CN"/>
        </w:rPr>
        <w:t>；</w:t>
      </w:r>
    </w:p>
    <w:p w14:paraId="289EEC0C">
      <w:pPr>
        <w:keepNext w:val="0"/>
        <w:keepLines w:val="0"/>
        <w:pageBreakBefore w:val="0"/>
        <w:widowControl w:val="0"/>
        <w:kinsoku/>
        <w:wordWrap w:val="0"/>
        <w:overflowPunct/>
        <w:topLinePunct w:val="0"/>
        <w:autoSpaceDE/>
        <w:autoSpaceDN/>
        <w:bidi w:val="0"/>
        <w:adjustRightInd/>
        <w:snapToGrid/>
        <w:spacing w:line="360" w:lineRule="auto"/>
        <w:ind w:firstLine="482" w:firstLineChars="200"/>
        <w:textAlignment w:val="auto"/>
        <w:rPr>
          <w:rFonts w:hint="default" w:cs="Times New Roman"/>
          <w:b/>
          <w:bCs/>
          <w:color w:val="auto"/>
          <w:sz w:val="24"/>
          <w:szCs w:val="24"/>
          <w:highlight w:val="none"/>
          <w:u w:val="none" w:color="auto"/>
          <w:lang w:val="en-US" w:eastAsia="zh-CN"/>
        </w:rPr>
      </w:pPr>
      <w:r>
        <w:rPr>
          <w:rFonts w:hint="eastAsia" w:cs="Times New Roman"/>
          <w:b/>
          <w:bCs/>
          <w:color w:val="auto"/>
          <w:sz w:val="24"/>
          <w:szCs w:val="24"/>
          <w:highlight w:val="none"/>
          <w:u w:val="none" w:color="auto"/>
          <w:lang w:val="en-US" w:eastAsia="zh-CN"/>
        </w:rPr>
        <w:t>建设性质：</w:t>
      </w:r>
      <w:r>
        <w:rPr>
          <w:rFonts w:hint="eastAsia" w:cs="Times New Roman"/>
          <w:b w:val="0"/>
          <w:bCs w:val="0"/>
          <w:color w:val="auto"/>
          <w:sz w:val="24"/>
          <w:szCs w:val="24"/>
          <w:highlight w:val="none"/>
          <w:u w:val="none" w:color="auto"/>
          <w:lang w:val="en-US" w:eastAsia="zh-CN"/>
        </w:rPr>
        <w:t>新建；</w:t>
      </w:r>
    </w:p>
    <w:p w14:paraId="75AC9952">
      <w:pPr>
        <w:keepNext w:val="0"/>
        <w:keepLines w:val="0"/>
        <w:pageBreakBefore w:val="0"/>
        <w:widowControl w:val="0"/>
        <w:kinsoku/>
        <w:wordWrap w:val="0"/>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highlight w:val="yellow"/>
          <w:u w:val="none" w:color="auto"/>
          <w:lang w:val="en-US" w:eastAsia="zh-CN"/>
        </w:rPr>
      </w:pPr>
      <w:r>
        <w:rPr>
          <w:rFonts w:hint="eastAsia" w:cs="Times New Roman"/>
          <w:b/>
          <w:bCs/>
          <w:color w:val="auto"/>
          <w:sz w:val="24"/>
          <w:szCs w:val="24"/>
          <w:highlight w:val="none"/>
          <w:u w:val="none" w:color="auto"/>
          <w:lang w:val="en-US" w:eastAsia="zh-CN"/>
        </w:rPr>
        <w:t>建设单位：</w:t>
      </w:r>
      <w:r>
        <w:rPr>
          <w:rFonts w:hint="eastAsia" w:cs="Times New Roman"/>
          <w:b w:val="0"/>
          <w:bCs w:val="0"/>
          <w:color w:val="auto"/>
          <w:sz w:val="24"/>
          <w:szCs w:val="24"/>
          <w:highlight w:val="none"/>
          <w:u w:val="none" w:color="auto"/>
          <w:lang w:val="en-US" w:eastAsia="zh-CN"/>
        </w:rPr>
        <w:t>平江县三阳乡人民政府</w:t>
      </w:r>
      <w:r>
        <w:rPr>
          <w:rFonts w:hint="eastAsia" w:cs="Times New Roman"/>
          <w:color w:val="auto"/>
          <w:sz w:val="24"/>
          <w:szCs w:val="24"/>
          <w:highlight w:val="none"/>
          <w:u w:val="none" w:color="auto"/>
          <w:lang w:val="en-US" w:eastAsia="zh-CN"/>
        </w:rPr>
        <w:t>；</w:t>
      </w:r>
    </w:p>
    <w:p w14:paraId="6FE514E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highlight w:val="yellow"/>
          <w:u w:val="none" w:color="auto"/>
          <w:lang w:val="en-US" w:eastAsia="zh-CN"/>
        </w:rPr>
      </w:pPr>
      <w:r>
        <w:rPr>
          <w:rFonts w:hint="eastAsia" w:cs="Times New Roman"/>
          <w:b/>
          <w:bCs/>
          <w:color w:val="auto"/>
          <w:sz w:val="24"/>
          <w:szCs w:val="24"/>
          <w:highlight w:val="none"/>
          <w:u w:val="none" w:color="auto"/>
          <w:lang w:val="en-US" w:eastAsia="zh-CN"/>
        </w:rPr>
        <w:t>建设地点：</w:t>
      </w:r>
      <w:r>
        <w:rPr>
          <w:rFonts w:hint="eastAsia" w:cs="Times New Roman"/>
          <w:b w:val="0"/>
          <w:bCs w:val="0"/>
          <w:color w:val="auto"/>
          <w:sz w:val="24"/>
          <w:szCs w:val="24"/>
          <w:highlight w:val="none"/>
          <w:u w:val="none" w:color="auto"/>
          <w:lang w:val="en-US" w:eastAsia="zh-CN"/>
        </w:rPr>
        <w:t>平江县三阳乡万古村（中心经纬度</w:t>
      </w:r>
      <w:r>
        <w:rPr>
          <w:sz w:val="24"/>
          <w:szCs w:val="24"/>
        </w:rPr>
        <w:t>113°33′6.75″</w:t>
      </w:r>
      <w:r>
        <w:rPr>
          <w:rFonts w:hint="eastAsia" w:cs="Times New Roman"/>
          <w:b w:val="0"/>
          <w:bCs w:val="0"/>
          <w:color w:val="auto"/>
          <w:sz w:val="24"/>
          <w:szCs w:val="24"/>
          <w:highlight w:val="none"/>
          <w:u w:val="none" w:color="auto"/>
          <w:lang w:val="en-US" w:eastAsia="zh-CN"/>
        </w:rPr>
        <w:t>E，</w:t>
      </w:r>
      <w:r>
        <w:rPr>
          <w:sz w:val="24"/>
          <w:szCs w:val="24"/>
        </w:rPr>
        <w:t>28°38′51.27″</w:t>
      </w:r>
      <w:r>
        <w:rPr>
          <w:rFonts w:hint="eastAsia" w:cs="Times New Roman"/>
          <w:b w:val="0"/>
          <w:bCs w:val="0"/>
          <w:color w:val="auto"/>
          <w:sz w:val="24"/>
          <w:szCs w:val="24"/>
          <w:highlight w:val="none"/>
          <w:u w:val="none" w:color="auto"/>
          <w:lang w:val="en-US" w:eastAsia="zh-CN"/>
        </w:rPr>
        <w:t>N）</w:t>
      </w:r>
      <w:r>
        <w:rPr>
          <w:rFonts w:hint="eastAsia" w:cs="Times New Roman"/>
          <w:color w:val="auto"/>
          <w:sz w:val="24"/>
          <w:szCs w:val="24"/>
          <w:highlight w:val="none"/>
          <w:u w:val="none" w:color="auto"/>
          <w:lang w:val="en-US" w:eastAsia="zh-CN"/>
        </w:rPr>
        <w:t>；</w:t>
      </w:r>
    </w:p>
    <w:p w14:paraId="7B0D1DEA">
      <w:pPr>
        <w:keepNext w:val="0"/>
        <w:keepLines w:val="0"/>
        <w:pageBreakBefore w:val="0"/>
        <w:widowControl w:val="0"/>
        <w:kinsoku/>
        <w:wordWrap w:val="0"/>
        <w:overflowPunct/>
        <w:topLinePunct w:val="0"/>
        <w:autoSpaceDE/>
        <w:autoSpaceDN/>
        <w:bidi w:val="0"/>
        <w:adjustRightInd/>
        <w:snapToGrid/>
        <w:spacing w:line="360" w:lineRule="auto"/>
        <w:ind w:firstLine="482" w:firstLineChars="200"/>
        <w:textAlignment w:val="auto"/>
        <w:rPr>
          <w:rFonts w:hint="default" w:cs="Times New Roman"/>
          <w:b/>
          <w:bCs/>
          <w:color w:val="auto"/>
          <w:sz w:val="24"/>
          <w:szCs w:val="24"/>
          <w:highlight w:val="none"/>
          <w:u w:val="none" w:color="auto"/>
          <w:lang w:val="en-US" w:eastAsia="zh-CN"/>
        </w:rPr>
      </w:pPr>
      <w:r>
        <w:rPr>
          <w:rFonts w:hint="eastAsia" w:cs="Times New Roman"/>
          <w:b/>
          <w:bCs/>
          <w:color w:val="auto"/>
          <w:sz w:val="24"/>
          <w:szCs w:val="24"/>
          <w:highlight w:val="none"/>
          <w:u w:val="none" w:color="auto"/>
          <w:lang w:val="en-US" w:eastAsia="zh-CN"/>
        </w:rPr>
        <w:t>行业类别：</w:t>
      </w:r>
      <w:r>
        <w:rPr>
          <w:rFonts w:hint="eastAsia" w:cs="Times New Roman"/>
          <w:b w:val="0"/>
          <w:bCs w:val="0"/>
          <w:color w:val="auto"/>
          <w:sz w:val="24"/>
          <w:szCs w:val="24"/>
          <w:highlight w:val="none"/>
          <w:u w:val="none" w:color="auto"/>
          <w:lang w:val="en-US" w:eastAsia="zh-CN"/>
        </w:rPr>
        <w:t>N7723固体废物治理</w:t>
      </w:r>
    </w:p>
    <w:p w14:paraId="75CE8C59">
      <w:pPr>
        <w:keepNext w:val="0"/>
        <w:keepLines w:val="0"/>
        <w:pageBreakBefore w:val="0"/>
        <w:widowControl w:val="0"/>
        <w:kinsoku/>
        <w:wordWrap w:val="0"/>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highlight w:val="yellow"/>
          <w:u w:val="none" w:color="auto"/>
          <w:lang w:val="en-US" w:eastAsia="zh-CN"/>
        </w:rPr>
      </w:pPr>
      <w:r>
        <w:rPr>
          <w:rFonts w:hint="eastAsia" w:cs="Times New Roman"/>
          <w:b/>
          <w:bCs/>
          <w:color w:val="auto"/>
          <w:sz w:val="24"/>
          <w:szCs w:val="24"/>
          <w:highlight w:val="none"/>
          <w:u w:val="none" w:color="auto"/>
          <w:lang w:val="en-US" w:eastAsia="zh-CN"/>
        </w:rPr>
        <w:t>项目投资：</w:t>
      </w:r>
      <w:r>
        <w:rPr>
          <w:rFonts w:hint="eastAsia" w:cs="Times New Roman"/>
          <w:color w:val="auto"/>
          <w:sz w:val="24"/>
          <w:szCs w:val="24"/>
          <w:highlight w:val="none"/>
          <w:u w:val="none" w:color="auto"/>
          <w:lang w:val="en-US" w:eastAsia="zh-CN"/>
        </w:rPr>
        <w:t>1568.28万元，其中环保投资379.84万元；</w:t>
      </w:r>
    </w:p>
    <w:p w14:paraId="3460F9B0">
      <w:pPr>
        <w:rPr>
          <w:rFonts w:hint="default" w:cs="Times New Roman"/>
          <w:b/>
          <w:bCs/>
          <w:color w:val="auto"/>
          <w:sz w:val="24"/>
          <w:szCs w:val="24"/>
          <w:highlight w:val="none"/>
          <w:u w:val="none" w:color="auto"/>
          <w:lang w:val="en-US" w:eastAsia="zh-CN"/>
        </w:rPr>
      </w:pPr>
      <w:r>
        <w:rPr>
          <w:rFonts w:hint="eastAsia" w:cs="Times New Roman"/>
          <w:b/>
          <w:bCs/>
          <w:color w:val="auto"/>
          <w:sz w:val="24"/>
          <w:szCs w:val="24"/>
          <w:highlight w:val="none"/>
          <w:u w:val="none" w:color="auto"/>
          <w:lang w:val="en-US" w:eastAsia="zh-CN"/>
        </w:rPr>
        <w:t>建设周期：</w:t>
      </w:r>
      <w:r>
        <w:rPr>
          <w:rFonts w:hint="eastAsia" w:cs="Times New Roman"/>
          <w:b w:val="0"/>
          <w:bCs w:val="0"/>
          <w:color w:val="auto"/>
          <w:sz w:val="24"/>
          <w:szCs w:val="24"/>
          <w:highlight w:val="none"/>
          <w:u w:val="none" w:color="auto"/>
          <w:lang w:val="en-US" w:eastAsia="zh-CN"/>
        </w:rPr>
        <w:t>10个月；</w:t>
      </w:r>
    </w:p>
    <w:p w14:paraId="4DF22D03">
      <w:pPr>
        <w:rPr>
          <w:rFonts w:hint="eastAsia" w:cs="Times New Roman"/>
          <w:color w:val="auto"/>
          <w:sz w:val="24"/>
          <w:szCs w:val="24"/>
          <w:highlight w:val="none"/>
          <w:u w:val="none" w:color="auto"/>
          <w:lang w:val="en-US" w:eastAsia="zh-CN"/>
        </w:rPr>
      </w:pPr>
      <w:r>
        <w:rPr>
          <w:rFonts w:hint="eastAsia" w:cs="Times New Roman"/>
          <w:b/>
          <w:bCs/>
          <w:color w:val="auto"/>
          <w:sz w:val="24"/>
          <w:szCs w:val="24"/>
          <w:highlight w:val="none"/>
          <w:u w:val="none" w:color="auto"/>
          <w:lang w:val="en-US" w:eastAsia="zh-CN"/>
        </w:rPr>
        <w:t>占地面积：</w:t>
      </w:r>
      <w:r>
        <w:rPr>
          <w:rFonts w:hint="eastAsia"/>
          <w:sz w:val="24"/>
          <w:szCs w:val="24"/>
          <w:highlight w:val="none"/>
          <w:u w:val="none" w:color="auto"/>
          <w:lang w:val="en-US" w:eastAsia="zh-CN"/>
        </w:rPr>
        <w:t>34557.68</w:t>
      </w:r>
      <w:r>
        <w:rPr>
          <w:rFonts w:hint="eastAsia"/>
          <w:sz w:val="24"/>
          <w:szCs w:val="24"/>
          <w:highlight w:val="none"/>
          <w:u w:val="none" w:color="auto"/>
        </w:rPr>
        <w:t>m</w:t>
      </w:r>
      <w:r>
        <w:rPr>
          <w:rFonts w:hint="eastAsia"/>
          <w:sz w:val="24"/>
          <w:szCs w:val="24"/>
          <w:highlight w:val="none"/>
          <w:u w:val="none" w:color="auto"/>
          <w:vertAlign w:val="superscript"/>
        </w:rPr>
        <w:t>2</w:t>
      </w:r>
      <w:r>
        <w:rPr>
          <w:rFonts w:hint="eastAsia"/>
          <w:sz w:val="24"/>
          <w:szCs w:val="24"/>
          <w:highlight w:val="none"/>
          <w:u w:val="none" w:color="auto"/>
        </w:rPr>
        <w:t>（废渣治理区</w:t>
      </w:r>
      <w:r>
        <w:rPr>
          <w:rFonts w:hint="eastAsia"/>
          <w:sz w:val="24"/>
          <w:szCs w:val="24"/>
          <w:highlight w:val="none"/>
          <w:u w:val="none" w:color="auto"/>
          <w:lang w:val="en-US" w:eastAsia="zh-CN"/>
        </w:rPr>
        <w:t>13047m</w:t>
      </w:r>
      <w:r>
        <w:rPr>
          <w:rFonts w:hint="eastAsia"/>
          <w:sz w:val="24"/>
          <w:szCs w:val="24"/>
          <w:highlight w:val="none"/>
          <w:u w:val="none" w:color="auto"/>
          <w:vertAlign w:val="superscript"/>
          <w:lang w:val="en-US" w:eastAsia="zh-CN"/>
        </w:rPr>
        <w:t>2</w:t>
      </w:r>
      <w:r>
        <w:rPr>
          <w:rFonts w:hint="eastAsia"/>
          <w:sz w:val="24"/>
          <w:szCs w:val="24"/>
          <w:highlight w:val="none"/>
          <w:u w:val="none" w:color="auto"/>
          <w:lang w:val="en-US" w:eastAsia="zh-CN"/>
        </w:rPr>
        <w:t>、</w:t>
      </w:r>
      <w:r>
        <w:rPr>
          <w:rFonts w:hint="eastAsia"/>
          <w:sz w:val="24"/>
          <w:szCs w:val="24"/>
          <w:highlight w:val="none"/>
          <w:u w:val="none" w:color="auto"/>
        </w:rPr>
        <w:t>废渣填埋场</w:t>
      </w:r>
      <w:r>
        <w:rPr>
          <w:rFonts w:hint="eastAsia"/>
          <w:sz w:val="24"/>
          <w:szCs w:val="24"/>
          <w:highlight w:val="none"/>
          <w:u w:val="none" w:color="auto"/>
          <w:lang w:val="en-US" w:eastAsia="zh-CN"/>
        </w:rPr>
        <w:t>8517.35</w:t>
      </w:r>
      <w:r>
        <w:rPr>
          <w:rFonts w:hint="eastAsia"/>
          <w:sz w:val="24"/>
          <w:szCs w:val="24"/>
          <w:highlight w:val="none"/>
          <w:u w:val="none" w:color="auto"/>
        </w:rPr>
        <w:t>m</w:t>
      </w:r>
      <w:r>
        <w:rPr>
          <w:rFonts w:hint="eastAsia"/>
          <w:sz w:val="24"/>
          <w:szCs w:val="24"/>
          <w:highlight w:val="none"/>
          <w:u w:val="none" w:color="auto"/>
          <w:vertAlign w:val="superscript"/>
        </w:rPr>
        <w:t>2</w:t>
      </w:r>
      <w:r>
        <w:rPr>
          <w:rFonts w:hint="eastAsia"/>
          <w:sz w:val="24"/>
          <w:szCs w:val="24"/>
          <w:highlight w:val="none"/>
          <w:u w:val="none" w:color="auto"/>
        </w:rPr>
        <w:t>、取土场</w:t>
      </w:r>
      <w:r>
        <w:rPr>
          <w:rFonts w:hint="eastAsia"/>
          <w:sz w:val="24"/>
          <w:szCs w:val="24"/>
          <w:highlight w:val="none"/>
          <w:u w:val="none" w:color="auto"/>
          <w:lang w:val="en-US" w:eastAsia="zh-CN"/>
        </w:rPr>
        <w:t>2459.24</w:t>
      </w:r>
      <w:r>
        <w:rPr>
          <w:rFonts w:hint="eastAsia"/>
          <w:sz w:val="24"/>
          <w:szCs w:val="24"/>
          <w:highlight w:val="none"/>
          <w:u w:val="none" w:color="auto"/>
        </w:rPr>
        <w:t>m</w:t>
      </w:r>
      <w:r>
        <w:rPr>
          <w:rFonts w:hint="eastAsia"/>
          <w:sz w:val="24"/>
          <w:szCs w:val="24"/>
          <w:highlight w:val="none"/>
          <w:u w:val="none" w:color="auto"/>
          <w:vertAlign w:val="superscript"/>
        </w:rPr>
        <w:t>2</w:t>
      </w:r>
      <w:r>
        <w:rPr>
          <w:rFonts w:hint="eastAsia"/>
          <w:sz w:val="24"/>
          <w:szCs w:val="24"/>
          <w:highlight w:val="none"/>
          <w:u w:val="none" w:color="auto"/>
          <w:vertAlign w:val="baseline"/>
          <w:lang w:eastAsia="zh-CN"/>
        </w:rPr>
        <w:t>、</w:t>
      </w:r>
      <w:r>
        <w:rPr>
          <w:rFonts w:hint="eastAsia"/>
          <w:sz w:val="24"/>
          <w:szCs w:val="24"/>
          <w:highlight w:val="none"/>
          <w:u w:val="none" w:color="auto"/>
          <w:vertAlign w:val="baseline"/>
          <w:lang w:val="en-US" w:eastAsia="zh-CN"/>
        </w:rPr>
        <w:t>临时道路10534.09m</w:t>
      </w:r>
      <w:r>
        <w:rPr>
          <w:rFonts w:hint="eastAsia"/>
          <w:sz w:val="24"/>
          <w:szCs w:val="24"/>
          <w:highlight w:val="none"/>
          <w:u w:val="none" w:color="auto"/>
          <w:vertAlign w:val="superscript"/>
          <w:lang w:val="en-US" w:eastAsia="zh-CN"/>
        </w:rPr>
        <w:t>2</w:t>
      </w:r>
      <w:r>
        <w:rPr>
          <w:rFonts w:hint="eastAsia"/>
          <w:sz w:val="24"/>
          <w:szCs w:val="24"/>
          <w:highlight w:val="none"/>
          <w:u w:val="none" w:color="auto"/>
        </w:rPr>
        <w:t>）</w:t>
      </w:r>
      <w:r>
        <w:rPr>
          <w:rFonts w:hint="eastAsia" w:cs="Times New Roman"/>
          <w:color w:val="auto"/>
          <w:sz w:val="24"/>
          <w:szCs w:val="24"/>
          <w:highlight w:val="none"/>
          <w:u w:val="none" w:color="auto"/>
          <w:lang w:val="en-US" w:eastAsia="zh-CN"/>
        </w:rPr>
        <w:t>。</w:t>
      </w:r>
    </w:p>
    <w:p w14:paraId="42E01487">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3.1.3项目建设内容及规模</w:t>
      </w:r>
    </w:p>
    <w:p w14:paraId="0D38B790">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w:t>
      </w:r>
      <w:r>
        <w:rPr>
          <w:rFonts w:hint="eastAsia" w:cs="Times New Roman"/>
          <w:sz w:val="24"/>
          <w:szCs w:val="24"/>
          <w:highlight w:val="none"/>
          <w:u w:val="none"/>
          <w:lang w:val="en-US" w:eastAsia="zh-CN"/>
        </w:rPr>
        <w:t>建设内容</w:t>
      </w:r>
      <w:r>
        <w:rPr>
          <w:rFonts w:hint="default" w:ascii="Times New Roman" w:hAnsi="Times New Roman" w:cs="Times New Roman"/>
          <w:sz w:val="24"/>
          <w:szCs w:val="24"/>
          <w:highlight w:val="none"/>
          <w:u w:val="none"/>
          <w:lang w:val="en-US" w:eastAsia="zh-CN"/>
        </w:rPr>
        <w:t>为建设一座一般Ⅱ类固废填埋场，设计总库容为</w:t>
      </w:r>
      <w:r>
        <w:rPr>
          <w:rFonts w:hint="eastAsia" w:cs="Times New Roman"/>
          <w:sz w:val="24"/>
          <w:szCs w:val="24"/>
          <w:highlight w:val="none"/>
          <w:u w:val="none"/>
          <w:lang w:val="en-US" w:eastAsia="zh-CN"/>
        </w:rPr>
        <w:t>7</w:t>
      </w:r>
      <w:r>
        <w:rPr>
          <w:rFonts w:hint="default" w:ascii="Times New Roman" w:hAnsi="Times New Roman" w:cs="Times New Roman"/>
          <w:sz w:val="24"/>
          <w:szCs w:val="24"/>
          <w:highlight w:val="none"/>
          <w:u w:val="none"/>
          <w:lang w:val="en-US" w:eastAsia="zh-CN"/>
        </w:rPr>
        <w:t>.0万m</w:t>
      </w:r>
      <w:r>
        <w:rPr>
          <w:rFonts w:hint="default" w:ascii="Times New Roman" w:hAnsi="Times New Roman" w:cs="Times New Roman"/>
          <w:sz w:val="24"/>
          <w:szCs w:val="24"/>
          <w:highlight w:val="none"/>
          <w:u w:val="none"/>
          <w:vertAlign w:val="superscript"/>
          <w:lang w:val="en-US" w:eastAsia="zh-CN"/>
        </w:rPr>
        <w:t>3</w:t>
      </w:r>
      <w:r>
        <w:rPr>
          <w:rFonts w:hint="eastAsia" w:cs="Times New Roman"/>
          <w:sz w:val="24"/>
          <w:szCs w:val="24"/>
          <w:highlight w:val="none"/>
          <w:u w:val="none"/>
          <w:lang w:val="en-US" w:eastAsia="zh-CN"/>
        </w:rPr>
        <w:t>，有效库容5.6</w:t>
      </w:r>
      <w:r>
        <w:rPr>
          <w:rFonts w:hint="default" w:ascii="Times New Roman" w:hAnsi="Times New Roman" w:cs="Times New Roman"/>
          <w:sz w:val="24"/>
          <w:szCs w:val="24"/>
          <w:highlight w:val="none"/>
          <w:u w:val="none"/>
          <w:lang w:val="en-US" w:eastAsia="zh-CN"/>
        </w:rPr>
        <w:t>万m</w:t>
      </w:r>
      <w:r>
        <w:rPr>
          <w:rFonts w:hint="default" w:ascii="Times New Roman" w:hAnsi="Times New Roman" w:cs="Times New Roman"/>
          <w:sz w:val="24"/>
          <w:szCs w:val="24"/>
          <w:highlight w:val="none"/>
          <w:u w:val="none"/>
          <w:vertAlign w:val="superscript"/>
          <w:lang w:val="en-US" w:eastAsia="zh-CN"/>
        </w:rPr>
        <w:t>3</w:t>
      </w:r>
      <w:r>
        <w:rPr>
          <w:rFonts w:hint="eastAsia" w:cs="Times New Roman"/>
          <w:sz w:val="24"/>
          <w:szCs w:val="24"/>
          <w:highlight w:val="none"/>
          <w:u w:val="none"/>
          <w:lang w:val="en-US" w:eastAsia="zh-CN"/>
        </w:rPr>
        <w:t>。</w:t>
      </w:r>
      <w:r>
        <w:rPr>
          <w:rFonts w:hint="default" w:ascii="Times New Roman" w:hAnsi="Times New Roman" w:cs="Times New Roman"/>
          <w:sz w:val="24"/>
          <w:szCs w:val="24"/>
          <w:highlight w:val="none"/>
          <w:u w:val="none"/>
          <w:lang w:val="en-US" w:eastAsia="zh-CN"/>
        </w:rPr>
        <w:t>同时将平江县三阳乡万古村</w:t>
      </w:r>
      <w:r>
        <w:rPr>
          <w:rFonts w:hint="eastAsia" w:cs="Times New Roman"/>
          <w:sz w:val="24"/>
          <w:szCs w:val="24"/>
          <w:highlight w:val="none"/>
          <w:u w:val="none"/>
          <w:lang w:val="en-US" w:eastAsia="zh-CN"/>
        </w:rPr>
        <w:t>、万古水库</w:t>
      </w:r>
      <w:r>
        <w:rPr>
          <w:rFonts w:hint="default" w:ascii="Times New Roman" w:hAnsi="Times New Roman" w:cs="Times New Roman"/>
          <w:sz w:val="24"/>
          <w:szCs w:val="24"/>
          <w:highlight w:val="none"/>
          <w:u w:val="none"/>
          <w:lang w:val="en-US" w:eastAsia="zh-CN"/>
        </w:rPr>
        <w:t>历史遗留重金属废渣场地内约为</w:t>
      </w:r>
      <w:r>
        <w:rPr>
          <w:rFonts w:hint="eastAsia" w:cs="Times New Roman"/>
          <w:sz w:val="24"/>
          <w:szCs w:val="24"/>
          <w:highlight w:val="none"/>
          <w:u w:val="none"/>
          <w:lang w:val="en-US" w:eastAsia="zh-CN"/>
        </w:rPr>
        <w:t>55999.73</w:t>
      </w:r>
      <w:r>
        <w:rPr>
          <w:rFonts w:hint="default" w:ascii="Times New Roman" w:hAnsi="Times New Roman" w:cs="Times New Roman"/>
          <w:sz w:val="24"/>
          <w:szCs w:val="24"/>
          <w:highlight w:val="none"/>
          <w:u w:val="none"/>
          <w:lang w:val="en-US" w:eastAsia="zh-CN"/>
        </w:rPr>
        <w:t>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的历史遗留废渣（第Ⅰ类一般工业固体废物</w:t>
      </w:r>
      <w:r>
        <w:rPr>
          <w:rFonts w:hint="eastAsia" w:cs="Times New Roman"/>
          <w:sz w:val="24"/>
          <w:szCs w:val="24"/>
          <w:highlight w:val="none"/>
          <w:u w:val="none"/>
          <w:lang w:val="en-US" w:eastAsia="zh-CN"/>
        </w:rPr>
        <w:t>13494.1</w:t>
      </w:r>
      <w:r>
        <w:rPr>
          <w:rFonts w:hint="default" w:ascii="Times New Roman" w:hAnsi="Times New Roman" w:cs="Times New Roman"/>
          <w:sz w:val="24"/>
          <w:szCs w:val="24"/>
          <w:highlight w:val="none"/>
          <w:u w:val="none"/>
          <w:lang w:val="en-US" w:eastAsia="zh-CN"/>
        </w:rPr>
        <w:t>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，第Ⅱ类一般工业固体废物</w:t>
      </w:r>
      <w:r>
        <w:rPr>
          <w:rFonts w:hint="eastAsia" w:cs="Times New Roman"/>
          <w:sz w:val="24"/>
          <w:szCs w:val="24"/>
          <w:highlight w:val="none"/>
          <w:u w:val="none"/>
          <w:lang w:val="en-US" w:eastAsia="zh-CN"/>
        </w:rPr>
        <w:t>42505.63</w:t>
      </w:r>
      <w:r>
        <w:rPr>
          <w:rFonts w:hint="default" w:ascii="Times New Roman" w:hAnsi="Times New Roman" w:cs="Times New Roman"/>
          <w:sz w:val="24"/>
          <w:szCs w:val="24"/>
          <w:highlight w:val="none"/>
          <w:u w:val="none"/>
          <w:lang w:val="en-US" w:eastAsia="zh-CN"/>
        </w:rPr>
        <w:t>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转移至本项目填埋场填埋，降低废渣重金属析出，控制污染扩散途径，减轻废渣对当地土壤、地表水、地下水的影响。项目填埋场主要建设内容包括废渣堆废渣挖掘工程、废渣填埋场建设工程及生态恢复工程等，建设项目工程组成见表3.1-</w:t>
      </w:r>
      <w:r>
        <w:rPr>
          <w:rFonts w:hint="eastAsia" w:cs="Times New Roman"/>
          <w:sz w:val="24"/>
          <w:szCs w:val="24"/>
          <w:highlight w:val="none"/>
          <w:u w:val="none"/>
          <w:lang w:val="en-US" w:eastAsia="zh-CN"/>
        </w:rPr>
        <w:t>23</w:t>
      </w:r>
      <w:r>
        <w:rPr>
          <w:rFonts w:hint="default" w:ascii="Times New Roman" w:hAnsi="Times New Roman" w:cs="Times New Roman"/>
          <w:sz w:val="24"/>
          <w:szCs w:val="24"/>
          <w:highlight w:val="none"/>
          <w:u w:val="none"/>
          <w:lang w:val="en-US" w:eastAsia="zh-CN"/>
        </w:rPr>
        <w:t>。</w:t>
      </w:r>
    </w:p>
    <w:p w14:paraId="126FB9E8">
      <w:pPr>
        <w:bidi w:val="0"/>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表3.1-23  建设项目工程组成表</w:t>
      </w:r>
    </w:p>
    <w:tbl>
      <w:tblPr>
        <w:tblStyle w:val="47"/>
        <w:tblW w:w="93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903"/>
        <w:gridCol w:w="1785"/>
        <w:gridCol w:w="5957"/>
      </w:tblGrid>
      <w:tr w14:paraId="2E41AD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27" w:type="dxa"/>
            <w:noWrap w:val="0"/>
            <w:vAlign w:val="center"/>
          </w:tcPr>
          <w:p w14:paraId="6336CB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vertAlign w:val="baseline"/>
                <w:lang w:val="en-US" w:eastAsia="zh-CN"/>
              </w:rPr>
            </w:pPr>
            <w:r>
              <w:rPr>
                <w:rFonts w:hint="default" w:ascii="Times New Roman" w:hAnsi="Times New Roman" w:cs="Times New Roman"/>
                <w:b/>
                <w:bCs/>
                <w:sz w:val="21"/>
                <w:szCs w:val="21"/>
                <w:highlight w:val="none"/>
                <w:u w:val="none"/>
                <w:vertAlign w:val="baseline"/>
                <w:lang w:val="en-US" w:eastAsia="zh-CN"/>
              </w:rPr>
              <w:t>工程</w:t>
            </w:r>
          </w:p>
          <w:p w14:paraId="297B66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vertAlign w:val="baseline"/>
                <w:lang w:val="en-US" w:eastAsia="zh-CN"/>
              </w:rPr>
            </w:pPr>
            <w:r>
              <w:rPr>
                <w:rFonts w:hint="default" w:ascii="Times New Roman" w:hAnsi="Times New Roman" w:cs="Times New Roman"/>
                <w:b/>
                <w:bCs/>
                <w:sz w:val="21"/>
                <w:szCs w:val="21"/>
                <w:highlight w:val="none"/>
                <w:u w:val="none"/>
                <w:vertAlign w:val="baseline"/>
                <w:lang w:val="en-US" w:eastAsia="zh-CN"/>
              </w:rPr>
              <w:t>类别</w:t>
            </w:r>
          </w:p>
        </w:tc>
        <w:tc>
          <w:tcPr>
            <w:tcW w:w="2688" w:type="dxa"/>
            <w:gridSpan w:val="2"/>
            <w:noWrap w:val="0"/>
            <w:vAlign w:val="center"/>
          </w:tcPr>
          <w:p w14:paraId="2FF884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vertAlign w:val="baseline"/>
                <w:lang w:val="en-US" w:eastAsia="zh-CN"/>
              </w:rPr>
            </w:pPr>
            <w:r>
              <w:rPr>
                <w:rFonts w:hint="default" w:ascii="Times New Roman" w:hAnsi="Times New Roman" w:cs="Times New Roman"/>
                <w:b/>
                <w:bCs/>
                <w:sz w:val="21"/>
                <w:szCs w:val="21"/>
                <w:highlight w:val="none"/>
                <w:u w:val="none"/>
                <w:vertAlign w:val="baseline"/>
                <w:lang w:val="en-US" w:eastAsia="zh-CN"/>
              </w:rPr>
              <w:t>工程名称</w:t>
            </w:r>
          </w:p>
        </w:tc>
        <w:tc>
          <w:tcPr>
            <w:tcW w:w="5957" w:type="dxa"/>
            <w:noWrap w:val="0"/>
            <w:vAlign w:val="center"/>
          </w:tcPr>
          <w:p w14:paraId="5ADE3C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vertAlign w:val="baseline"/>
                <w:lang w:val="en-US" w:eastAsia="zh-CN"/>
              </w:rPr>
            </w:pPr>
            <w:r>
              <w:rPr>
                <w:rFonts w:hint="default" w:ascii="Times New Roman" w:hAnsi="Times New Roman" w:cs="Times New Roman"/>
                <w:b/>
                <w:bCs/>
                <w:sz w:val="21"/>
                <w:szCs w:val="21"/>
                <w:highlight w:val="none"/>
                <w:u w:val="none"/>
                <w:vertAlign w:val="baseline"/>
                <w:lang w:val="en-US" w:eastAsia="zh-CN"/>
              </w:rPr>
              <w:t>工程内容</w:t>
            </w:r>
          </w:p>
        </w:tc>
      </w:tr>
      <w:tr w14:paraId="191B30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restart"/>
            <w:noWrap w:val="0"/>
            <w:vAlign w:val="center"/>
          </w:tcPr>
          <w:p w14:paraId="6F6682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主体工程</w:t>
            </w:r>
          </w:p>
        </w:tc>
        <w:tc>
          <w:tcPr>
            <w:tcW w:w="2688" w:type="dxa"/>
            <w:gridSpan w:val="2"/>
            <w:noWrap w:val="0"/>
            <w:vAlign w:val="center"/>
          </w:tcPr>
          <w:p w14:paraId="66E50C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废渣堆废渣挖掘工程</w:t>
            </w:r>
          </w:p>
        </w:tc>
        <w:tc>
          <w:tcPr>
            <w:tcW w:w="5957" w:type="dxa"/>
            <w:noWrap w:val="0"/>
            <w:vAlign w:val="center"/>
          </w:tcPr>
          <w:p w14:paraId="5D8D8F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废渣堆场占地面积为8517.35m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，历史遗留废渣约</w:t>
            </w:r>
            <w:r>
              <w:rPr>
                <w:rFonts w:hint="default" w:ascii="Times New Roman" w:hAnsi="Times New Roman" w:cs="Times New Roman"/>
                <w:sz w:val="21"/>
                <w:szCs w:val="21"/>
                <w:highlight w:val="none"/>
                <w:u w:val="none"/>
                <w:lang w:val="en-US" w:eastAsia="zh-CN"/>
              </w:rPr>
              <w:t>55999.73m</w:t>
            </w:r>
            <w:r>
              <w:rPr>
                <w:rFonts w:hint="default" w:ascii="Times New Roman" w:hAnsi="Times New Roman" w:cs="Times New Roman"/>
                <w:sz w:val="21"/>
                <w:szCs w:val="21"/>
                <w:highlight w:val="none"/>
                <w:u w:val="none"/>
                <w:vertAlign w:val="superscript"/>
                <w:lang w:val="en-US" w:eastAsia="zh-CN"/>
              </w:rPr>
              <w:t>3</w:t>
            </w:r>
            <w:r>
              <w:rPr>
                <w:rFonts w:hint="default" w:ascii="Times New Roman" w:hAnsi="Times New Roman" w:cs="Times New Roman"/>
                <w:sz w:val="21"/>
                <w:szCs w:val="21"/>
                <w:highlight w:val="none"/>
                <w:u w:val="none"/>
                <w:vertAlign w:val="baseline"/>
                <w:lang w:val="en-US" w:eastAsia="zh-CN"/>
              </w:rPr>
              <w:t>。</w:t>
            </w:r>
          </w:p>
        </w:tc>
      </w:tr>
      <w:tr w14:paraId="74DB4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608FCB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restart"/>
            <w:noWrap w:val="0"/>
            <w:vAlign w:val="center"/>
          </w:tcPr>
          <w:p w14:paraId="3C223D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废渣填埋场建设工程</w:t>
            </w:r>
          </w:p>
        </w:tc>
        <w:tc>
          <w:tcPr>
            <w:tcW w:w="1785" w:type="dxa"/>
            <w:noWrap w:val="0"/>
            <w:vAlign w:val="center"/>
          </w:tcPr>
          <w:p w14:paraId="6BEC59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废渣填埋场库区整形及地基处理</w:t>
            </w:r>
          </w:p>
        </w:tc>
        <w:tc>
          <w:tcPr>
            <w:tcW w:w="5957" w:type="dxa"/>
            <w:noWrap w:val="0"/>
            <w:vAlign w:val="center"/>
          </w:tcPr>
          <w:p w14:paraId="1B71CD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eastAsia="宋体" w:cs="Times New Roman"/>
                <w:sz w:val="21"/>
                <w:szCs w:val="21"/>
                <w:u w:val="none"/>
                <w:lang w:val="en-US" w:eastAsia="zh-CN"/>
              </w:rPr>
              <w:t>Ⅱ</w:t>
            </w:r>
            <w:r>
              <w:rPr>
                <w:rFonts w:hint="default" w:ascii="Times New Roman" w:hAnsi="Times New Roman" w:cs="Times New Roman"/>
                <w:sz w:val="21"/>
                <w:szCs w:val="21"/>
                <w:u w:val="none"/>
                <w:lang w:val="en-US" w:eastAsia="zh-CN"/>
              </w:rPr>
              <w:t>类场，废渣填埋场占地</w:t>
            </w:r>
            <w:r>
              <w:rPr>
                <w:rFonts w:hint="default" w:ascii="Times New Roman" w:hAnsi="Times New Roman" w:cs="Times New Roman"/>
                <w:sz w:val="21"/>
                <w:szCs w:val="21"/>
                <w:u w:val="none"/>
              </w:rPr>
              <w:t>面积为</w:t>
            </w:r>
            <w:r>
              <w:rPr>
                <w:rFonts w:hint="default" w:ascii="Times New Roman" w:hAnsi="Times New Roman" w:cs="Times New Roman"/>
                <w:sz w:val="21"/>
                <w:szCs w:val="21"/>
                <w:u w:val="none"/>
                <w:lang w:val="en-US" w:eastAsia="zh-CN"/>
              </w:rPr>
              <w:t>8517.35</w:t>
            </w:r>
            <w:r>
              <w:rPr>
                <w:rFonts w:hint="default" w:ascii="Times New Roman" w:hAnsi="Times New Roman" w:cs="Times New Roman"/>
                <w:sz w:val="21"/>
                <w:szCs w:val="21"/>
                <w:u w:val="none"/>
              </w:rPr>
              <w:t>m</w:t>
            </w:r>
            <w:r>
              <w:rPr>
                <w:rFonts w:hint="default" w:ascii="Times New Roman" w:hAnsi="Times New Roman" w:cs="Times New Roman"/>
                <w:sz w:val="21"/>
                <w:szCs w:val="21"/>
                <w:u w:val="none"/>
                <w:vertAlign w:val="superscript"/>
              </w:rPr>
              <w:t>2</w:t>
            </w:r>
            <w:r>
              <w:rPr>
                <w:rFonts w:hint="default" w:ascii="Times New Roman" w:hAnsi="Times New Roman" w:cs="Times New Roman"/>
                <w:sz w:val="21"/>
                <w:szCs w:val="21"/>
                <w:u w:val="none"/>
              </w:rPr>
              <w:t>，填埋场设计总库容为</w:t>
            </w:r>
            <w:r>
              <w:rPr>
                <w:rFonts w:hint="default" w:ascii="Times New Roman" w:hAnsi="Times New Roman" w:cs="Times New Roman"/>
                <w:sz w:val="21"/>
                <w:szCs w:val="21"/>
                <w:u w:val="none"/>
                <w:lang w:val="en-US" w:eastAsia="zh-CN"/>
              </w:rPr>
              <w:t>7.0万</w:t>
            </w:r>
            <w:r>
              <w:rPr>
                <w:rFonts w:hint="default" w:ascii="Times New Roman" w:hAnsi="Times New Roman" w:cs="Times New Roman"/>
                <w:sz w:val="21"/>
                <w:szCs w:val="21"/>
                <w:u w:val="none"/>
              </w:rPr>
              <w:t>m</w:t>
            </w:r>
            <w:r>
              <w:rPr>
                <w:rFonts w:hint="default" w:ascii="Times New Roman" w:hAnsi="Times New Roman" w:cs="Times New Roman"/>
                <w:sz w:val="21"/>
                <w:szCs w:val="21"/>
                <w:u w:val="none"/>
                <w:vertAlign w:val="superscript"/>
              </w:rPr>
              <w:t>3</w:t>
            </w:r>
            <w:r>
              <w:rPr>
                <w:rFonts w:hint="default" w:ascii="Times New Roman" w:hAnsi="Times New Roman" w:cs="Times New Roman"/>
                <w:sz w:val="21"/>
                <w:szCs w:val="21"/>
                <w:u w:val="none"/>
              </w:rPr>
              <w:t>（有效库容</w:t>
            </w:r>
            <w:r>
              <w:rPr>
                <w:rFonts w:hint="default" w:ascii="Times New Roman" w:hAnsi="Times New Roman" w:cs="Times New Roman"/>
                <w:sz w:val="21"/>
                <w:szCs w:val="21"/>
                <w:u w:val="none"/>
                <w:lang w:val="en-US" w:eastAsia="zh-CN"/>
              </w:rPr>
              <w:t>5.6万</w:t>
            </w:r>
            <w:r>
              <w:rPr>
                <w:rFonts w:hint="default" w:ascii="Times New Roman" w:hAnsi="Times New Roman" w:cs="Times New Roman"/>
                <w:sz w:val="21"/>
                <w:szCs w:val="21"/>
                <w:u w:val="none"/>
              </w:rPr>
              <w:t>m</w:t>
            </w:r>
            <w:r>
              <w:rPr>
                <w:rFonts w:hint="default" w:ascii="Times New Roman" w:hAnsi="Times New Roman" w:cs="Times New Roman"/>
                <w:sz w:val="21"/>
                <w:szCs w:val="21"/>
                <w:u w:val="none"/>
                <w:vertAlign w:val="superscript"/>
              </w:rPr>
              <w:t>3</w:t>
            </w:r>
            <w:r>
              <w:rPr>
                <w:rFonts w:hint="default" w:ascii="Times New Roman" w:hAnsi="Times New Roman" w:cs="Times New Roman"/>
                <w:sz w:val="21"/>
                <w:szCs w:val="21"/>
                <w:u w:val="none"/>
              </w:rPr>
              <w:t>）。</w:t>
            </w:r>
          </w:p>
        </w:tc>
      </w:tr>
      <w:tr w14:paraId="7362DA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452AEC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5E84CD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3C46D7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废渣填埋场底部防渗</w:t>
            </w:r>
          </w:p>
        </w:tc>
        <w:tc>
          <w:tcPr>
            <w:tcW w:w="5957" w:type="dxa"/>
            <w:noWrap w:val="0"/>
            <w:vAlign w:val="center"/>
          </w:tcPr>
          <w:p w14:paraId="56D26A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废渣填埋场场底及场底边坡防渗系统面积为8517.8m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，防渗结构采用“无纺布+HDPE膜+GCL层”，自上而下布设依次为：200g/m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轻质有纺土工布+300mm厚卵石+DN200-300HDPE管+600g/m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长丝无纺土工布+1.5mm厚双光面HDPE土工膜+600g/m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长丝无纺土工布。</w:t>
            </w:r>
          </w:p>
        </w:tc>
      </w:tr>
      <w:tr w14:paraId="7EFFEA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1F7E12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0832F1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6E637A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渗滤液导排</w:t>
            </w:r>
          </w:p>
        </w:tc>
        <w:tc>
          <w:tcPr>
            <w:tcW w:w="5957" w:type="dxa"/>
            <w:noWrap w:val="0"/>
            <w:vAlign w:val="center"/>
          </w:tcPr>
          <w:p w14:paraId="35C97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yellow"/>
                <w:u w:val="none"/>
                <w:vertAlign w:val="baseline"/>
                <w:lang w:val="en-US" w:eastAsia="zh-CN" w:bidi="ar-SA"/>
              </w:rPr>
            </w:pPr>
            <w:r>
              <w:rPr>
                <w:rFonts w:hint="default" w:ascii="Times New Roman" w:hAnsi="Times New Roman" w:cs="Times New Roman"/>
                <w:sz w:val="21"/>
                <w:szCs w:val="21"/>
                <w:highlight w:val="none"/>
                <w:u w:val="none"/>
                <w:vertAlign w:val="baseline"/>
                <w:lang w:val="en-US" w:eastAsia="zh-CN"/>
              </w:rPr>
              <w:t>渗滤液收集支管466.4m，渗滤液收集主管156m，建设4×4×2 m（有效容积为30m</w:t>
            </w:r>
            <w:r>
              <w:rPr>
                <w:rFonts w:hint="default" w:ascii="Times New Roman" w:hAnsi="Times New Roman" w:cs="Times New Roman"/>
                <w:sz w:val="21"/>
                <w:szCs w:val="21"/>
                <w:highlight w:val="none"/>
                <w:u w:val="none"/>
                <w:vertAlign w:val="superscript"/>
                <w:lang w:val="en-US" w:eastAsia="zh-CN"/>
              </w:rPr>
              <w:t>3</w:t>
            </w:r>
            <w:r>
              <w:rPr>
                <w:rFonts w:hint="default" w:ascii="Times New Roman" w:hAnsi="Times New Roman" w:cs="Times New Roman"/>
                <w:sz w:val="21"/>
                <w:szCs w:val="21"/>
                <w:highlight w:val="none"/>
                <w:u w:val="none"/>
                <w:vertAlign w:val="baseline"/>
                <w:lang w:val="en-US" w:eastAsia="zh-CN"/>
              </w:rPr>
              <w:t>）的渗滤液收集池一座。</w:t>
            </w:r>
          </w:p>
        </w:tc>
      </w:tr>
      <w:tr w14:paraId="5E604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226152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298662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26A54D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地下水导排</w:t>
            </w:r>
          </w:p>
        </w:tc>
        <w:tc>
          <w:tcPr>
            <w:tcW w:w="5957" w:type="dxa"/>
            <w:noWrap w:val="0"/>
            <w:vAlign w:val="center"/>
          </w:tcPr>
          <w:p w14:paraId="2C580E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地下水导排支管240m，主管150m。</w:t>
            </w:r>
          </w:p>
        </w:tc>
      </w:tr>
      <w:tr w14:paraId="19876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7AE75C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36D980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51C911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雨水导排</w:t>
            </w:r>
          </w:p>
        </w:tc>
        <w:tc>
          <w:tcPr>
            <w:tcW w:w="5957" w:type="dxa"/>
            <w:noWrap w:val="0"/>
            <w:vAlign w:val="center"/>
          </w:tcPr>
          <w:p w14:paraId="676D45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本项目沿封场后的场地修建净尺寸为0.8m×0.8m，环场截水沟1403m，排水沟576m。</w:t>
            </w:r>
          </w:p>
        </w:tc>
      </w:tr>
      <w:tr w14:paraId="790C7D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1144C4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314D67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6EDF6F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挡渣坝</w:t>
            </w:r>
          </w:p>
        </w:tc>
        <w:tc>
          <w:tcPr>
            <w:tcW w:w="5957" w:type="dxa"/>
            <w:noWrap w:val="0"/>
            <w:vAlign w:val="center"/>
          </w:tcPr>
          <w:p w14:paraId="27EBC5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vertAlign w:val="baseline"/>
                <w:lang w:val="en-US" w:eastAsia="zh-CN" w:bidi="ar-SA"/>
              </w:rPr>
            </w:pPr>
            <w:r>
              <w:rPr>
                <w:rFonts w:hint="default" w:ascii="Times New Roman" w:hAnsi="Times New Roman" w:cs="Times New Roman"/>
                <w:sz w:val="21"/>
                <w:szCs w:val="21"/>
                <w:highlight w:val="none"/>
                <w:u w:val="none"/>
                <w:vertAlign w:val="baseline"/>
                <w:lang w:val="en-US" w:eastAsia="zh-CN"/>
              </w:rPr>
              <w:t>新建设置重力式挡墙134.3m，其中H=8m，L=42.2m；H=6m，L=92.1m。</w:t>
            </w:r>
          </w:p>
        </w:tc>
      </w:tr>
      <w:tr w14:paraId="0D6749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58A04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264DC8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068F03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废渣封场防渗</w:t>
            </w:r>
          </w:p>
        </w:tc>
        <w:tc>
          <w:tcPr>
            <w:tcW w:w="5957" w:type="dxa"/>
            <w:noWrap w:val="0"/>
            <w:vAlign w:val="center"/>
          </w:tcPr>
          <w:p w14:paraId="18138D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yellow"/>
                <w:u w:val="none"/>
                <w:vertAlign w:val="baseline"/>
                <w:lang w:val="en-US" w:eastAsia="zh-CN" w:bidi="ar-SA"/>
              </w:rPr>
            </w:pPr>
            <w:r>
              <w:rPr>
                <w:rFonts w:hint="default" w:ascii="Times New Roman" w:hAnsi="Times New Roman" w:cs="Times New Roman"/>
                <w:sz w:val="21"/>
                <w:szCs w:val="21"/>
                <w:highlight w:val="none"/>
                <w:u w:val="none"/>
                <w:vertAlign w:val="baseline"/>
                <w:lang w:val="en-US" w:eastAsia="zh-CN"/>
              </w:rPr>
              <w:t>封场防渗总面积为8517.8m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，防渗结构采用“无纺布+HDPE膜+GCL层”，自上而下布设依次为：500mm厚素土层+5mm厚复合土工排水网+1.5mm厚光面HDPE土工膜+6.3mmGCL膨润土+200g/m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轻质有纺土工布。</w:t>
            </w:r>
          </w:p>
        </w:tc>
      </w:tr>
      <w:tr w14:paraId="0573EA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0DC95E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3D6B8C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22BDFF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地下水监测设施</w:t>
            </w:r>
          </w:p>
        </w:tc>
        <w:tc>
          <w:tcPr>
            <w:tcW w:w="5957" w:type="dxa"/>
            <w:noWrap w:val="0"/>
            <w:vAlign w:val="center"/>
          </w:tcPr>
          <w:p w14:paraId="741758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u w:val="none"/>
              </w:rPr>
              <w:t>地下水监测井</w:t>
            </w:r>
            <w:r>
              <w:rPr>
                <w:rFonts w:hint="default" w:ascii="Times New Roman" w:hAnsi="Times New Roman" w:cs="Times New Roman"/>
                <w:sz w:val="21"/>
                <w:szCs w:val="21"/>
                <w:u w:val="none"/>
                <w:lang w:val="en-US" w:eastAsia="zh-CN"/>
              </w:rPr>
              <w:t>8</w:t>
            </w:r>
            <w:r>
              <w:rPr>
                <w:rFonts w:hint="default" w:ascii="Times New Roman" w:hAnsi="Times New Roman" w:cs="Times New Roman"/>
                <w:sz w:val="21"/>
                <w:szCs w:val="21"/>
                <w:u w:val="none"/>
              </w:rPr>
              <w:t>口，其中本底井1口、污染监测井</w:t>
            </w:r>
            <w:r>
              <w:rPr>
                <w:rFonts w:hint="default" w:ascii="Times New Roman" w:hAnsi="Times New Roman" w:cs="Times New Roman"/>
                <w:sz w:val="21"/>
                <w:szCs w:val="21"/>
                <w:u w:val="none"/>
                <w:lang w:val="en-US" w:eastAsia="zh-CN"/>
              </w:rPr>
              <w:t>3</w:t>
            </w:r>
            <w:r>
              <w:rPr>
                <w:rFonts w:hint="default" w:ascii="Times New Roman" w:hAnsi="Times New Roman" w:cs="Times New Roman"/>
                <w:sz w:val="21"/>
                <w:szCs w:val="21"/>
                <w:u w:val="none"/>
              </w:rPr>
              <w:t>口、污染扩散井</w:t>
            </w:r>
            <w:r>
              <w:rPr>
                <w:rFonts w:hint="default" w:ascii="Times New Roman" w:hAnsi="Times New Roman" w:cs="Times New Roman"/>
                <w:sz w:val="21"/>
                <w:szCs w:val="21"/>
                <w:u w:val="none"/>
                <w:lang w:val="en-US" w:eastAsia="zh-CN"/>
              </w:rPr>
              <w:t>4口</w:t>
            </w:r>
            <w:r>
              <w:rPr>
                <w:rFonts w:hint="default" w:ascii="Times New Roman" w:hAnsi="Times New Roman" w:cs="Times New Roman"/>
                <w:sz w:val="21"/>
                <w:szCs w:val="21"/>
                <w:u w:val="none"/>
              </w:rPr>
              <w:t>。</w:t>
            </w:r>
          </w:p>
        </w:tc>
      </w:tr>
      <w:tr w14:paraId="111648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1A9A54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903" w:type="dxa"/>
            <w:vMerge w:val="continue"/>
            <w:noWrap w:val="0"/>
            <w:vAlign w:val="center"/>
          </w:tcPr>
          <w:p w14:paraId="201211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1785" w:type="dxa"/>
            <w:noWrap w:val="0"/>
            <w:vAlign w:val="center"/>
          </w:tcPr>
          <w:p w14:paraId="056FF4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标识标牌</w:t>
            </w:r>
          </w:p>
        </w:tc>
        <w:tc>
          <w:tcPr>
            <w:tcW w:w="5957" w:type="dxa"/>
            <w:noWrap w:val="0"/>
            <w:vAlign w:val="center"/>
          </w:tcPr>
          <w:p w14:paraId="33285C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u w:val="none"/>
                <w:lang w:val="en-US" w:eastAsia="zh-CN"/>
              </w:rPr>
            </w:pPr>
            <w:r>
              <w:rPr>
                <w:rFonts w:hint="default" w:ascii="Times New Roman" w:hAnsi="Times New Roman" w:eastAsia="宋体" w:cs="Times New Roman"/>
                <w:sz w:val="21"/>
                <w:szCs w:val="21"/>
                <w:u w:val="none"/>
                <w:lang w:val="en-US" w:eastAsia="zh-CN"/>
              </w:rPr>
              <w:t>在原场地与填埋场入口处分别设置</w:t>
            </w:r>
            <w:r>
              <w:rPr>
                <w:rFonts w:hint="default" w:ascii="Times New Roman" w:hAnsi="Times New Roman" w:cs="Times New Roman"/>
                <w:sz w:val="21"/>
                <w:szCs w:val="21"/>
                <w:u w:val="none"/>
                <w:lang w:val="en-US" w:eastAsia="zh-CN"/>
              </w:rPr>
              <w:t>1</w:t>
            </w:r>
            <w:r>
              <w:rPr>
                <w:rFonts w:hint="default" w:ascii="Times New Roman" w:hAnsi="Times New Roman" w:eastAsia="宋体" w:cs="Times New Roman"/>
                <w:sz w:val="21"/>
                <w:szCs w:val="21"/>
                <w:u w:val="none"/>
                <w:lang w:val="en-US" w:eastAsia="zh-CN"/>
              </w:rPr>
              <w:t>个标识标牌，合计4个</w:t>
            </w:r>
            <w:r>
              <w:rPr>
                <w:rFonts w:hint="default" w:ascii="Times New Roman" w:hAnsi="Times New Roman" w:cs="Times New Roman"/>
                <w:sz w:val="21"/>
                <w:szCs w:val="21"/>
                <w:u w:val="none"/>
                <w:lang w:val="en-US" w:eastAsia="zh-CN"/>
              </w:rPr>
              <w:t>。</w:t>
            </w:r>
          </w:p>
        </w:tc>
      </w:tr>
      <w:tr w14:paraId="564CB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4FF49E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2688" w:type="dxa"/>
            <w:gridSpan w:val="2"/>
            <w:noWrap w:val="0"/>
            <w:vAlign w:val="center"/>
          </w:tcPr>
          <w:p w14:paraId="521AFC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vertAlign w:val="baseline"/>
                <w:lang w:val="en-US" w:eastAsia="zh-CN" w:bidi="ar-SA"/>
              </w:rPr>
            </w:pPr>
            <w:r>
              <w:rPr>
                <w:rFonts w:hint="default" w:ascii="Times New Roman" w:hAnsi="Times New Roman" w:cs="Times New Roman"/>
                <w:sz w:val="21"/>
                <w:szCs w:val="21"/>
                <w:highlight w:val="none"/>
                <w:u w:val="none"/>
                <w:vertAlign w:val="baseline"/>
                <w:lang w:val="en-US" w:eastAsia="zh-CN"/>
              </w:rPr>
              <w:t>生态恢复工程</w:t>
            </w:r>
          </w:p>
        </w:tc>
        <w:tc>
          <w:tcPr>
            <w:tcW w:w="5957" w:type="dxa"/>
            <w:noWrap w:val="0"/>
            <w:vAlign w:val="center"/>
          </w:tcPr>
          <w:p w14:paraId="5E3888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yellow"/>
                <w:u w:val="none"/>
                <w:vertAlign w:val="baseline"/>
                <w:lang w:val="en-US" w:eastAsia="zh-CN" w:bidi="ar-SA"/>
              </w:rPr>
            </w:pPr>
            <w:r>
              <w:rPr>
                <w:rFonts w:hint="default" w:ascii="Times New Roman" w:hAnsi="Times New Roman" w:cs="Times New Roman"/>
                <w:sz w:val="21"/>
                <w:szCs w:val="21"/>
                <w:highlight w:val="none"/>
                <w:u w:val="none"/>
                <w:vertAlign w:val="baseline"/>
                <w:lang w:val="en-US" w:eastAsia="zh-CN"/>
              </w:rPr>
              <w:t>生态恢复面积24023.59m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，填埋场、取土场四周截洪沟、沟口处挡墙等，施工临时道路边坡挡护、排水沟及生态恢复等。填埋场封场采用灌草生态恢复系统，取土场采用混播草籽覆绿。</w:t>
            </w:r>
          </w:p>
        </w:tc>
      </w:tr>
      <w:tr w14:paraId="23CB9C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restart"/>
            <w:noWrap w:val="0"/>
            <w:vAlign w:val="center"/>
          </w:tcPr>
          <w:p w14:paraId="5A7D15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公用工程及临时工程</w:t>
            </w:r>
          </w:p>
        </w:tc>
        <w:tc>
          <w:tcPr>
            <w:tcW w:w="2688" w:type="dxa"/>
            <w:gridSpan w:val="2"/>
            <w:noWrap w:val="0"/>
            <w:vAlign w:val="center"/>
          </w:tcPr>
          <w:p w14:paraId="7787FD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给排水</w:t>
            </w:r>
          </w:p>
        </w:tc>
        <w:tc>
          <w:tcPr>
            <w:tcW w:w="5957" w:type="dxa"/>
            <w:noWrap w:val="0"/>
            <w:vAlign w:val="center"/>
          </w:tcPr>
          <w:p w14:paraId="489BD8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生产生活用水取自场地周边村庄；排水体制采用雨、污分流制，雨水经雨水沟收集后外排；施工生活污水经化粪池处理后用于农肥，不外排；施工期车辆清洗废水经沉淀池处理后回用；场地开挖产生的淋溶水及填埋场施工期和封场后产生的渗滤液经管道输送至重金属一体化废水处理设备处理后送至湖南黄金天岳矿业有限公司垂拱洞尾矿库废水处理站进一步处理后外排。</w:t>
            </w:r>
          </w:p>
        </w:tc>
      </w:tr>
      <w:tr w14:paraId="3615B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619567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2688" w:type="dxa"/>
            <w:gridSpan w:val="2"/>
            <w:noWrap w:val="0"/>
            <w:vAlign w:val="center"/>
          </w:tcPr>
          <w:p w14:paraId="6158B5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供电</w:t>
            </w:r>
          </w:p>
        </w:tc>
        <w:tc>
          <w:tcPr>
            <w:tcW w:w="5957" w:type="dxa"/>
            <w:noWrap w:val="0"/>
            <w:vAlign w:val="center"/>
          </w:tcPr>
          <w:p w14:paraId="598275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yellow"/>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供电由周边村庄电力系统引进。</w:t>
            </w:r>
          </w:p>
        </w:tc>
      </w:tr>
      <w:tr w14:paraId="78AAEC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vMerge w:val="continue"/>
            <w:noWrap w:val="0"/>
            <w:vAlign w:val="center"/>
          </w:tcPr>
          <w:p w14:paraId="57A609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2688" w:type="dxa"/>
            <w:gridSpan w:val="2"/>
            <w:noWrap w:val="0"/>
            <w:vAlign w:val="center"/>
          </w:tcPr>
          <w:p w14:paraId="11F658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施工营地</w:t>
            </w:r>
          </w:p>
        </w:tc>
        <w:tc>
          <w:tcPr>
            <w:tcW w:w="5957" w:type="dxa"/>
            <w:noWrap w:val="0"/>
            <w:vAlign w:val="center"/>
          </w:tcPr>
          <w:p w14:paraId="44D205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施工单位的施工人员直接租用附近村庄房屋居住，不再新建施工营地；项目施工区域大，施工有关设施、材料和机械停放场地均可在项目场地内部布置，无需单独设置施工生产场地。</w:t>
            </w:r>
          </w:p>
        </w:tc>
      </w:tr>
      <w:tr w14:paraId="0F4D26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vMerge w:val="continue"/>
            <w:noWrap w:val="0"/>
            <w:vAlign w:val="center"/>
          </w:tcPr>
          <w:p w14:paraId="1F40E3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2688" w:type="dxa"/>
            <w:gridSpan w:val="2"/>
            <w:noWrap w:val="0"/>
            <w:vAlign w:val="center"/>
          </w:tcPr>
          <w:p w14:paraId="2C733C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施工便道</w:t>
            </w:r>
          </w:p>
        </w:tc>
        <w:tc>
          <w:tcPr>
            <w:tcW w:w="5957" w:type="dxa"/>
            <w:noWrap w:val="0"/>
            <w:vAlign w:val="center"/>
          </w:tcPr>
          <w:p w14:paraId="208D73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新建临时道路为泥结碎石路面，3.5米宽，长度2151m。取土场运输道路为依托现有乡道后与本项目新建的临时道路连通，施工结束后进行生态恢复。</w:t>
            </w:r>
          </w:p>
        </w:tc>
      </w:tr>
      <w:tr w14:paraId="19CD15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365746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p>
        </w:tc>
        <w:tc>
          <w:tcPr>
            <w:tcW w:w="2688" w:type="dxa"/>
            <w:gridSpan w:val="2"/>
            <w:noWrap w:val="0"/>
            <w:vAlign w:val="center"/>
          </w:tcPr>
          <w:p w14:paraId="654D03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vertAlign w:val="baseline"/>
                <w:lang w:val="en-US" w:eastAsia="zh-CN"/>
              </w:rPr>
            </w:pPr>
            <w:r>
              <w:rPr>
                <w:rFonts w:hint="default" w:ascii="Times New Roman" w:hAnsi="Times New Roman" w:cs="Times New Roman"/>
                <w:color w:val="auto"/>
                <w:sz w:val="21"/>
                <w:szCs w:val="21"/>
                <w:highlight w:val="none"/>
                <w:u w:val="none"/>
                <w:vertAlign w:val="baseline"/>
                <w:lang w:val="en-US" w:eastAsia="zh-CN"/>
              </w:rPr>
              <w:t>取土场</w:t>
            </w:r>
          </w:p>
        </w:tc>
        <w:tc>
          <w:tcPr>
            <w:tcW w:w="5957" w:type="dxa"/>
            <w:noWrap w:val="0"/>
            <w:vAlign w:val="center"/>
          </w:tcPr>
          <w:p w14:paraId="5B236B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u w:val="none"/>
                <w:vertAlign w:val="baseline"/>
                <w:lang w:val="en-US" w:eastAsia="zh-CN"/>
              </w:rPr>
            </w:pPr>
            <w:r>
              <w:rPr>
                <w:rFonts w:hint="default" w:ascii="Times New Roman" w:hAnsi="Times New Roman" w:cs="Times New Roman"/>
                <w:color w:val="auto"/>
                <w:sz w:val="21"/>
                <w:szCs w:val="21"/>
                <w:highlight w:val="none"/>
                <w:u w:val="none"/>
                <w:vertAlign w:val="baseline"/>
                <w:lang w:val="en-US" w:eastAsia="zh-CN"/>
              </w:rPr>
              <w:t>位于万古村（经度113°34′14.370″，纬度28°37′45.563″），占地面积2459.24m</w:t>
            </w:r>
            <w:r>
              <w:rPr>
                <w:rFonts w:hint="default" w:ascii="Times New Roman" w:hAnsi="Times New Roman" w:cs="Times New Roman"/>
                <w:color w:val="auto"/>
                <w:sz w:val="21"/>
                <w:szCs w:val="21"/>
                <w:highlight w:val="none"/>
                <w:u w:val="none"/>
                <w:vertAlign w:val="superscript"/>
                <w:lang w:val="en-US" w:eastAsia="zh-CN"/>
              </w:rPr>
              <w:t>2</w:t>
            </w:r>
            <w:r>
              <w:rPr>
                <w:rFonts w:hint="default" w:ascii="Times New Roman" w:hAnsi="Times New Roman" w:cs="Times New Roman"/>
                <w:color w:val="auto"/>
                <w:sz w:val="21"/>
                <w:szCs w:val="21"/>
                <w:highlight w:val="none"/>
                <w:u w:val="none"/>
                <w:vertAlign w:val="baseline"/>
                <w:lang w:val="en-US" w:eastAsia="zh-CN"/>
              </w:rPr>
              <w:t>，可取土方量约为5万m</w:t>
            </w:r>
            <w:r>
              <w:rPr>
                <w:rFonts w:hint="default" w:ascii="Times New Roman" w:hAnsi="Times New Roman" w:cs="Times New Roman"/>
                <w:color w:val="auto"/>
                <w:sz w:val="21"/>
                <w:szCs w:val="21"/>
                <w:highlight w:val="none"/>
                <w:u w:val="none"/>
                <w:vertAlign w:val="superscript"/>
                <w:lang w:val="en-US" w:eastAsia="zh-CN"/>
              </w:rPr>
              <w:t>3</w:t>
            </w:r>
            <w:r>
              <w:rPr>
                <w:rFonts w:hint="default" w:ascii="Times New Roman" w:hAnsi="Times New Roman" w:cs="Times New Roman"/>
                <w:color w:val="auto"/>
                <w:sz w:val="21"/>
                <w:szCs w:val="21"/>
                <w:highlight w:val="none"/>
                <w:u w:val="none"/>
                <w:vertAlign w:val="baseline"/>
                <w:lang w:val="en-US" w:eastAsia="zh-CN"/>
              </w:rPr>
              <w:t>，到项目场地的运输里程约120m。</w:t>
            </w:r>
          </w:p>
        </w:tc>
      </w:tr>
      <w:tr w14:paraId="2DDD75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restart"/>
            <w:noWrap w:val="0"/>
            <w:vAlign w:val="center"/>
          </w:tcPr>
          <w:p w14:paraId="4C7370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环保工程</w:t>
            </w:r>
          </w:p>
        </w:tc>
        <w:tc>
          <w:tcPr>
            <w:tcW w:w="2688" w:type="dxa"/>
            <w:gridSpan w:val="2"/>
            <w:noWrap w:val="0"/>
            <w:vAlign w:val="center"/>
          </w:tcPr>
          <w:p w14:paraId="1077BE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废气</w:t>
            </w:r>
          </w:p>
        </w:tc>
        <w:tc>
          <w:tcPr>
            <w:tcW w:w="5957" w:type="dxa"/>
            <w:noWrap w:val="0"/>
            <w:vAlign w:val="center"/>
          </w:tcPr>
          <w:p w14:paraId="448254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施工期洒水抑尘、围挡、覆盖、洗车平台等。</w:t>
            </w:r>
          </w:p>
        </w:tc>
      </w:tr>
      <w:tr w14:paraId="085FF5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5E2129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yellow"/>
                <w:u w:val="none"/>
                <w:vertAlign w:val="baseline"/>
                <w:lang w:val="en-US" w:eastAsia="zh-CN"/>
              </w:rPr>
            </w:pPr>
          </w:p>
        </w:tc>
        <w:tc>
          <w:tcPr>
            <w:tcW w:w="2688" w:type="dxa"/>
            <w:gridSpan w:val="2"/>
            <w:noWrap w:val="0"/>
            <w:vAlign w:val="center"/>
          </w:tcPr>
          <w:p w14:paraId="579A18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废水</w:t>
            </w:r>
          </w:p>
        </w:tc>
        <w:tc>
          <w:tcPr>
            <w:tcW w:w="5957" w:type="dxa"/>
            <w:noWrap w:val="0"/>
            <w:vAlign w:val="center"/>
          </w:tcPr>
          <w:p w14:paraId="4E5C4C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期生活污水采用化粪池处理后用于农肥，不外排；施工期车辆清洗废水经沉淀池处理后回用于洗车及洒水降尘；场地开挖产生的淋溶水及填埋场施工期和封场后产生的渗滤液经管道输送至重金属一体化废水处理设备处理后送至湖南黄金天岳矿业有限公司垂拱洞尾矿库废水处理站进一步处理后外排。</w:t>
            </w:r>
          </w:p>
        </w:tc>
      </w:tr>
      <w:tr w14:paraId="62040B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24DC1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yellow"/>
                <w:u w:val="none"/>
                <w:vertAlign w:val="baseline"/>
                <w:lang w:val="en-US" w:eastAsia="zh-CN"/>
              </w:rPr>
            </w:pPr>
          </w:p>
        </w:tc>
        <w:tc>
          <w:tcPr>
            <w:tcW w:w="2688" w:type="dxa"/>
            <w:gridSpan w:val="2"/>
            <w:noWrap w:val="0"/>
            <w:vAlign w:val="center"/>
          </w:tcPr>
          <w:p w14:paraId="6D068B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噪声</w:t>
            </w:r>
          </w:p>
        </w:tc>
        <w:tc>
          <w:tcPr>
            <w:tcW w:w="5957" w:type="dxa"/>
            <w:noWrap w:val="0"/>
            <w:vAlign w:val="center"/>
          </w:tcPr>
          <w:p w14:paraId="59C5ED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施工期设置临时隔声屏，施工设备、机械采用低噪声设备，定期进行设备维护。</w:t>
            </w:r>
          </w:p>
        </w:tc>
      </w:tr>
      <w:tr w14:paraId="2229C5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27" w:type="dxa"/>
            <w:vMerge w:val="continue"/>
            <w:noWrap w:val="0"/>
            <w:vAlign w:val="center"/>
          </w:tcPr>
          <w:p w14:paraId="71DF9E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yellow"/>
                <w:u w:val="none"/>
                <w:vertAlign w:val="baseline"/>
                <w:lang w:val="en-US" w:eastAsia="zh-CN"/>
              </w:rPr>
            </w:pPr>
          </w:p>
        </w:tc>
        <w:tc>
          <w:tcPr>
            <w:tcW w:w="2688" w:type="dxa"/>
            <w:gridSpan w:val="2"/>
            <w:noWrap w:val="0"/>
            <w:vAlign w:val="center"/>
          </w:tcPr>
          <w:p w14:paraId="3852A8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固废</w:t>
            </w:r>
          </w:p>
        </w:tc>
        <w:tc>
          <w:tcPr>
            <w:tcW w:w="5957" w:type="dxa"/>
            <w:noWrap w:val="0"/>
            <w:vAlign w:val="center"/>
          </w:tcPr>
          <w:p w14:paraId="7A706F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施工期废渣区废渣由填埋场进行集中安全填埋处置；生活垃圾、建筑垃圾交由环卫部门统一清运；废渣区废渣、沉淀池污泥运送至自建填埋场进行集中安全填埋处置；废防渗材料、废包装袋经收集后集中外售；施工期及封场后污水处理污泥作为危废委托有资质单位进行处理，定期清运，不在填埋场内暂存。</w:t>
            </w:r>
          </w:p>
        </w:tc>
      </w:tr>
      <w:tr w14:paraId="4E70B5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vMerge w:val="continue"/>
            <w:noWrap w:val="0"/>
            <w:vAlign w:val="center"/>
          </w:tcPr>
          <w:p w14:paraId="5E3A60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yellow"/>
                <w:u w:val="none"/>
                <w:vertAlign w:val="baseline"/>
                <w:lang w:val="en-US" w:eastAsia="zh-CN"/>
              </w:rPr>
            </w:pPr>
          </w:p>
        </w:tc>
        <w:tc>
          <w:tcPr>
            <w:tcW w:w="2688" w:type="dxa"/>
            <w:gridSpan w:val="2"/>
            <w:noWrap w:val="0"/>
            <w:vAlign w:val="center"/>
          </w:tcPr>
          <w:p w14:paraId="134620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生态</w:t>
            </w:r>
          </w:p>
        </w:tc>
        <w:tc>
          <w:tcPr>
            <w:tcW w:w="5957" w:type="dxa"/>
            <w:noWrap w:val="0"/>
            <w:vAlign w:val="center"/>
          </w:tcPr>
          <w:p w14:paraId="3AC8E8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yellow"/>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生态恢复面积24023.59m</w:t>
            </w:r>
            <w:r>
              <w:rPr>
                <w:rFonts w:hint="default" w:ascii="Times New Roman" w:hAnsi="Times New Roman" w:cs="Times New Roman"/>
                <w:sz w:val="21"/>
                <w:szCs w:val="21"/>
                <w:highlight w:val="none"/>
                <w:u w:val="none"/>
                <w:vertAlign w:val="superscript"/>
                <w:lang w:val="en-US" w:eastAsia="zh-CN"/>
              </w:rPr>
              <w:t>2</w:t>
            </w:r>
            <w:r>
              <w:rPr>
                <w:rFonts w:hint="default" w:ascii="Times New Roman" w:hAnsi="Times New Roman" w:cs="Times New Roman"/>
                <w:sz w:val="21"/>
                <w:szCs w:val="21"/>
                <w:highlight w:val="none"/>
                <w:u w:val="none"/>
                <w:vertAlign w:val="baseline"/>
                <w:lang w:val="en-US" w:eastAsia="zh-CN"/>
              </w:rPr>
              <w:t>，填埋场、取土场四周截洪沟、沟口处挡墙等，施工道路边坡挡护、排水沟等，填埋场及取土场表土单独剥离，单独存放，用于后期生态恢复。</w:t>
            </w:r>
          </w:p>
        </w:tc>
      </w:tr>
    </w:tbl>
    <w:p w14:paraId="107DA565">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3.1.4主要工程量</w:t>
      </w:r>
    </w:p>
    <w:p w14:paraId="5BD20854">
      <w:pPr>
        <w:rPr>
          <w:rFonts w:hint="default"/>
          <w:sz w:val="24"/>
          <w:szCs w:val="24"/>
          <w:highlight w:val="none"/>
          <w:lang w:val="en-US" w:eastAsia="zh-CN"/>
        </w:rPr>
      </w:pPr>
      <w:r>
        <w:rPr>
          <w:rFonts w:hint="eastAsia"/>
          <w:sz w:val="24"/>
          <w:szCs w:val="24"/>
          <w:highlight w:val="none"/>
          <w:lang w:val="en-US" w:eastAsia="zh-CN"/>
        </w:rPr>
        <w:t>本项目采用填埋处置法对历史遗留废渣进行治理，包括废渣挖掘场底清基、场底防渗、渗滤液导排、挡渣坝建设、封场防渗、截排水系统和生态恢复等工程。项目主要工程量见表3.1-24。</w:t>
      </w:r>
    </w:p>
    <w:p w14:paraId="12DD06F4">
      <w:pPr>
        <w:spacing w:line="240" w:lineRule="auto"/>
        <w:ind w:left="0" w:leftChars="0" w:firstLine="0" w:firstLineChars="0"/>
        <w:jc w:val="center"/>
        <w:rPr>
          <w:rFonts w:hint="default"/>
          <w:b/>
          <w:bCs/>
          <w:sz w:val="21"/>
          <w:szCs w:val="21"/>
          <w:highlight w:val="none"/>
          <w:lang w:val="en-US" w:eastAsia="zh-CN"/>
        </w:rPr>
      </w:pPr>
      <w:r>
        <w:rPr>
          <w:rFonts w:hint="eastAsia"/>
          <w:b/>
          <w:bCs/>
          <w:sz w:val="21"/>
          <w:szCs w:val="21"/>
          <w:highlight w:val="none"/>
          <w:lang w:val="en-US" w:eastAsia="zh-CN"/>
        </w:rPr>
        <w:t>表3.1-24  主要工程量一览表</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1595"/>
        <w:gridCol w:w="4922"/>
        <w:gridCol w:w="724"/>
        <w:gridCol w:w="1293"/>
      </w:tblGrid>
      <w:tr w14:paraId="3E0F94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 w:hRule="atLeast"/>
          <w:tblHeader/>
        </w:trPr>
        <w:tc>
          <w:tcPr>
            <w:tcW w:w="754" w:type="dxa"/>
            <w:noWrap w:val="0"/>
            <w:vAlign w:val="center"/>
          </w:tcPr>
          <w:p w14:paraId="7EE807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序号</w:t>
            </w:r>
          </w:p>
        </w:tc>
        <w:tc>
          <w:tcPr>
            <w:tcW w:w="1595" w:type="dxa"/>
            <w:noWrap w:val="0"/>
            <w:vAlign w:val="center"/>
          </w:tcPr>
          <w:p w14:paraId="42321D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项目名称</w:t>
            </w:r>
          </w:p>
        </w:tc>
        <w:tc>
          <w:tcPr>
            <w:tcW w:w="4922" w:type="dxa"/>
            <w:noWrap w:val="0"/>
            <w:vAlign w:val="center"/>
          </w:tcPr>
          <w:p w14:paraId="11E369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实施内容</w:t>
            </w:r>
          </w:p>
        </w:tc>
        <w:tc>
          <w:tcPr>
            <w:tcW w:w="724" w:type="dxa"/>
            <w:noWrap w:val="0"/>
            <w:vAlign w:val="center"/>
          </w:tcPr>
          <w:p w14:paraId="4AED26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单位</w:t>
            </w:r>
          </w:p>
        </w:tc>
        <w:tc>
          <w:tcPr>
            <w:tcW w:w="1293" w:type="dxa"/>
            <w:noWrap w:val="0"/>
            <w:vAlign w:val="center"/>
          </w:tcPr>
          <w:p w14:paraId="7D57B0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工程量</w:t>
            </w:r>
          </w:p>
        </w:tc>
      </w:tr>
      <w:tr w14:paraId="6DD119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009DFA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一</w:t>
            </w:r>
          </w:p>
        </w:tc>
        <w:tc>
          <w:tcPr>
            <w:tcW w:w="8534" w:type="dxa"/>
            <w:gridSpan w:val="4"/>
            <w:noWrap w:val="0"/>
            <w:vAlign w:val="center"/>
          </w:tcPr>
          <w:p w14:paraId="0E19AC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废渣堆废渣挖掘工程</w:t>
            </w:r>
          </w:p>
        </w:tc>
      </w:tr>
      <w:tr w14:paraId="5EE55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4" w:type="dxa"/>
            <w:noWrap w:val="0"/>
            <w:vAlign w:val="center"/>
          </w:tcPr>
          <w:p w14:paraId="28BDA3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val="0"/>
                <w:bCs w:val="0"/>
                <w:sz w:val="21"/>
                <w:szCs w:val="21"/>
                <w:highlight w:val="none"/>
                <w:u w:val="none"/>
                <w:vertAlign w:val="baseline"/>
                <w:lang w:val="en-US" w:eastAsia="zh-CN"/>
              </w:rPr>
            </w:pPr>
            <w:r>
              <w:rPr>
                <w:rFonts w:hint="eastAsia"/>
                <w:b w:val="0"/>
                <w:bCs w:val="0"/>
                <w:sz w:val="21"/>
                <w:szCs w:val="21"/>
                <w:highlight w:val="none"/>
                <w:u w:val="none"/>
                <w:vertAlign w:val="baseline"/>
                <w:lang w:val="en-US" w:eastAsia="zh-CN"/>
              </w:rPr>
              <w:t>1</w:t>
            </w:r>
          </w:p>
        </w:tc>
        <w:tc>
          <w:tcPr>
            <w:tcW w:w="1595" w:type="dxa"/>
            <w:noWrap w:val="0"/>
            <w:vAlign w:val="center"/>
          </w:tcPr>
          <w:p w14:paraId="7623EF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废渣挖掘清运</w:t>
            </w:r>
          </w:p>
        </w:tc>
        <w:tc>
          <w:tcPr>
            <w:tcW w:w="4922" w:type="dxa"/>
            <w:noWrap w:val="0"/>
            <w:vAlign w:val="center"/>
          </w:tcPr>
          <w:p w14:paraId="32BE89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废渣挖掘清运</w:t>
            </w:r>
          </w:p>
        </w:tc>
        <w:tc>
          <w:tcPr>
            <w:tcW w:w="724" w:type="dxa"/>
            <w:noWrap w:val="0"/>
            <w:vAlign w:val="center"/>
          </w:tcPr>
          <w:p w14:paraId="25CF88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m</w:t>
            </w:r>
            <w:r>
              <w:rPr>
                <w:rFonts w:hint="eastAsia"/>
                <w:sz w:val="21"/>
                <w:szCs w:val="21"/>
                <w:highlight w:val="none"/>
                <w:u w:val="none"/>
                <w:vertAlign w:val="superscript"/>
                <w:lang w:val="en-US" w:eastAsia="zh-CN"/>
              </w:rPr>
              <w:t>3</w:t>
            </w:r>
          </w:p>
        </w:tc>
        <w:tc>
          <w:tcPr>
            <w:tcW w:w="1293" w:type="dxa"/>
            <w:noWrap w:val="0"/>
            <w:vAlign w:val="center"/>
          </w:tcPr>
          <w:p w14:paraId="0ACF41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55999.73</w:t>
            </w:r>
          </w:p>
        </w:tc>
      </w:tr>
      <w:tr w14:paraId="20B25F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4" w:type="dxa"/>
            <w:noWrap w:val="0"/>
            <w:vAlign w:val="center"/>
          </w:tcPr>
          <w:p w14:paraId="3DE52B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二</w:t>
            </w:r>
          </w:p>
        </w:tc>
        <w:tc>
          <w:tcPr>
            <w:tcW w:w="8534" w:type="dxa"/>
            <w:gridSpan w:val="4"/>
            <w:noWrap w:val="0"/>
            <w:vAlign w:val="center"/>
          </w:tcPr>
          <w:p w14:paraId="4FBC50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废渣填埋场建设工程</w:t>
            </w:r>
          </w:p>
        </w:tc>
      </w:tr>
      <w:tr w14:paraId="00900C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F3175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2.1</w:t>
            </w:r>
          </w:p>
        </w:tc>
        <w:tc>
          <w:tcPr>
            <w:tcW w:w="8534" w:type="dxa"/>
            <w:gridSpan w:val="4"/>
            <w:noWrap w:val="0"/>
            <w:vAlign w:val="center"/>
          </w:tcPr>
          <w:p w14:paraId="085495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废渣填埋场库区整形及地基处理</w:t>
            </w:r>
          </w:p>
        </w:tc>
      </w:tr>
      <w:tr w14:paraId="6B063A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03FD27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231AEC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default"/>
                <w:sz w:val="21"/>
                <w:szCs w:val="21"/>
                <w:highlight w:val="none"/>
                <w:u w:val="none"/>
                <w:vertAlign w:val="baseline"/>
                <w:lang w:val="en-US" w:eastAsia="zh-CN"/>
              </w:rPr>
              <w:t>库区整形及地基处理</w:t>
            </w:r>
          </w:p>
        </w:tc>
        <w:tc>
          <w:tcPr>
            <w:tcW w:w="4922" w:type="dxa"/>
            <w:noWrap w:val="0"/>
            <w:vAlign w:val="center"/>
          </w:tcPr>
          <w:p w14:paraId="410B91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库区整形及地基处理</w:t>
            </w:r>
          </w:p>
        </w:tc>
        <w:tc>
          <w:tcPr>
            <w:tcW w:w="724" w:type="dxa"/>
            <w:noWrap w:val="0"/>
            <w:vAlign w:val="center"/>
          </w:tcPr>
          <w:p w14:paraId="3B162F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3CC8C4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4250</w:t>
            </w:r>
          </w:p>
        </w:tc>
      </w:tr>
      <w:tr w14:paraId="5C1EEF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7ACBD7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2.2</w:t>
            </w:r>
          </w:p>
        </w:tc>
        <w:tc>
          <w:tcPr>
            <w:tcW w:w="8534" w:type="dxa"/>
            <w:gridSpan w:val="4"/>
            <w:noWrap w:val="0"/>
            <w:vAlign w:val="center"/>
          </w:tcPr>
          <w:p w14:paraId="3512A4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废渣填埋场底防渗工程</w:t>
            </w:r>
          </w:p>
        </w:tc>
      </w:tr>
      <w:tr w14:paraId="1F4EE9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11145B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58A5DF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土工布</w:t>
            </w:r>
          </w:p>
        </w:tc>
        <w:tc>
          <w:tcPr>
            <w:tcW w:w="4922" w:type="dxa"/>
            <w:noWrap w:val="0"/>
            <w:vAlign w:val="center"/>
          </w:tcPr>
          <w:p w14:paraId="4EEBB6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600g/m</w:t>
            </w:r>
            <w:r>
              <w:rPr>
                <w:rFonts w:hint="eastAsia"/>
                <w:color w:val="auto"/>
                <w:sz w:val="21"/>
                <w:szCs w:val="21"/>
                <w:highlight w:val="none"/>
                <w:u w:val="none"/>
                <w:vertAlign w:val="superscript"/>
                <w:lang w:val="en-US" w:eastAsia="zh-CN"/>
              </w:rPr>
              <w:t>2</w:t>
            </w:r>
          </w:p>
        </w:tc>
        <w:tc>
          <w:tcPr>
            <w:tcW w:w="724" w:type="dxa"/>
            <w:noWrap w:val="0"/>
            <w:vAlign w:val="center"/>
          </w:tcPr>
          <w:p w14:paraId="016D4C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09260D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8517.8</w:t>
            </w:r>
          </w:p>
        </w:tc>
      </w:tr>
      <w:tr w14:paraId="7C5E9F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6EA210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2</w:t>
            </w:r>
          </w:p>
        </w:tc>
        <w:tc>
          <w:tcPr>
            <w:tcW w:w="1595" w:type="dxa"/>
            <w:noWrap w:val="0"/>
            <w:vAlign w:val="center"/>
          </w:tcPr>
          <w:p w14:paraId="75668B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土工膜</w:t>
            </w:r>
          </w:p>
        </w:tc>
        <w:tc>
          <w:tcPr>
            <w:tcW w:w="4922" w:type="dxa"/>
            <w:noWrap w:val="0"/>
            <w:vAlign w:val="center"/>
          </w:tcPr>
          <w:p w14:paraId="59F461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1.5mm厚双糙面HDPE防渗膜</w:t>
            </w:r>
          </w:p>
        </w:tc>
        <w:tc>
          <w:tcPr>
            <w:tcW w:w="724" w:type="dxa"/>
            <w:noWrap w:val="0"/>
            <w:vAlign w:val="center"/>
          </w:tcPr>
          <w:p w14:paraId="072781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0BF0CD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8517.8</w:t>
            </w:r>
          </w:p>
        </w:tc>
      </w:tr>
      <w:tr w14:paraId="24B94D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46FC03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3</w:t>
            </w:r>
          </w:p>
        </w:tc>
        <w:tc>
          <w:tcPr>
            <w:tcW w:w="1595" w:type="dxa"/>
            <w:noWrap w:val="0"/>
            <w:vAlign w:val="center"/>
          </w:tcPr>
          <w:p w14:paraId="686407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土工布</w:t>
            </w:r>
          </w:p>
        </w:tc>
        <w:tc>
          <w:tcPr>
            <w:tcW w:w="4922" w:type="dxa"/>
            <w:noWrap w:val="0"/>
            <w:vAlign w:val="center"/>
          </w:tcPr>
          <w:p w14:paraId="5CCAF3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600g/m</w:t>
            </w:r>
            <w:r>
              <w:rPr>
                <w:rFonts w:hint="eastAsia"/>
                <w:color w:val="auto"/>
                <w:sz w:val="21"/>
                <w:szCs w:val="21"/>
                <w:highlight w:val="none"/>
                <w:u w:val="none"/>
                <w:vertAlign w:val="superscript"/>
                <w:lang w:val="en-US" w:eastAsia="zh-CN"/>
              </w:rPr>
              <w:t>2</w:t>
            </w:r>
          </w:p>
        </w:tc>
        <w:tc>
          <w:tcPr>
            <w:tcW w:w="724" w:type="dxa"/>
            <w:noWrap w:val="0"/>
            <w:vAlign w:val="center"/>
          </w:tcPr>
          <w:p w14:paraId="51B266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26D225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8517.8</w:t>
            </w:r>
          </w:p>
        </w:tc>
      </w:tr>
      <w:tr w14:paraId="4EA424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766F6C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4</w:t>
            </w:r>
          </w:p>
        </w:tc>
        <w:tc>
          <w:tcPr>
            <w:tcW w:w="1595" w:type="dxa"/>
            <w:noWrap w:val="0"/>
            <w:vAlign w:val="center"/>
          </w:tcPr>
          <w:p w14:paraId="778D7F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厚压实粘土</w:t>
            </w:r>
          </w:p>
        </w:tc>
        <w:tc>
          <w:tcPr>
            <w:tcW w:w="4922" w:type="dxa"/>
            <w:noWrap w:val="0"/>
            <w:vAlign w:val="center"/>
          </w:tcPr>
          <w:p w14:paraId="419198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75cm</w:t>
            </w:r>
          </w:p>
        </w:tc>
        <w:tc>
          <w:tcPr>
            <w:tcW w:w="724" w:type="dxa"/>
            <w:noWrap w:val="0"/>
            <w:vAlign w:val="center"/>
          </w:tcPr>
          <w:p w14:paraId="060AA8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3</w:t>
            </w:r>
          </w:p>
        </w:tc>
        <w:tc>
          <w:tcPr>
            <w:tcW w:w="1293" w:type="dxa"/>
            <w:noWrap w:val="0"/>
            <w:vAlign w:val="center"/>
          </w:tcPr>
          <w:p w14:paraId="122D59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8517.8</w:t>
            </w:r>
          </w:p>
        </w:tc>
      </w:tr>
      <w:tr w14:paraId="5A0848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22F34F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2.3</w:t>
            </w:r>
          </w:p>
        </w:tc>
        <w:tc>
          <w:tcPr>
            <w:tcW w:w="8534" w:type="dxa"/>
            <w:gridSpan w:val="4"/>
            <w:noWrap w:val="0"/>
            <w:vAlign w:val="center"/>
          </w:tcPr>
          <w:p w14:paraId="2EF007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渗滤液导排工程</w:t>
            </w:r>
          </w:p>
        </w:tc>
      </w:tr>
      <w:tr w14:paraId="0DC089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754" w:type="dxa"/>
            <w:noWrap w:val="0"/>
            <w:vAlign w:val="center"/>
          </w:tcPr>
          <w:p w14:paraId="1BEDE1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vMerge w:val="restart"/>
            <w:noWrap w:val="0"/>
            <w:vAlign w:val="center"/>
          </w:tcPr>
          <w:p w14:paraId="16D1EF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渗滤液导排</w:t>
            </w:r>
          </w:p>
        </w:tc>
        <w:tc>
          <w:tcPr>
            <w:tcW w:w="4922" w:type="dxa"/>
            <w:noWrap w:val="0"/>
            <w:vAlign w:val="center"/>
          </w:tcPr>
          <w:p w14:paraId="7418C2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渗滤液收集支管DN200 HDPE花管</w:t>
            </w:r>
          </w:p>
        </w:tc>
        <w:tc>
          <w:tcPr>
            <w:tcW w:w="724" w:type="dxa"/>
            <w:noWrap w:val="0"/>
            <w:vAlign w:val="center"/>
          </w:tcPr>
          <w:p w14:paraId="08C22B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m</w:t>
            </w:r>
          </w:p>
        </w:tc>
        <w:tc>
          <w:tcPr>
            <w:tcW w:w="1293" w:type="dxa"/>
            <w:noWrap w:val="0"/>
            <w:vAlign w:val="center"/>
          </w:tcPr>
          <w:p w14:paraId="2FE33F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466.4</w:t>
            </w:r>
          </w:p>
        </w:tc>
      </w:tr>
      <w:tr w14:paraId="0DEC8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206223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2</w:t>
            </w:r>
          </w:p>
        </w:tc>
        <w:tc>
          <w:tcPr>
            <w:tcW w:w="1595" w:type="dxa"/>
            <w:vMerge w:val="continue"/>
            <w:noWrap w:val="0"/>
            <w:vAlign w:val="center"/>
          </w:tcPr>
          <w:p w14:paraId="19AC54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p>
        </w:tc>
        <w:tc>
          <w:tcPr>
            <w:tcW w:w="4922" w:type="dxa"/>
            <w:noWrap w:val="0"/>
            <w:vAlign w:val="center"/>
          </w:tcPr>
          <w:p w14:paraId="4CB708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渗滤液收集主管DN315 HDPE花管</w:t>
            </w:r>
          </w:p>
        </w:tc>
        <w:tc>
          <w:tcPr>
            <w:tcW w:w="724" w:type="dxa"/>
            <w:noWrap w:val="0"/>
            <w:vAlign w:val="center"/>
          </w:tcPr>
          <w:p w14:paraId="1886DD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m</w:t>
            </w:r>
          </w:p>
        </w:tc>
        <w:tc>
          <w:tcPr>
            <w:tcW w:w="1293" w:type="dxa"/>
            <w:noWrap w:val="0"/>
            <w:vAlign w:val="center"/>
          </w:tcPr>
          <w:p w14:paraId="0D134C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156</w:t>
            </w:r>
          </w:p>
        </w:tc>
      </w:tr>
      <w:tr w14:paraId="73BE53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05E47B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3</w:t>
            </w:r>
          </w:p>
        </w:tc>
        <w:tc>
          <w:tcPr>
            <w:tcW w:w="1595" w:type="dxa"/>
            <w:noWrap w:val="0"/>
            <w:vAlign w:val="center"/>
          </w:tcPr>
          <w:p w14:paraId="14B3F3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渗滤液收集池</w:t>
            </w:r>
          </w:p>
        </w:tc>
        <w:tc>
          <w:tcPr>
            <w:tcW w:w="4922" w:type="dxa"/>
            <w:noWrap w:val="0"/>
            <w:vAlign w:val="center"/>
          </w:tcPr>
          <w:p w14:paraId="0D7689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渗滤液收集池</w:t>
            </w:r>
          </w:p>
        </w:tc>
        <w:tc>
          <w:tcPr>
            <w:tcW w:w="724" w:type="dxa"/>
            <w:noWrap w:val="0"/>
            <w:vAlign w:val="center"/>
          </w:tcPr>
          <w:p w14:paraId="360FE0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vertAlign w:val="baseline"/>
                <w:lang w:val="en-US" w:eastAsia="zh-CN"/>
              </w:rPr>
            </w:pPr>
            <w:r>
              <w:rPr>
                <w:rFonts w:hint="eastAsia"/>
                <w:sz w:val="21"/>
                <w:szCs w:val="21"/>
                <w:highlight w:val="none"/>
                <w:u w:val="none"/>
                <w:vertAlign w:val="baseline"/>
                <w:lang w:val="en-US" w:eastAsia="zh-CN"/>
              </w:rPr>
              <w:t>m</w:t>
            </w:r>
            <w:r>
              <w:rPr>
                <w:rFonts w:hint="eastAsia"/>
                <w:sz w:val="21"/>
                <w:szCs w:val="21"/>
                <w:highlight w:val="none"/>
                <w:u w:val="none"/>
                <w:vertAlign w:val="superscript"/>
                <w:lang w:val="en-US" w:eastAsia="zh-CN"/>
              </w:rPr>
              <w:t>3</w:t>
            </w:r>
          </w:p>
        </w:tc>
        <w:tc>
          <w:tcPr>
            <w:tcW w:w="1293" w:type="dxa"/>
            <w:noWrap w:val="0"/>
            <w:vAlign w:val="center"/>
          </w:tcPr>
          <w:p w14:paraId="450E0A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30</w:t>
            </w:r>
          </w:p>
        </w:tc>
      </w:tr>
      <w:tr w14:paraId="683794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4F295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4</w:t>
            </w:r>
          </w:p>
        </w:tc>
        <w:tc>
          <w:tcPr>
            <w:tcW w:w="1595" w:type="dxa"/>
            <w:noWrap w:val="0"/>
            <w:vAlign w:val="center"/>
          </w:tcPr>
          <w:p w14:paraId="709AF6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渗滤液处理</w:t>
            </w:r>
          </w:p>
        </w:tc>
        <w:tc>
          <w:tcPr>
            <w:tcW w:w="4922" w:type="dxa"/>
            <w:noWrap w:val="0"/>
            <w:vAlign w:val="center"/>
          </w:tcPr>
          <w:p w14:paraId="07350E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一体化污水处理装置</w:t>
            </w:r>
          </w:p>
        </w:tc>
        <w:tc>
          <w:tcPr>
            <w:tcW w:w="724" w:type="dxa"/>
            <w:noWrap w:val="0"/>
            <w:vAlign w:val="center"/>
          </w:tcPr>
          <w:p w14:paraId="0091CA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座</w:t>
            </w:r>
          </w:p>
        </w:tc>
        <w:tc>
          <w:tcPr>
            <w:tcW w:w="1293" w:type="dxa"/>
            <w:noWrap w:val="0"/>
            <w:vAlign w:val="center"/>
          </w:tcPr>
          <w:p w14:paraId="57E53A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r>
      <w:tr w14:paraId="1725A8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0C802D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2.4</w:t>
            </w:r>
          </w:p>
        </w:tc>
        <w:tc>
          <w:tcPr>
            <w:tcW w:w="8534" w:type="dxa"/>
            <w:gridSpan w:val="4"/>
            <w:noWrap w:val="0"/>
            <w:vAlign w:val="center"/>
          </w:tcPr>
          <w:p w14:paraId="705F03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地下水导排工程</w:t>
            </w:r>
          </w:p>
        </w:tc>
      </w:tr>
      <w:tr w14:paraId="68A6F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7D2B69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1</w:t>
            </w:r>
          </w:p>
        </w:tc>
        <w:tc>
          <w:tcPr>
            <w:tcW w:w="1595" w:type="dxa"/>
            <w:vMerge w:val="restart"/>
            <w:noWrap w:val="0"/>
            <w:vAlign w:val="center"/>
          </w:tcPr>
          <w:p w14:paraId="3072ED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地下水导排</w:t>
            </w:r>
          </w:p>
        </w:tc>
        <w:tc>
          <w:tcPr>
            <w:tcW w:w="4922" w:type="dxa"/>
            <w:noWrap w:val="0"/>
            <w:vAlign w:val="center"/>
          </w:tcPr>
          <w:p w14:paraId="739ECD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支管DN200 HDPE花管</w:t>
            </w:r>
          </w:p>
        </w:tc>
        <w:tc>
          <w:tcPr>
            <w:tcW w:w="724" w:type="dxa"/>
            <w:noWrap w:val="0"/>
            <w:vAlign w:val="center"/>
          </w:tcPr>
          <w:p w14:paraId="3A1EF9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m</w:t>
            </w:r>
          </w:p>
        </w:tc>
        <w:tc>
          <w:tcPr>
            <w:tcW w:w="1293" w:type="dxa"/>
            <w:noWrap w:val="0"/>
            <w:vAlign w:val="center"/>
          </w:tcPr>
          <w:p w14:paraId="25EB84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240</w:t>
            </w:r>
          </w:p>
        </w:tc>
      </w:tr>
      <w:tr w14:paraId="36A6B0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47CA77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2</w:t>
            </w:r>
          </w:p>
        </w:tc>
        <w:tc>
          <w:tcPr>
            <w:tcW w:w="1595" w:type="dxa"/>
            <w:vMerge w:val="continue"/>
            <w:noWrap w:val="0"/>
            <w:vAlign w:val="center"/>
          </w:tcPr>
          <w:p w14:paraId="4D1E9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p>
        </w:tc>
        <w:tc>
          <w:tcPr>
            <w:tcW w:w="4922" w:type="dxa"/>
            <w:noWrap w:val="0"/>
            <w:vAlign w:val="center"/>
          </w:tcPr>
          <w:p w14:paraId="1D1A0E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主管DN315 HDPE花管</w:t>
            </w:r>
          </w:p>
        </w:tc>
        <w:tc>
          <w:tcPr>
            <w:tcW w:w="724" w:type="dxa"/>
            <w:noWrap w:val="0"/>
            <w:vAlign w:val="center"/>
          </w:tcPr>
          <w:p w14:paraId="03CCC0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m</w:t>
            </w:r>
          </w:p>
        </w:tc>
        <w:tc>
          <w:tcPr>
            <w:tcW w:w="1293" w:type="dxa"/>
            <w:noWrap w:val="0"/>
            <w:vAlign w:val="center"/>
          </w:tcPr>
          <w:p w14:paraId="071669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vertAlign w:val="baseline"/>
                <w:lang w:val="en-US" w:eastAsia="zh-CN" w:bidi="ar-SA"/>
              </w:rPr>
            </w:pPr>
            <w:r>
              <w:rPr>
                <w:rFonts w:hint="eastAsia"/>
                <w:sz w:val="21"/>
                <w:szCs w:val="21"/>
                <w:highlight w:val="none"/>
                <w:u w:val="none"/>
                <w:vertAlign w:val="baseline"/>
                <w:lang w:val="en-US" w:eastAsia="zh-CN"/>
              </w:rPr>
              <w:t>150</w:t>
            </w:r>
          </w:p>
        </w:tc>
      </w:tr>
      <w:tr w14:paraId="03CF6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5C04DF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3</w:t>
            </w:r>
          </w:p>
        </w:tc>
        <w:tc>
          <w:tcPr>
            <w:tcW w:w="1595" w:type="dxa"/>
            <w:noWrap w:val="0"/>
            <w:vAlign w:val="center"/>
          </w:tcPr>
          <w:p w14:paraId="440448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地下水监控</w:t>
            </w:r>
          </w:p>
        </w:tc>
        <w:tc>
          <w:tcPr>
            <w:tcW w:w="4922" w:type="dxa"/>
            <w:noWrap w:val="0"/>
            <w:vAlign w:val="center"/>
          </w:tcPr>
          <w:p w14:paraId="6B8E78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地下水监测井</w:t>
            </w:r>
          </w:p>
        </w:tc>
        <w:tc>
          <w:tcPr>
            <w:tcW w:w="724" w:type="dxa"/>
            <w:noWrap w:val="0"/>
            <w:vAlign w:val="center"/>
          </w:tcPr>
          <w:p w14:paraId="03D7BF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口</w:t>
            </w:r>
          </w:p>
        </w:tc>
        <w:tc>
          <w:tcPr>
            <w:tcW w:w="1293" w:type="dxa"/>
            <w:noWrap w:val="0"/>
            <w:vAlign w:val="center"/>
          </w:tcPr>
          <w:p w14:paraId="4B7BEC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8</w:t>
            </w:r>
          </w:p>
        </w:tc>
      </w:tr>
      <w:tr w14:paraId="5BB4E4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5BA463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2.5</w:t>
            </w:r>
          </w:p>
        </w:tc>
        <w:tc>
          <w:tcPr>
            <w:tcW w:w="8534" w:type="dxa"/>
            <w:gridSpan w:val="4"/>
            <w:noWrap w:val="0"/>
            <w:vAlign w:val="center"/>
          </w:tcPr>
          <w:p w14:paraId="08E023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挡渣坝工程</w:t>
            </w:r>
          </w:p>
        </w:tc>
      </w:tr>
      <w:tr w14:paraId="36DF89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76CC40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3DF889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挡渣坝</w:t>
            </w:r>
          </w:p>
        </w:tc>
        <w:tc>
          <w:tcPr>
            <w:tcW w:w="4922" w:type="dxa"/>
            <w:noWrap w:val="0"/>
            <w:vAlign w:val="center"/>
          </w:tcPr>
          <w:p w14:paraId="6B6474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新建重力式浆砌石挡渣坝</w:t>
            </w:r>
          </w:p>
        </w:tc>
        <w:tc>
          <w:tcPr>
            <w:tcW w:w="724" w:type="dxa"/>
            <w:noWrap w:val="0"/>
            <w:vAlign w:val="center"/>
          </w:tcPr>
          <w:p w14:paraId="424B96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vertAlign w:val="baseline"/>
                <w:lang w:val="en-US" w:eastAsia="zh-CN"/>
              </w:rPr>
            </w:pPr>
            <w:r>
              <w:rPr>
                <w:rFonts w:hint="eastAsia"/>
                <w:sz w:val="21"/>
                <w:szCs w:val="21"/>
                <w:highlight w:val="none"/>
                <w:u w:val="none"/>
                <w:vertAlign w:val="baseline"/>
                <w:lang w:val="en-US" w:eastAsia="zh-CN"/>
              </w:rPr>
              <w:t>m</w:t>
            </w:r>
          </w:p>
        </w:tc>
        <w:tc>
          <w:tcPr>
            <w:tcW w:w="1293" w:type="dxa"/>
            <w:noWrap w:val="0"/>
            <w:vAlign w:val="center"/>
          </w:tcPr>
          <w:p w14:paraId="0554AA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134.3</w:t>
            </w:r>
          </w:p>
        </w:tc>
      </w:tr>
      <w:tr w14:paraId="0316F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427C0F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2.6</w:t>
            </w:r>
          </w:p>
        </w:tc>
        <w:tc>
          <w:tcPr>
            <w:tcW w:w="8534" w:type="dxa"/>
            <w:gridSpan w:val="4"/>
            <w:noWrap w:val="0"/>
            <w:vAlign w:val="center"/>
          </w:tcPr>
          <w:p w14:paraId="02528F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废渣封场防渗工程</w:t>
            </w:r>
          </w:p>
        </w:tc>
      </w:tr>
      <w:tr w14:paraId="28B38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D72AB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2F238F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营养土</w:t>
            </w:r>
          </w:p>
        </w:tc>
        <w:tc>
          <w:tcPr>
            <w:tcW w:w="4922" w:type="dxa"/>
            <w:noWrap w:val="0"/>
            <w:vAlign w:val="center"/>
          </w:tcPr>
          <w:p w14:paraId="6B1ADE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50cm</w:t>
            </w:r>
          </w:p>
        </w:tc>
        <w:tc>
          <w:tcPr>
            <w:tcW w:w="724" w:type="dxa"/>
            <w:noWrap w:val="0"/>
            <w:vAlign w:val="center"/>
          </w:tcPr>
          <w:p w14:paraId="3437C2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3</w:t>
            </w:r>
          </w:p>
        </w:tc>
        <w:tc>
          <w:tcPr>
            <w:tcW w:w="1293" w:type="dxa"/>
            <w:noWrap w:val="0"/>
            <w:vAlign w:val="center"/>
          </w:tcPr>
          <w:p w14:paraId="74D3BE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4250</w:t>
            </w:r>
          </w:p>
        </w:tc>
      </w:tr>
      <w:tr w14:paraId="6651C2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5BB034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2</w:t>
            </w:r>
          </w:p>
        </w:tc>
        <w:tc>
          <w:tcPr>
            <w:tcW w:w="1595" w:type="dxa"/>
            <w:noWrap w:val="0"/>
            <w:vAlign w:val="center"/>
          </w:tcPr>
          <w:p w14:paraId="6C56A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自然土</w:t>
            </w:r>
          </w:p>
        </w:tc>
        <w:tc>
          <w:tcPr>
            <w:tcW w:w="4922" w:type="dxa"/>
            <w:noWrap w:val="0"/>
            <w:vAlign w:val="center"/>
          </w:tcPr>
          <w:p w14:paraId="3F8D3A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50cm</w:t>
            </w:r>
          </w:p>
        </w:tc>
        <w:tc>
          <w:tcPr>
            <w:tcW w:w="724" w:type="dxa"/>
            <w:noWrap w:val="0"/>
            <w:vAlign w:val="center"/>
          </w:tcPr>
          <w:p w14:paraId="7B736F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3</w:t>
            </w:r>
          </w:p>
        </w:tc>
        <w:tc>
          <w:tcPr>
            <w:tcW w:w="1293" w:type="dxa"/>
            <w:noWrap w:val="0"/>
            <w:vAlign w:val="center"/>
          </w:tcPr>
          <w:p w14:paraId="75ECF9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4250</w:t>
            </w:r>
          </w:p>
        </w:tc>
      </w:tr>
      <w:tr w14:paraId="0EA6DE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EF646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3</w:t>
            </w:r>
          </w:p>
        </w:tc>
        <w:tc>
          <w:tcPr>
            <w:tcW w:w="1595" w:type="dxa"/>
            <w:noWrap w:val="0"/>
            <w:vAlign w:val="center"/>
          </w:tcPr>
          <w:p w14:paraId="552255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土工布</w:t>
            </w:r>
          </w:p>
        </w:tc>
        <w:tc>
          <w:tcPr>
            <w:tcW w:w="4922" w:type="dxa"/>
            <w:noWrap w:val="0"/>
            <w:vAlign w:val="center"/>
          </w:tcPr>
          <w:p w14:paraId="34B6DE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400g/m</w:t>
            </w:r>
            <w:r>
              <w:rPr>
                <w:rFonts w:hint="eastAsia"/>
                <w:color w:val="auto"/>
                <w:sz w:val="21"/>
                <w:szCs w:val="21"/>
                <w:highlight w:val="none"/>
                <w:u w:val="none"/>
                <w:vertAlign w:val="superscript"/>
                <w:lang w:val="en-US" w:eastAsia="zh-CN"/>
              </w:rPr>
              <w:t>2</w:t>
            </w:r>
          </w:p>
        </w:tc>
        <w:tc>
          <w:tcPr>
            <w:tcW w:w="724" w:type="dxa"/>
            <w:noWrap w:val="0"/>
            <w:vAlign w:val="center"/>
          </w:tcPr>
          <w:p w14:paraId="02A41C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5DDF9E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8517.8</w:t>
            </w:r>
          </w:p>
        </w:tc>
      </w:tr>
      <w:tr w14:paraId="649886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1753B4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4</w:t>
            </w:r>
          </w:p>
        </w:tc>
        <w:tc>
          <w:tcPr>
            <w:tcW w:w="1595" w:type="dxa"/>
            <w:noWrap w:val="0"/>
            <w:vAlign w:val="center"/>
          </w:tcPr>
          <w:p w14:paraId="4D6F2F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土工排水网</w:t>
            </w:r>
          </w:p>
        </w:tc>
        <w:tc>
          <w:tcPr>
            <w:tcW w:w="4922" w:type="dxa"/>
            <w:noWrap w:val="0"/>
            <w:vAlign w:val="center"/>
          </w:tcPr>
          <w:p w14:paraId="166D3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6.0mm</w:t>
            </w:r>
          </w:p>
        </w:tc>
        <w:tc>
          <w:tcPr>
            <w:tcW w:w="724" w:type="dxa"/>
            <w:noWrap w:val="0"/>
            <w:vAlign w:val="center"/>
          </w:tcPr>
          <w:p w14:paraId="7C7B65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1B213E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8517.8</w:t>
            </w:r>
          </w:p>
        </w:tc>
      </w:tr>
      <w:tr w14:paraId="03535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2045B3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5</w:t>
            </w:r>
          </w:p>
        </w:tc>
        <w:tc>
          <w:tcPr>
            <w:tcW w:w="1595" w:type="dxa"/>
            <w:noWrap w:val="0"/>
            <w:vAlign w:val="center"/>
          </w:tcPr>
          <w:p w14:paraId="316A42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土工膜</w:t>
            </w:r>
          </w:p>
        </w:tc>
        <w:tc>
          <w:tcPr>
            <w:tcW w:w="4922" w:type="dxa"/>
            <w:noWrap w:val="0"/>
            <w:vAlign w:val="center"/>
          </w:tcPr>
          <w:p w14:paraId="15C7A6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1.0mm厚HDPE防渗膜</w:t>
            </w:r>
          </w:p>
        </w:tc>
        <w:tc>
          <w:tcPr>
            <w:tcW w:w="724" w:type="dxa"/>
            <w:noWrap w:val="0"/>
            <w:vAlign w:val="center"/>
          </w:tcPr>
          <w:p w14:paraId="6AF367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753E60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8517.8</w:t>
            </w:r>
          </w:p>
        </w:tc>
      </w:tr>
      <w:tr w14:paraId="69BCF1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5B769E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6</w:t>
            </w:r>
          </w:p>
        </w:tc>
        <w:tc>
          <w:tcPr>
            <w:tcW w:w="1595" w:type="dxa"/>
            <w:noWrap w:val="0"/>
            <w:vAlign w:val="center"/>
          </w:tcPr>
          <w:p w14:paraId="06CCED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土工布</w:t>
            </w:r>
          </w:p>
        </w:tc>
        <w:tc>
          <w:tcPr>
            <w:tcW w:w="4922" w:type="dxa"/>
            <w:noWrap w:val="0"/>
            <w:vAlign w:val="center"/>
          </w:tcPr>
          <w:p w14:paraId="76CD86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600g/m</w:t>
            </w:r>
            <w:r>
              <w:rPr>
                <w:rFonts w:hint="eastAsia"/>
                <w:color w:val="auto"/>
                <w:sz w:val="21"/>
                <w:szCs w:val="21"/>
                <w:highlight w:val="none"/>
                <w:u w:val="none"/>
                <w:vertAlign w:val="superscript"/>
                <w:lang w:val="en-US" w:eastAsia="zh-CN"/>
              </w:rPr>
              <w:t>2</w:t>
            </w:r>
          </w:p>
        </w:tc>
        <w:tc>
          <w:tcPr>
            <w:tcW w:w="724" w:type="dxa"/>
            <w:noWrap w:val="0"/>
            <w:vAlign w:val="center"/>
          </w:tcPr>
          <w:p w14:paraId="11BFEC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403785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8517.8</w:t>
            </w:r>
          </w:p>
        </w:tc>
      </w:tr>
      <w:tr w14:paraId="09076F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03079C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7</w:t>
            </w:r>
          </w:p>
        </w:tc>
        <w:tc>
          <w:tcPr>
            <w:tcW w:w="1595" w:type="dxa"/>
            <w:noWrap w:val="0"/>
            <w:vAlign w:val="center"/>
          </w:tcPr>
          <w:p w14:paraId="578EA6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防渗粘土</w:t>
            </w:r>
          </w:p>
        </w:tc>
        <w:tc>
          <w:tcPr>
            <w:tcW w:w="4922" w:type="dxa"/>
            <w:noWrap w:val="0"/>
            <w:vAlign w:val="center"/>
          </w:tcPr>
          <w:p w14:paraId="0090F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50cm</w:t>
            </w:r>
          </w:p>
        </w:tc>
        <w:tc>
          <w:tcPr>
            <w:tcW w:w="724" w:type="dxa"/>
            <w:noWrap w:val="0"/>
            <w:vAlign w:val="center"/>
          </w:tcPr>
          <w:p w14:paraId="32CAAB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3</w:t>
            </w:r>
          </w:p>
        </w:tc>
        <w:tc>
          <w:tcPr>
            <w:tcW w:w="1293" w:type="dxa"/>
            <w:noWrap w:val="0"/>
            <w:vAlign w:val="center"/>
          </w:tcPr>
          <w:p w14:paraId="3D7F6E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4250</w:t>
            </w:r>
          </w:p>
        </w:tc>
      </w:tr>
      <w:tr w14:paraId="5E7700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8F08A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2.7</w:t>
            </w:r>
          </w:p>
        </w:tc>
        <w:tc>
          <w:tcPr>
            <w:tcW w:w="8534" w:type="dxa"/>
            <w:gridSpan w:val="4"/>
            <w:noWrap w:val="0"/>
            <w:vAlign w:val="center"/>
          </w:tcPr>
          <w:p w14:paraId="0226DC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截排水工程</w:t>
            </w:r>
          </w:p>
        </w:tc>
      </w:tr>
      <w:tr w14:paraId="799474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119894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71A75A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环场截洪沟</w:t>
            </w:r>
          </w:p>
        </w:tc>
        <w:tc>
          <w:tcPr>
            <w:tcW w:w="4922" w:type="dxa"/>
            <w:noWrap w:val="0"/>
            <w:vAlign w:val="center"/>
          </w:tcPr>
          <w:p w14:paraId="639871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0.5m</w:t>
            </w:r>
            <w:r>
              <w:rPr>
                <w:rFonts w:hint="default" w:ascii="Times New Roman" w:hAnsi="Times New Roman" w:cs="Times New Roman"/>
                <w:sz w:val="21"/>
                <w:szCs w:val="21"/>
                <w:highlight w:val="none"/>
                <w:u w:val="none"/>
                <w:vertAlign w:val="baseline"/>
                <w:lang w:val="en-US" w:eastAsia="zh-CN"/>
              </w:rPr>
              <w:t>×</w:t>
            </w:r>
            <w:r>
              <w:rPr>
                <w:rFonts w:hint="eastAsia"/>
                <w:sz w:val="21"/>
                <w:szCs w:val="21"/>
                <w:highlight w:val="none"/>
                <w:u w:val="none"/>
                <w:vertAlign w:val="baseline"/>
                <w:lang w:val="en-US" w:eastAsia="zh-CN"/>
              </w:rPr>
              <w:t>0.5m</w:t>
            </w:r>
          </w:p>
        </w:tc>
        <w:tc>
          <w:tcPr>
            <w:tcW w:w="724" w:type="dxa"/>
            <w:noWrap w:val="0"/>
            <w:vAlign w:val="center"/>
          </w:tcPr>
          <w:p w14:paraId="0209DF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m</w:t>
            </w:r>
          </w:p>
        </w:tc>
        <w:tc>
          <w:tcPr>
            <w:tcW w:w="1293" w:type="dxa"/>
            <w:noWrap w:val="0"/>
            <w:vAlign w:val="center"/>
          </w:tcPr>
          <w:p w14:paraId="175E95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1403</w:t>
            </w:r>
          </w:p>
        </w:tc>
      </w:tr>
      <w:tr w14:paraId="7F291C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AC534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2</w:t>
            </w:r>
          </w:p>
        </w:tc>
        <w:tc>
          <w:tcPr>
            <w:tcW w:w="1595" w:type="dxa"/>
            <w:noWrap w:val="0"/>
            <w:vAlign w:val="center"/>
          </w:tcPr>
          <w:p w14:paraId="4C172A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平台排水沟</w:t>
            </w:r>
          </w:p>
        </w:tc>
        <w:tc>
          <w:tcPr>
            <w:tcW w:w="4922" w:type="dxa"/>
            <w:noWrap w:val="0"/>
            <w:vAlign w:val="center"/>
          </w:tcPr>
          <w:p w14:paraId="08E0DF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0.3m×0.3m</w:t>
            </w:r>
          </w:p>
        </w:tc>
        <w:tc>
          <w:tcPr>
            <w:tcW w:w="724" w:type="dxa"/>
            <w:noWrap w:val="0"/>
            <w:vAlign w:val="center"/>
          </w:tcPr>
          <w:p w14:paraId="701AC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m</w:t>
            </w:r>
          </w:p>
        </w:tc>
        <w:tc>
          <w:tcPr>
            <w:tcW w:w="1293" w:type="dxa"/>
            <w:noWrap w:val="0"/>
            <w:vAlign w:val="center"/>
          </w:tcPr>
          <w:p w14:paraId="1AF3F7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576</w:t>
            </w:r>
          </w:p>
        </w:tc>
      </w:tr>
      <w:tr w14:paraId="41495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3F3858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2.8</w:t>
            </w:r>
          </w:p>
        </w:tc>
        <w:tc>
          <w:tcPr>
            <w:tcW w:w="8534" w:type="dxa"/>
            <w:gridSpan w:val="4"/>
            <w:noWrap w:val="0"/>
            <w:vAlign w:val="center"/>
          </w:tcPr>
          <w:p w14:paraId="2A026F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标识标牌</w:t>
            </w:r>
          </w:p>
        </w:tc>
      </w:tr>
      <w:tr w14:paraId="734D43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6ED44D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719E19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vertAlign w:val="baseline"/>
                <w:lang w:val="en-US" w:eastAsia="zh-CN"/>
              </w:rPr>
            </w:pPr>
            <w:r>
              <w:rPr>
                <w:rFonts w:hint="eastAsia"/>
                <w:sz w:val="21"/>
                <w:szCs w:val="21"/>
                <w:highlight w:val="none"/>
                <w:u w:val="none"/>
                <w:vertAlign w:val="baseline"/>
                <w:lang w:val="en-US" w:eastAsia="zh-CN"/>
              </w:rPr>
              <w:t>标识标牌</w:t>
            </w:r>
          </w:p>
        </w:tc>
        <w:tc>
          <w:tcPr>
            <w:tcW w:w="4922" w:type="dxa"/>
            <w:noWrap w:val="0"/>
            <w:vAlign w:val="center"/>
          </w:tcPr>
          <w:p w14:paraId="52C30C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vertAlign w:val="baseline"/>
                <w:lang w:val="en-US" w:eastAsia="zh-CN"/>
              </w:rPr>
            </w:pPr>
            <w:r>
              <w:rPr>
                <w:rFonts w:hint="default" w:ascii="Times New Roman" w:hAnsi="Times New Roman" w:cs="Times New Roman"/>
                <w:sz w:val="21"/>
                <w:szCs w:val="21"/>
                <w:highlight w:val="none"/>
                <w:u w:val="none"/>
                <w:vertAlign w:val="baseline"/>
                <w:lang w:val="en-US" w:eastAsia="zh-CN"/>
              </w:rPr>
              <w:t>标识标牌</w:t>
            </w:r>
          </w:p>
        </w:tc>
        <w:tc>
          <w:tcPr>
            <w:tcW w:w="724" w:type="dxa"/>
            <w:noWrap w:val="0"/>
            <w:vAlign w:val="center"/>
          </w:tcPr>
          <w:p w14:paraId="2782F5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个</w:t>
            </w:r>
          </w:p>
        </w:tc>
        <w:tc>
          <w:tcPr>
            <w:tcW w:w="1293" w:type="dxa"/>
            <w:noWrap w:val="0"/>
            <w:vAlign w:val="center"/>
          </w:tcPr>
          <w:p w14:paraId="4088D7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4</w:t>
            </w:r>
          </w:p>
        </w:tc>
      </w:tr>
      <w:tr w14:paraId="717886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4A4518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三</w:t>
            </w:r>
          </w:p>
        </w:tc>
        <w:tc>
          <w:tcPr>
            <w:tcW w:w="8534" w:type="dxa"/>
            <w:gridSpan w:val="4"/>
            <w:noWrap w:val="0"/>
            <w:vAlign w:val="center"/>
          </w:tcPr>
          <w:p w14:paraId="5E2CF7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vertAlign w:val="baseline"/>
                <w:lang w:val="en-US" w:eastAsia="zh-CN"/>
              </w:rPr>
            </w:pPr>
            <w:r>
              <w:rPr>
                <w:rFonts w:hint="eastAsia"/>
                <w:b/>
                <w:bCs/>
                <w:sz w:val="21"/>
                <w:szCs w:val="21"/>
                <w:highlight w:val="none"/>
                <w:u w:val="none"/>
                <w:vertAlign w:val="baseline"/>
                <w:lang w:val="en-US" w:eastAsia="zh-CN"/>
              </w:rPr>
              <w:t>生态修复工程</w:t>
            </w:r>
          </w:p>
        </w:tc>
      </w:tr>
      <w:tr w14:paraId="27F24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2E5918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1</w:t>
            </w:r>
          </w:p>
        </w:tc>
        <w:tc>
          <w:tcPr>
            <w:tcW w:w="1595" w:type="dxa"/>
            <w:noWrap w:val="0"/>
            <w:vAlign w:val="center"/>
          </w:tcPr>
          <w:p w14:paraId="05F414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种植土层</w:t>
            </w:r>
          </w:p>
        </w:tc>
        <w:tc>
          <w:tcPr>
            <w:tcW w:w="4922" w:type="dxa"/>
            <w:noWrap w:val="0"/>
            <w:vAlign w:val="center"/>
          </w:tcPr>
          <w:p w14:paraId="0968D7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vertAlign w:val="baseline"/>
                <w:lang w:val="en-US" w:eastAsia="zh-CN" w:bidi="ar-SA"/>
              </w:rPr>
            </w:pPr>
            <w:r>
              <w:rPr>
                <w:rFonts w:hint="eastAsia"/>
                <w:color w:val="auto"/>
                <w:sz w:val="21"/>
                <w:szCs w:val="21"/>
                <w:highlight w:val="none"/>
                <w:u w:val="none"/>
                <w:vertAlign w:val="baseline"/>
                <w:lang w:val="en-US" w:eastAsia="zh-CN"/>
              </w:rPr>
              <w:t>种植土层（50cm），包括废渣治理区、废渣填埋场、取土场等</w:t>
            </w:r>
          </w:p>
        </w:tc>
        <w:tc>
          <w:tcPr>
            <w:tcW w:w="724" w:type="dxa"/>
            <w:noWrap w:val="0"/>
            <w:vAlign w:val="center"/>
          </w:tcPr>
          <w:p w14:paraId="25AEB5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3</w:t>
            </w:r>
          </w:p>
        </w:tc>
        <w:tc>
          <w:tcPr>
            <w:tcW w:w="1293" w:type="dxa"/>
            <w:noWrap w:val="0"/>
            <w:vAlign w:val="center"/>
          </w:tcPr>
          <w:p w14:paraId="13AB5E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default"/>
                <w:color w:val="auto"/>
                <w:sz w:val="21"/>
                <w:szCs w:val="21"/>
                <w:highlight w:val="none"/>
                <w:u w:val="none"/>
                <w:vertAlign w:val="baseline"/>
                <w:lang w:val="en-US" w:eastAsia="zh-CN"/>
              </w:rPr>
              <w:t>6469.44</w:t>
            </w:r>
          </w:p>
        </w:tc>
      </w:tr>
      <w:tr w14:paraId="149EA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54" w:type="dxa"/>
            <w:noWrap w:val="0"/>
            <w:vAlign w:val="center"/>
          </w:tcPr>
          <w:p w14:paraId="40D69D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2</w:t>
            </w:r>
          </w:p>
        </w:tc>
        <w:tc>
          <w:tcPr>
            <w:tcW w:w="1595" w:type="dxa"/>
            <w:noWrap w:val="0"/>
            <w:vAlign w:val="center"/>
          </w:tcPr>
          <w:p w14:paraId="4D5551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vertAlign w:val="baseline"/>
                <w:lang w:val="en-US" w:eastAsia="zh-CN"/>
              </w:rPr>
            </w:pPr>
            <w:r>
              <w:rPr>
                <w:rFonts w:hint="eastAsia"/>
                <w:sz w:val="21"/>
                <w:szCs w:val="21"/>
                <w:highlight w:val="none"/>
                <w:u w:val="none"/>
                <w:vertAlign w:val="baseline"/>
                <w:lang w:val="en-US" w:eastAsia="zh-CN"/>
              </w:rPr>
              <w:t>生态修复</w:t>
            </w:r>
          </w:p>
        </w:tc>
        <w:tc>
          <w:tcPr>
            <w:tcW w:w="4922" w:type="dxa"/>
            <w:noWrap w:val="0"/>
            <w:vAlign w:val="center"/>
          </w:tcPr>
          <w:p w14:paraId="526FEB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u w:val="none"/>
                <w:vertAlign w:val="baseline"/>
                <w:lang w:val="en-US" w:eastAsia="zh-CN" w:bidi="ar-SA"/>
              </w:rPr>
            </w:pPr>
            <w:r>
              <w:rPr>
                <w:rFonts w:hint="eastAsia"/>
                <w:color w:val="auto"/>
                <w:sz w:val="21"/>
                <w:szCs w:val="21"/>
                <w:highlight w:val="none"/>
                <w:u w:val="none"/>
                <w:vertAlign w:val="baseline"/>
                <w:lang w:val="en-US" w:eastAsia="zh-CN"/>
              </w:rPr>
              <w:t>乔木主要以杉木、毛竹、棕榈等，灌木和草本以盐肤木、黑麦草、狗牙根、波斯菊等</w:t>
            </w:r>
          </w:p>
        </w:tc>
        <w:tc>
          <w:tcPr>
            <w:tcW w:w="724" w:type="dxa"/>
            <w:noWrap w:val="0"/>
            <w:vAlign w:val="center"/>
          </w:tcPr>
          <w:p w14:paraId="233C51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m</w:t>
            </w:r>
            <w:r>
              <w:rPr>
                <w:rFonts w:hint="eastAsia"/>
                <w:color w:val="auto"/>
                <w:sz w:val="21"/>
                <w:szCs w:val="21"/>
                <w:highlight w:val="none"/>
                <w:u w:val="none"/>
                <w:vertAlign w:val="superscript"/>
                <w:lang w:val="en-US" w:eastAsia="zh-CN"/>
              </w:rPr>
              <w:t>2</w:t>
            </w:r>
          </w:p>
        </w:tc>
        <w:tc>
          <w:tcPr>
            <w:tcW w:w="1293" w:type="dxa"/>
            <w:noWrap w:val="0"/>
            <w:vAlign w:val="center"/>
          </w:tcPr>
          <w:p w14:paraId="22AE0E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yellow"/>
                <w:u w:val="none"/>
                <w:vertAlign w:val="baseline"/>
                <w:lang w:val="en-US" w:eastAsia="zh-CN"/>
              </w:rPr>
            </w:pPr>
            <w:r>
              <w:rPr>
                <w:rFonts w:hint="eastAsia"/>
                <w:color w:val="auto"/>
                <w:sz w:val="21"/>
                <w:szCs w:val="21"/>
                <w:highlight w:val="none"/>
                <w:u w:val="none"/>
                <w:vertAlign w:val="baseline"/>
                <w:lang w:val="en-US" w:eastAsia="zh-CN"/>
              </w:rPr>
              <w:t>24023.59</w:t>
            </w:r>
          </w:p>
        </w:tc>
      </w:tr>
    </w:tbl>
    <w:p w14:paraId="10C2AA8D">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3.1.5土石方平衡</w:t>
      </w:r>
    </w:p>
    <w:p w14:paraId="4567F27E">
      <w:pPr>
        <w:rPr>
          <w:rFonts w:hint="eastAsia"/>
          <w:color w:val="auto"/>
          <w:sz w:val="24"/>
          <w:szCs w:val="24"/>
          <w:highlight w:val="none"/>
          <w:u w:val="none"/>
          <w:lang w:val="en-US" w:eastAsia="zh-CN"/>
        </w:rPr>
      </w:pPr>
      <w:r>
        <w:rPr>
          <w:rFonts w:hint="eastAsia"/>
          <w:sz w:val="24"/>
          <w:szCs w:val="24"/>
          <w:highlight w:val="none"/>
          <w:u w:val="none"/>
          <w:lang w:val="en-US" w:eastAsia="zh-CN"/>
        </w:rPr>
        <w:t>项目土石</w:t>
      </w:r>
      <w:r>
        <w:rPr>
          <w:rFonts w:hint="eastAsia"/>
          <w:color w:val="auto"/>
          <w:sz w:val="24"/>
          <w:szCs w:val="24"/>
          <w:highlight w:val="none"/>
          <w:u w:val="none"/>
          <w:lang w:val="en-US" w:eastAsia="zh-CN"/>
        </w:rPr>
        <w:t>方平衡见表3.1-25。</w:t>
      </w:r>
    </w:p>
    <w:p w14:paraId="7A2873E7">
      <w:pPr>
        <w:spacing w:line="240" w:lineRule="auto"/>
        <w:ind w:left="0" w:leftChars="0" w:firstLine="0" w:firstLineChars="0"/>
        <w:jc w:val="center"/>
        <w:rPr>
          <w:rFonts w:hint="default"/>
          <w:b/>
          <w:bCs/>
          <w:color w:val="auto"/>
          <w:sz w:val="21"/>
          <w:szCs w:val="21"/>
          <w:highlight w:val="yellow"/>
          <w:u w:val="none"/>
          <w:lang w:val="en-US" w:eastAsia="zh-CN"/>
        </w:rPr>
      </w:pPr>
      <w:r>
        <w:rPr>
          <w:rFonts w:hint="eastAsia"/>
          <w:b/>
          <w:bCs/>
          <w:color w:val="auto"/>
          <w:sz w:val="21"/>
          <w:szCs w:val="21"/>
          <w:highlight w:val="none"/>
          <w:u w:val="none"/>
          <w:lang w:val="en-US" w:eastAsia="zh-CN"/>
        </w:rPr>
        <w:t>表3.1-25  项目土石方平衡一览表    单位：m</w:t>
      </w:r>
      <w:r>
        <w:rPr>
          <w:rFonts w:hint="eastAsia"/>
          <w:b/>
          <w:bCs/>
          <w:color w:val="auto"/>
          <w:sz w:val="21"/>
          <w:szCs w:val="21"/>
          <w:highlight w:val="none"/>
          <w:u w:val="none"/>
          <w:vertAlign w:val="superscript"/>
          <w:lang w:val="en-US" w:eastAsia="zh-CN"/>
        </w:rPr>
        <w:t>3</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1313"/>
        <w:gridCol w:w="1380"/>
        <w:gridCol w:w="5043"/>
      </w:tblGrid>
      <w:tr w14:paraId="3E5B24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32" w:type="pct"/>
            <w:noWrap w:val="0"/>
            <w:vAlign w:val="center"/>
          </w:tcPr>
          <w:p w14:paraId="56EE7B1A">
            <w:pPr>
              <w:spacing w:line="240" w:lineRule="auto"/>
              <w:ind w:left="0" w:leftChars="0" w:firstLine="0" w:firstLineChars="0"/>
              <w:jc w:val="center"/>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区域</w:t>
            </w:r>
          </w:p>
        </w:tc>
        <w:tc>
          <w:tcPr>
            <w:tcW w:w="707" w:type="pct"/>
            <w:noWrap w:val="0"/>
            <w:vAlign w:val="center"/>
          </w:tcPr>
          <w:p w14:paraId="56038B2D">
            <w:pPr>
              <w:spacing w:line="240" w:lineRule="auto"/>
              <w:ind w:left="0" w:leftChars="0" w:firstLine="0" w:firstLineChars="0"/>
              <w:jc w:val="center"/>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挖方</w:t>
            </w:r>
          </w:p>
        </w:tc>
        <w:tc>
          <w:tcPr>
            <w:tcW w:w="743" w:type="pct"/>
            <w:noWrap w:val="0"/>
            <w:vAlign w:val="center"/>
          </w:tcPr>
          <w:p w14:paraId="0CCB69CA">
            <w:pPr>
              <w:spacing w:line="240" w:lineRule="auto"/>
              <w:ind w:left="0" w:leftChars="0" w:firstLine="0" w:firstLineChars="0"/>
              <w:jc w:val="center"/>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填方</w:t>
            </w:r>
          </w:p>
        </w:tc>
        <w:tc>
          <w:tcPr>
            <w:tcW w:w="2715" w:type="pct"/>
            <w:noWrap w:val="0"/>
            <w:vAlign w:val="center"/>
          </w:tcPr>
          <w:p w14:paraId="188944CE">
            <w:pPr>
              <w:spacing w:line="240" w:lineRule="auto"/>
              <w:ind w:left="0" w:leftChars="0" w:firstLine="0" w:firstLineChars="0"/>
              <w:jc w:val="center"/>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备注</w:t>
            </w:r>
          </w:p>
        </w:tc>
      </w:tr>
      <w:tr w14:paraId="30CEEC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noWrap w:val="0"/>
            <w:vAlign w:val="center"/>
          </w:tcPr>
          <w:p w14:paraId="643519C0">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废渣区</w:t>
            </w:r>
          </w:p>
        </w:tc>
        <w:tc>
          <w:tcPr>
            <w:tcW w:w="707" w:type="pct"/>
            <w:noWrap w:val="0"/>
            <w:vAlign w:val="center"/>
          </w:tcPr>
          <w:p w14:paraId="4E82C508">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55999.73</w:t>
            </w:r>
          </w:p>
        </w:tc>
        <w:tc>
          <w:tcPr>
            <w:tcW w:w="743" w:type="pct"/>
            <w:noWrap w:val="0"/>
            <w:vAlign w:val="center"/>
          </w:tcPr>
          <w:p w14:paraId="01667174">
            <w:pPr>
              <w:spacing w:line="240" w:lineRule="auto"/>
              <w:ind w:left="0" w:leftChars="0" w:firstLine="0" w:firstLineChars="0"/>
              <w:jc w:val="center"/>
              <w:rPr>
                <w:rFonts w:hint="default"/>
                <w:color w:val="auto"/>
                <w:sz w:val="21"/>
                <w:szCs w:val="21"/>
                <w:highlight w:val="yellow"/>
                <w:u w:val="none"/>
                <w:lang w:val="en-US" w:eastAsia="zh-CN"/>
              </w:rPr>
            </w:pPr>
            <w:r>
              <w:rPr>
                <w:rFonts w:hint="default"/>
                <w:color w:val="auto"/>
                <w:sz w:val="21"/>
                <w:szCs w:val="21"/>
                <w:highlight w:val="none"/>
                <w:u w:val="none"/>
                <w:lang w:val="en-US" w:eastAsia="zh-CN"/>
              </w:rPr>
              <w:t>29866.58</w:t>
            </w:r>
          </w:p>
        </w:tc>
        <w:tc>
          <w:tcPr>
            <w:tcW w:w="2715" w:type="pct"/>
            <w:noWrap w:val="0"/>
            <w:vAlign w:val="center"/>
          </w:tcPr>
          <w:p w14:paraId="0898C4A2">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废渣开挖运出后，自取土场运入种植土覆盖1.5m</w:t>
            </w:r>
          </w:p>
        </w:tc>
      </w:tr>
      <w:tr w14:paraId="171D50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noWrap w:val="0"/>
            <w:vAlign w:val="center"/>
          </w:tcPr>
          <w:p w14:paraId="426F37FF">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填埋区</w:t>
            </w:r>
          </w:p>
        </w:tc>
        <w:tc>
          <w:tcPr>
            <w:tcW w:w="707" w:type="pct"/>
            <w:noWrap w:val="0"/>
            <w:vAlign w:val="center"/>
          </w:tcPr>
          <w:p w14:paraId="4336EEFC">
            <w:pPr>
              <w:spacing w:line="240" w:lineRule="auto"/>
              <w:ind w:left="0" w:leftChars="0" w:firstLine="0" w:firstLineChars="0"/>
              <w:jc w:val="center"/>
              <w:rPr>
                <w:rFonts w:hint="default"/>
                <w:color w:val="auto"/>
                <w:sz w:val="21"/>
                <w:szCs w:val="21"/>
                <w:highlight w:val="none"/>
                <w:u w:val="none"/>
                <w:lang w:val="en-US" w:eastAsia="zh-CN"/>
              </w:rPr>
            </w:pPr>
            <w:r>
              <w:rPr>
                <w:rFonts w:hint="default"/>
                <w:color w:val="auto"/>
                <w:sz w:val="21"/>
                <w:szCs w:val="21"/>
                <w:highlight w:val="none"/>
                <w:u w:val="none"/>
                <w:lang w:val="en-US" w:eastAsia="zh-CN"/>
              </w:rPr>
              <w:t>4250</w:t>
            </w:r>
          </w:p>
        </w:tc>
        <w:tc>
          <w:tcPr>
            <w:tcW w:w="743" w:type="pct"/>
            <w:noWrap w:val="0"/>
            <w:vAlign w:val="center"/>
          </w:tcPr>
          <w:p w14:paraId="6FACC4A7">
            <w:pPr>
              <w:spacing w:line="240" w:lineRule="auto"/>
              <w:ind w:left="0" w:leftChars="0" w:firstLine="0" w:firstLineChars="0"/>
              <w:jc w:val="center"/>
              <w:rPr>
                <w:rFonts w:hint="default"/>
                <w:color w:val="auto"/>
                <w:sz w:val="21"/>
                <w:szCs w:val="21"/>
                <w:highlight w:val="yellow"/>
                <w:u w:val="none"/>
                <w:lang w:val="en-US" w:eastAsia="zh-CN"/>
              </w:rPr>
            </w:pPr>
            <w:r>
              <w:rPr>
                <w:rFonts w:hint="eastAsia"/>
                <w:color w:val="auto"/>
                <w:sz w:val="21"/>
                <w:szCs w:val="21"/>
                <w:highlight w:val="none"/>
                <w:u w:val="none"/>
                <w:lang w:val="en-US" w:eastAsia="zh-CN"/>
              </w:rPr>
              <w:t>60249.73</w:t>
            </w:r>
          </w:p>
        </w:tc>
        <w:tc>
          <w:tcPr>
            <w:tcW w:w="2715" w:type="pct"/>
            <w:noWrap w:val="0"/>
            <w:vAlign w:val="center"/>
          </w:tcPr>
          <w:p w14:paraId="403CE87A">
            <w:pPr>
              <w:spacing w:line="240" w:lineRule="auto"/>
              <w:ind w:left="0" w:leftChars="0" w:firstLine="0" w:firstLineChars="0"/>
              <w:jc w:val="center"/>
              <w:rPr>
                <w:rFonts w:hint="eastAsia"/>
                <w:b w:val="0"/>
                <w:bCs w:val="0"/>
                <w:color w:val="auto"/>
                <w:sz w:val="21"/>
                <w:szCs w:val="21"/>
                <w:highlight w:val="none"/>
                <w:u w:val="none"/>
                <w:lang w:val="en-US" w:eastAsia="zh-CN"/>
              </w:rPr>
            </w:pPr>
            <w:r>
              <w:rPr>
                <w:rFonts w:hint="eastAsia"/>
                <w:b w:val="0"/>
                <w:bCs w:val="0"/>
                <w:color w:val="auto"/>
                <w:sz w:val="21"/>
                <w:szCs w:val="21"/>
                <w:highlight w:val="none"/>
                <w:u w:val="none"/>
                <w:lang w:val="en-US" w:eastAsia="zh-CN"/>
              </w:rPr>
              <w:t>填埋废渣前剥离表土0.5m，填埋废渣后回填</w:t>
            </w:r>
          </w:p>
          <w:p w14:paraId="750BA1D0">
            <w:pPr>
              <w:spacing w:line="240" w:lineRule="auto"/>
              <w:ind w:left="0" w:leftChars="0" w:firstLine="0" w:firstLineChars="0"/>
              <w:jc w:val="center"/>
              <w:rPr>
                <w:rFonts w:hint="default"/>
                <w:color w:val="auto"/>
                <w:sz w:val="21"/>
                <w:szCs w:val="21"/>
                <w:highlight w:val="none"/>
                <w:u w:val="none"/>
                <w:lang w:val="en-US" w:eastAsia="zh-CN"/>
              </w:rPr>
            </w:pPr>
            <w:r>
              <w:rPr>
                <w:rFonts w:hint="eastAsia"/>
                <w:b w:val="0"/>
                <w:bCs w:val="0"/>
                <w:color w:val="auto"/>
                <w:sz w:val="21"/>
                <w:szCs w:val="21"/>
                <w:highlight w:val="none"/>
                <w:u w:val="none"/>
                <w:lang w:val="en-US" w:eastAsia="zh-CN"/>
              </w:rPr>
              <w:t>（废渣55999.73m</w:t>
            </w:r>
            <w:r>
              <w:rPr>
                <w:rFonts w:hint="eastAsia"/>
                <w:b w:val="0"/>
                <w:bCs w:val="0"/>
                <w:color w:val="auto"/>
                <w:sz w:val="21"/>
                <w:szCs w:val="21"/>
                <w:highlight w:val="none"/>
                <w:u w:val="none"/>
                <w:vertAlign w:val="superscript"/>
                <w:lang w:val="en-US" w:eastAsia="zh-CN"/>
              </w:rPr>
              <w:t>3</w:t>
            </w:r>
            <w:r>
              <w:rPr>
                <w:rFonts w:hint="eastAsia"/>
                <w:b w:val="0"/>
                <w:bCs w:val="0"/>
                <w:color w:val="auto"/>
                <w:sz w:val="21"/>
                <w:szCs w:val="21"/>
                <w:highlight w:val="none"/>
                <w:u w:val="none"/>
                <w:lang w:val="en-US" w:eastAsia="zh-CN"/>
              </w:rPr>
              <w:t>，剥离回填表土4205m</w:t>
            </w:r>
            <w:r>
              <w:rPr>
                <w:rFonts w:hint="eastAsia"/>
                <w:b w:val="0"/>
                <w:bCs w:val="0"/>
                <w:color w:val="auto"/>
                <w:sz w:val="21"/>
                <w:szCs w:val="21"/>
                <w:highlight w:val="none"/>
                <w:u w:val="none"/>
                <w:vertAlign w:val="superscript"/>
                <w:lang w:val="en-US" w:eastAsia="zh-CN"/>
              </w:rPr>
              <w:t>3</w:t>
            </w:r>
            <w:r>
              <w:rPr>
                <w:rFonts w:hint="eastAsia"/>
                <w:b w:val="0"/>
                <w:bCs w:val="0"/>
                <w:color w:val="auto"/>
                <w:sz w:val="21"/>
                <w:szCs w:val="21"/>
                <w:highlight w:val="none"/>
                <w:u w:val="none"/>
                <w:lang w:val="en-US" w:eastAsia="zh-CN"/>
              </w:rPr>
              <w:t>）</w:t>
            </w:r>
          </w:p>
        </w:tc>
      </w:tr>
      <w:tr w14:paraId="7E305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noWrap w:val="0"/>
            <w:vAlign w:val="center"/>
          </w:tcPr>
          <w:p w14:paraId="316F8CFD">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取土场</w:t>
            </w:r>
          </w:p>
        </w:tc>
        <w:tc>
          <w:tcPr>
            <w:tcW w:w="707" w:type="pct"/>
            <w:noWrap w:val="0"/>
            <w:vAlign w:val="center"/>
          </w:tcPr>
          <w:p w14:paraId="24880138">
            <w:pPr>
              <w:spacing w:line="240" w:lineRule="auto"/>
              <w:ind w:left="0" w:leftChars="0" w:firstLine="0" w:firstLineChars="0"/>
              <w:jc w:val="center"/>
              <w:rPr>
                <w:rFonts w:hint="default"/>
                <w:color w:val="auto"/>
                <w:sz w:val="21"/>
                <w:szCs w:val="21"/>
                <w:highlight w:val="none"/>
                <w:u w:val="none"/>
                <w:lang w:val="en-US" w:eastAsia="zh-CN"/>
              </w:rPr>
            </w:pPr>
            <w:r>
              <w:rPr>
                <w:rFonts w:hint="default"/>
                <w:color w:val="auto"/>
                <w:sz w:val="21"/>
                <w:szCs w:val="21"/>
                <w:highlight w:val="none"/>
                <w:u w:val="none"/>
                <w:lang w:val="en-US" w:eastAsia="zh-CN"/>
              </w:rPr>
              <w:t>29866.58</w:t>
            </w:r>
          </w:p>
        </w:tc>
        <w:tc>
          <w:tcPr>
            <w:tcW w:w="743" w:type="pct"/>
            <w:noWrap w:val="0"/>
            <w:vAlign w:val="center"/>
          </w:tcPr>
          <w:p w14:paraId="4CB19C4F">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w:t>
            </w:r>
          </w:p>
        </w:tc>
        <w:tc>
          <w:tcPr>
            <w:tcW w:w="2715" w:type="pct"/>
            <w:noWrap w:val="0"/>
            <w:vAlign w:val="center"/>
          </w:tcPr>
          <w:p w14:paraId="0583538B">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取土用于废渣区回填种植土</w:t>
            </w:r>
          </w:p>
        </w:tc>
      </w:tr>
      <w:tr w14:paraId="20580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noWrap w:val="0"/>
            <w:vAlign w:val="center"/>
          </w:tcPr>
          <w:p w14:paraId="1CA40E62">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临时道路</w:t>
            </w:r>
          </w:p>
        </w:tc>
        <w:tc>
          <w:tcPr>
            <w:tcW w:w="707" w:type="pct"/>
            <w:noWrap w:val="0"/>
            <w:vAlign w:val="center"/>
          </w:tcPr>
          <w:p w14:paraId="56C4DB9A">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w:t>
            </w:r>
          </w:p>
        </w:tc>
        <w:tc>
          <w:tcPr>
            <w:tcW w:w="743" w:type="pct"/>
            <w:noWrap w:val="0"/>
            <w:vAlign w:val="center"/>
          </w:tcPr>
          <w:p w14:paraId="1E68B760">
            <w:pPr>
              <w:spacing w:line="240" w:lineRule="auto"/>
              <w:ind w:left="0" w:leftChars="0" w:firstLine="0" w:firstLineChars="0"/>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w:t>
            </w:r>
          </w:p>
        </w:tc>
        <w:tc>
          <w:tcPr>
            <w:tcW w:w="2715" w:type="pct"/>
            <w:noWrap w:val="0"/>
            <w:vAlign w:val="center"/>
          </w:tcPr>
          <w:p w14:paraId="167156B4">
            <w:pPr>
              <w:spacing w:line="240" w:lineRule="auto"/>
              <w:ind w:left="0" w:leftChars="0" w:firstLine="0" w:firstLineChars="0"/>
              <w:jc w:val="center"/>
              <w:rPr>
                <w:rFonts w:hint="eastAsia"/>
                <w:color w:val="auto"/>
                <w:sz w:val="21"/>
                <w:szCs w:val="21"/>
                <w:highlight w:val="none"/>
                <w:u w:val="none"/>
                <w:lang w:val="en-US" w:eastAsia="zh-CN"/>
              </w:rPr>
            </w:pPr>
            <w:r>
              <w:rPr>
                <w:rFonts w:hint="eastAsia"/>
                <w:color w:val="auto"/>
                <w:sz w:val="21"/>
                <w:szCs w:val="21"/>
                <w:highlight w:val="none"/>
                <w:u w:val="none"/>
                <w:lang w:val="en-US" w:eastAsia="zh-CN"/>
              </w:rPr>
              <w:t>临时道路中新建道路区域较为平整，挖方和填方较少</w:t>
            </w:r>
          </w:p>
        </w:tc>
      </w:tr>
      <w:tr w14:paraId="3CB5C7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32" w:type="pct"/>
            <w:noWrap w:val="0"/>
            <w:vAlign w:val="center"/>
          </w:tcPr>
          <w:p w14:paraId="53245465">
            <w:pPr>
              <w:spacing w:line="240" w:lineRule="auto"/>
              <w:ind w:left="0" w:leftChars="0" w:firstLine="0" w:firstLineChars="0"/>
              <w:jc w:val="center"/>
              <w:rPr>
                <w:rFonts w:hint="eastAsia"/>
                <w:b/>
                <w:bCs/>
                <w:color w:val="auto"/>
                <w:sz w:val="21"/>
                <w:szCs w:val="21"/>
                <w:highlight w:val="yellow"/>
                <w:u w:val="none"/>
                <w:lang w:val="en-US" w:eastAsia="zh-CN"/>
              </w:rPr>
            </w:pPr>
            <w:r>
              <w:rPr>
                <w:rFonts w:hint="eastAsia"/>
                <w:b/>
                <w:bCs/>
                <w:color w:val="auto"/>
                <w:sz w:val="21"/>
                <w:szCs w:val="21"/>
                <w:highlight w:val="none"/>
                <w:u w:val="none"/>
                <w:lang w:val="en-US" w:eastAsia="zh-CN"/>
              </w:rPr>
              <w:t>合计</w:t>
            </w:r>
          </w:p>
        </w:tc>
        <w:tc>
          <w:tcPr>
            <w:tcW w:w="707" w:type="pct"/>
            <w:noWrap w:val="0"/>
            <w:vAlign w:val="center"/>
          </w:tcPr>
          <w:p w14:paraId="79940898">
            <w:pPr>
              <w:spacing w:line="240" w:lineRule="auto"/>
              <w:ind w:left="0" w:leftChars="0" w:firstLine="0" w:firstLineChars="0"/>
              <w:jc w:val="center"/>
              <w:rPr>
                <w:rFonts w:hint="default"/>
                <w:b/>
                <w:bCs/>
                <w:color w:val="auto"/>
                <w:sz w:val="21"/>
                <w:szCs w:val="21"/>
                <w:highlight w:val="yellow"/>
                <w:u w:val="none"/>
                <w:lang w:val="en-US" w:eastAsia="zh-CN"/>
              </w:rPr>
            </w:pPr>
            <w:r>
              <w:rPr>
                <w:rFonts w:hint="eastAsia"/>
                <w:b/>
                <w:bCs/>
                <w:color w:val="auto"/>
                <w:sz w:val="21"/>
                <w:szCs w:val="21"/>
                <w:highlight w:val="none"/>
                <w:u w:val="none"/>
                <w:lang w:val="en-US" w:eastAsia="zh-CN"/>
              </w:rPr>
              <w:t>90116.31</w:t>
            </w:r>
          </w:p>
        </w:tc>
        <w:tc>
          <w:tcPr>
            <w:tcW w:w="743" w:type="pct"/>
            <w:noWrap w:val="0"/>
            <w:vAlign w:val="center"/>
          </w:tcPr>
          <w:p w14:paraId="6A882509">
            <w:pPr>
              <w:spacing w:line="240" w:lineRule="auto"/>
              <w:ind w:left="0" w:leftChars="0" w:firstLine="0" w:firstLineChars="0"/>
              <w:jc w:val="center"/>
              <w:rPr>
                <w:rFonts w:hint="default"/>
                <w:b/>
                <w:bCs/>
                <w:color w:val="auto"/>
                <w:sz w:val="21"/>
                <w:szCs w:val="21"/>
                <w:highlight w:val="none"/>
                <w:u w:val="none"/>
                <w:lang w:val="en-US" w:eastAsia="zh-CN"/>
              </w:rPr>
            </w:pPr>
            <w:r>
              <w:rPr>
                <w:rFonts w:hint="eastAsia"/>
                <w:b/>
                <w:bCs/>
                <w:color w:val="auto"/>
                <w:sz w:val="21"/>
                <w:szCs w:val="21"/>
                <w:highlight w:val="none"/>
                <w:u w:val="none"/>
                <w:lang w:val="en-US" w:eastAsia="zh-CN"/>
              </w:rPr>
              <w:t>90116.31</w:t>
            </w:r>
          </w:p>
        </w:tc>
        <w:tc>
          <w:tcPr>
            <w:tcW w:w="2715" w:type="pct"/>
            <w:noWrap w:val="0"/>
            <w:vAlign w:val="center"/>
          </w:tcPr>
          <w:p w14:paraId="5A1937DE">
            <w:pPr>
              <w:spacing w:line="240" w:lineRule="auto"/>
              <w:ind w:left="0" w:leftChars="0" w:firstLine="0" w:firstLineChars="0"/>
              <w:jc w:val="center"/>
              <w:rPr>
                <w:rFonts w:hint="default"/>
                <w:b/>
                <w:bCs/>
                <w:color w:val="auto"/>
                <w:sz w:val="21"/>
                <w:szCs w:val="21"/>
                <w:highlight w:val="none"/>
                <w:u w:val="none"/>
                <w:lang w:val="en-US" w:eastAsia="zh-CN"/>
              </w:rPr>
            </w:pPr>
            <w:r>
              <w:rPr>
                <w:rFonts w:hint="eastAsia"/>
                <w:b/>
                <w:bCs/>
                <w:color w:val="auto"/>
                <w:sz w:val="21"/>
                <w:szCs w:val="21"/>
                <w:highlight w:val="none"/>
                <w:u w:val="none"/>
                <w:lang w:val="en-US" w:eastAsia="zh-CN"/>
              </w:rPr>
              <w:t>/</w:t>
            </w:r>
          </w:p>
        </w:tc>
      </w:tr>
    </w:tbl>
    <w:p w14:paraId="3B5634C9">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3.1.6公用工程和临时工程</w:t>
      </w:r>
    </w:p>
    <w:p w14:paraId="494D6C97">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3.1.6.1给水</w:t>
      </w:r>
    </w:p>
    <w:p w14:paraId="1AAE83F6">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施工人员租用当地房屋居住，生产生活用水使用当地居民采用井水等。项目区域条件可满足施工用水需求。项目管理期间无需使用水。施工期用水主要包括施工人员生活用水、车辆冲洗用水、洒水抑尘等。</w:t>
      </w:r>
    </w:p>
    <w:p w14:paraId="1DC74F6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①施工人员生活用水：项目施工劳动定员为20人，用水量以80L/人·d计，则本项目生活用水量为1.6m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vertAlign w:val="baseline"/>
          <w:lang w:val="en-US" w:eastAsia="zh-CN"/>
        </w:rPr>
        <w:t>/d</w:t>
      </w:r>
      <w:r>
        <w:rPr>
          <w:rFonts w:hint="default" w:ascii="Times New Roman" w:hAnsi="Times New Roman" w:cs="Times New Roman"/>
          <w:sz w:val="24"/>
          <w:szCs w:val="24"/>
          <w:highlight w:val="none"/>
          <w:lang w:val="en-US" w:eastAsia="zh-CN"/>
        </w:rPr>
        <w:t>。</w:t>
      </w:r>
    </w:p>
    <w:p w14:paraId="7E838EC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②车辆冲洗用水：根据施工方案，废渣区、填埋区和取土场三者距离最远为3.5km，为防止车辆携带泥土引起扬尘等污染，运输车辆每次均需清洗。废渣运输量为55999.73m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，取土运输总量为29866.58m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，密度取1.8t/m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，则运输重量约为154559.358t，采用20t车辆运输，共计约7728辆次。车辆冲洗水量大致为0.05m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/辆次，则车辆清洗用水386.4m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w:t>
      </w:r>
    </w:p>
    <w:p w14:paraId="1A650A8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③洒水抑尘：项目施工作业及厂区运输道路洒水间隔不低于每2小时一次，同一时间洒水作业面积约2000m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，洒水量按2L/m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/次考虑，则项目洒水用水量为16m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/d，共计2400m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/a（施工作业时间尽量选择在晴天，需洒水抑尘时间以开挖填埋施工时间的50%计，即150天，每天8h计）。洒水抑尘优先使用车辆冲洗水等经处理达标的水。</w:t>
      </w:r>
    </w:p>
    <w:p w14:paraId="05448884">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3.1.6.2</w:t>
      </w:r>
      <w:r>
        <w:rPr>
          <w:rFonts w:hint="default" w:ascii="Times New Roman" w:hAnsi="Times New Roman" w:cs="Times New Roman"/>
          <w:sz w:val="24"/>
          <w:szCs w:val="24"/>
          <w:lang w:val="en-US" w:eastAsia="zh-CN"/>
        </w:rPr>
        <w:t>排水</w:t>
      </w:r>
    </w:p>
    <w:p w14:paraId="4352D5B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本项目施工期生活污水经化粪池处理后用于农肥，不外排；施工期车辆清洗废水经沉淀池处理后回用于洗车及洒水降尘；场地开挖产生的淋溶水</w:t>
      </w:r>
      <w:r>
        <w:rPr>
          <w:rFonts w:hint="eastAsia" w:cs="Times New Roman"/>
          <w:sz w:val="24"/>
          <w:szCs w:val="24"/>
          <w:highlight w:val="none"/>
          <w:lang w:val="en-US" w:eastAsia="zh-CN"/>
        </w:rPr>
        <w:t>设置临时截排水沟排入集水坑收集、</w:t>
      </w:r>
      <w:r>
        <w:rPr>
          <w:rFonts w:hint="default" w:ascii="Times New Roman" w:hAnsi="Times New Roman" w:cs="Times New Roman"/>
          <w:sz w:val="24"/>
          <w:szCs w:val="24"/>
          <w:highlight w:val="none"/>
          <w:lang w:val="en-US" w:eastAsia="zh-CN"/>
        </w:rPr>
        <w:t>施工期及封场后产生的渗滤液经渗滤液收集池收集，经拟建一体化废水处理设备处理后，采用防腐、防漏的罐车集中清运至湖南黄金天岳矿业有限公司垂拱洞尾矿库废水处理站进行处理。</w:t>
      </w:r>
    </w:p>
    <w:p w14:paraId="5EABD777">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3.1.6.3</w:t>
      </w:r>
      <w:r>
        <w:rPr>
          <w:rFonts w:hint="default" w:ascii="Times New Roman" w:hAnsi="Times New Roman" w:cs="Times New Roman"/>
          <w:sz w:val="24"/>
          <w:szCs w:val="24"/>
          <w:lang w:val="en-US" w:eastAsia="zh-CN"/>
        </w:rPr>
        <w:t>供电</w:t>
      </w:r>
    </w:p>
    <w:p w14:paraId="28A9FFC9">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供电由周边村庄电力系统引进。</w:t>
      </w:r>
    </w:p>
    <w:p w14:paraId="77ABEFB4">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3.1.6.4</w:t>
      </w:r>
      <w:r>
        <w:rPr>
          <w:rFonts w:hint="default" w:ascii="Times New Roman" w:hAnsi="Times New Roman" w:cs="Times New Roman"/>
          <w:sz w:val="24"/>
          <w:szCs w:val="24"/>
          <w:lang w:val="en-US" w:eastAsia="zh-CN"/>
        </w:rPr>
        <w:t>施工营地</w:t>
      </w:r>
    </w:p>
    <w:p w14:paraId="72D84CB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a）施工生活区：施工单位的施工人员直接租用附近村庄房屋居住，不再新建施工营地。本次评价施工人员生活污水经化粪池收集预处理后回用于农田施肥。</w:t>
      </w:r>
    </w:p>
    <w:p w14:paraId="65DBB3D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b）施工生产区：项目施工区域大，施工有关设施、材料和机械停放场地均可在项目场地内部布置，不需要单独集中布设施工生产场地。</w:t>
      </w:r>
    </w:p>
    <w:p w14:paraId="557854C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为了防止土壤、废渣挖掘机械、运输车辆进出受污染地块对周边环境造成二次污染，在需要转运出场的污染场地设置车辆清洗设备对运输车辆等进行清洗，在废渣填埋场出入口及万古村1#废渣堆出入口各设置1座混凝土结构的洗车平台及一套汽车冲洗设备。洗车废水经沉淀池处理后用于洗车及洒水降尘。</w:t>
      </w:r>
    </w:p>
    <w:p w14:paraId="57950CB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场地内临时工程布置应遵循以下基本原则：</w:t>
      </w:r>
    </w:p>
    <w:p w14:paraId="6C4FE33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①必须执行国家和行业的有关规范、标准、规定等。</w:t>
      </w:r>
    </w:p>
    <w:p w14:paraId="7613B67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②应根据工艺流程、防火、安全、卫生等要求，结合内外部运输条件、场地地形、气象条件及规划等因素综合确定。</w:t>
      </w:r>
    </w:p>
    <w:p w14:paraId="327580E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③尽量科学合理利用场地内现有建筑设施。</w:t>
      </w:r>
    </w:p>
    <w:p w14:paraId="19D4D66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④还应根据当地主导风向、进料方向、地质条件等因素进行布置，既要考虑流程合理、管理方便，又要考虑经济实用。</w:t>
      </w:r>
    </w:p>
    <w:p w14:paraId="635C7DB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⑤坚持节约用地原则，生产用地布置力求简洁、紧凑。</w:t>
      </w:r>
    </w:p>
    <w:p w14:paraId="47FE77D2">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bookmarkStart w:id="341" w:name="_Toc26296"/>
      <w:r>
        <w:rPr>
          <w:rFonts w:hint="eastAsia" w:ascii="Times New Roman" w:hAnsi="Times New Roman" w:cs="Times New Roman"/>
          <w:sz w:val="24"/>
          <w:szCs w:val="24"/>
          <w:u w:val="none"/>
          <w:lang w:val="en-US" w:eastAsia="zh-CN"/>
        </w:rPr>
        <w:t>3.1.6.5</w:t>
      </w:r>
      <w:r>
        <w:rPr>
          <w:rFonts w:hint="default" w:ascii="Times New Roman" w:hAnsi="Times New Roman" w:cs="Times New Roman"/>
          <w:sz w:val="24"/>
          <w:szCs w:val="24"/>
          <w:u w:val="none"/>
          <w:lang w:val="en-US" w:eastAsia="zh-CN"/>
        </w:rPr>
        <w:t>废渣暂存区及表土暂存区</w:t>
      </w:r>
    </w:p>
    <w:p w14:paraId="43768CFB">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highlight w:val="none"/>
          <w:u w:val="none"/>
          <w:lang w:val="en-US" w:eastAsia="zh-CN"/>
        </w:rPr>
        <w:t>本项目先建设填埋场，再将万古村1#、2#废渣堆、万古水库废渣堆3A、3B废渣转运至填埋场，不需要设置废渣暂存区。</w:t>
      </w:r>
      <w:r>
        <w:rPr>
          <w:rFonts w:hint="default" w:ascii="Times New Roman" w:hAnsi="Times New Roman" w:cs="Times New Roman"/>
          <w:sz w:val="24"/>
          <w:szCs w:val="24"/>
          <w:u w:val="none"/>
          <w:lang w:val="en-US" w:eastAsia="zh-CN"/>
        </w:rPr>
        <w:t>项目填埋场在施工场底清基扰动的土方尽量用于填埋场场底施工基础整平，过程产生的表土堆存于填埋场西侧，便于后期绿化直接利用。本项目表土暂存区底部在施工过程中为防止雨水进入采用防渗膜做好防渗，同时建设临时截洪沟做好雨污分流。</w:t>
      </w:r>
    </w:p>
    <w:p w14:paraId="533CCC76">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3.1.6.6</w:t>
      </w:r>
      <w:r>
        <w:rPr>
          <w:rFonts w:hint="default" w:ascii="Times New Roman" w:hAnsi="Times New Roman" w:cs="Times New Roman"/>
          <w:sz w:val="24"/>
          <w:szCs w:val="24"/>
          <w:lang w:val="en-US" w:eastAsia="zh-CN"/>
        </w:rPr>
        <w:t>施工</w:t>
      </w:r>
      <w:bookmarkEnd w:id="341"/>
      <w:r>
        <w:rPr>
          <w:rFonts w:hint="default" w:ascii="Times New Roman" w:hAnsi="Times New Roman" w:cs="Times New Roman"/>
          <w:sz w:val="24"/>
          <w:szCs w:val="24"/>
          <w:lang w:val="en-US" w:eastAsia="zh-CN"/>
        </w:rPr>
        <w:t>便道</w:t>
      </w:r>
    </w:p>
    <w:p w14:paraId="0B9DE12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新建临时施工道路共计2151m，三段新建道路分别长1949.3m、106.3m、95.4m。新建临时道路采用碎石路面，结构为：路面共分两层，其中碎石层15cm，稳定土垫层15cm，地基压实度90%。路面由中间向两侧各有2%的坡度，以利于排水。具体临时道路工程情况见下表。</w:t>
      </w:r>
    </w:p>
    <w:p w14:paraId="158123F0">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表3.1-26  施工道路情况一览表</w:t>
      </w:r>
    </w:p>
    <w:tbl>
      <w:tblPr>
        <w:tblStyle w:val="111"/>
        <w:tblW w:w="5063"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29"/>
        <w:gridCol w:w="3633"/>
        <w:gridCol w:w="2619"/>
        <w:gridCol w:w="2136"/>
      </w:tblGrid>
      <w:tr w14:paraId="10C553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0" w:type="pct"/>
            <w:tcBorders>
              <w:tl2br w:val="nil"/>
              <w:tr2bl w:val="nil"/>
            </w:tcBorders>
            <w:noWrap w:val="0"/>
            <w:vAlign w:val="center"/>
          </w:tcPr>
          <w:p w14:paraId="0B904CE7">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kern w:val="0"/>
                <w:sz w:val="21"/>
                <w:szCs w:val="21"/>
                <w:u w:val="none" w:color="auto"/>
                <w:lang w:val="en-US" w:eastAsia="en-US" w:bidi="ar-SA"/>
              </w:rPr>
            </w:pPr>
            <w:r>
              <w:rPr>
                <w:rFonts w:hint="default" w:ascii="Times New Roman" w:hAnsi="Times New Roman" w:eastAsia="宋体" w:cs="Times New Roman"/>
                <w:b/>
                <w:bCs/>
                <w:snapToGrid w:val="0"/>
                <w:color w:val="auto"/>
                <w:spacing w:val="-2"/>
                <w:kern w:val="0"/>
                <w:sz w:val="21"/>
                <w:szCs w:val="21"/>
                <w:u w:val="none" w:color="auto"/>
                <w:lang w:val="en-US" w:eastAsia="en-US" w:bidi="ar-SA"/>
              </w:rPr>
              <w:t>序号</w:t>
            </w:r>
          </w:p>
        </w:tc>
        <w:tc>
          <w:tcPr>
            <w:tcW w:w="1970" w:type="pct"/>
            <w:tcBorders>
              <w:tl2br w:val="nil"/>
              <w:tr2bl w:val="nil"/>
            </w:tcBorders>
            <w:noWrap w:val="0"/>
            <w:vAlign w:val="center"/>
          </w:tcPr>
          <w:p w14:paraId="76B7EC7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kern w:val="0"/>
                <w:sz w:val="21"/>
                <w:szCs w:val="21"/>
                <w:u w:val="none" w:color="auto"/>
                <w:lang w:val="en-US" w:eastAsia="en-US" w:bidi="ar-SA"/>
              </w:rPr>
            </w:pPr>
            <w:r>
              <w:rPr>
                <w:rFonts w:hint="default" w:ascii="Times New Roman" w:hAnsi="Times New Roman" w:eastAsia="宋体" w:cs="Times New Roman"/>
                <w:b/>
                <w:bCs/>
                <w:snapToGrid w:val="0"/>
                <w:color w:val="auto"/>
                <w:spacing w:val="-2"/>
                <w:kern w:val="0"/>
                <w:sz w:val="21"/>
                <w:szCs w:val="21"/>
                <w:u w:val="none" w:color="auto"/>
                <w:lang w:val="en-US" w:eastAsia="en-US" w:bidi="ar-SA"/>
              </w:rPr>
              <w:t>起止桩号</w:t>
            </w:r>
          </w:p>
        </w:tc>
        <w:tc>
          <w:tcPr>
            <w:tcW w:w="1420" w:type="pct"/>
            <w:tcBorders>
              <w:tl2br w:val="nil"/>
              <w:tr2bl w:val="nil"/>
            </w:tcBorders>
            <w:noWrap w:val="0"/>
            <w:vAlign w:val="center"/>
          </w:tcPr>
          <w:p w14:paraId="62F5F0C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kern w:val="0"/>
                <w:sz w:val="21"/>
                <w:szCs w:val="21"/>
                <w:u w:val="none" w:color="auto"/>
                <w:lang w:val="en-US" w:eastAsia="en-US" w:bidi="ar-SA"/>
              </w:rPr>
            </w:pPr>
            <w:r>
              <w:rPr>
                <w:rFonts w:hint="eastAsia" w:ascii="Times New Roman" w:hAnsi="Times New Roman" w:eastAsia="宋体" w:cs="Times New Roman"/>
                <w:b/>
                <w:bCs/>
                <w:snapToGrid w:val="0"/>
                <w:color w:val="auto"/>
                <w:spacing w:val="5"/>
                <w:kern w:val="0"/>
                <w:sz w:val="21"/>
                <w:szCs w:val="21"/>
                <w:u w:val="none" w:color="auto"/>
                <w:lang w:val="en-US" w:eastAsia="zh-CN" w:bidi="ar-SA"/>
              </w:rPr>
              <w:t>施工道路</w:t>
            </w:r>
            <w:r>
              <w:rPr>
                <w:rFonts w:hint="default" w:ascii="Times New Roman" w:hAnsi="Times New Roman" w:eastAsia="宋体" w:cs="Times New Roman"/>
                <w:b/>
                <w:bCs/>
                <w:snapToGrid w:val="0"/>
                <w:color w:val="auto"/>
                <w:spacing w:val="5"/>
                <w:kern w:val="0"/>
                <w:sz w:val="21"/>
                <w:szCs w:val="21"/>
                <w:u w:val="none" w:color="auto"/>
                <w:lang w:val="en-US" w:eastAsia="en-US" w:bidi="ar-SA"/>
              </w:rPr>
              <w:t>长度</w:t>
            </w:r>
          </w:p>
        </w:tc>
        <w:tc>
          <w:tcPr>
            <w:tcW w:w="1158" w:type="pct"/>
            <w:tcBorders>
              <w:tl2br w:val="nil"/>
              <w:tr2bl w:val="nil"/>
            </w:tcBorders>
            <w:noWrap w:val="0"/>
            <w:vAlign w:val="center"/>
          </w:tcPr>
          <w:p w14:paraId="67F8A886">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auto"/>
                <w:kern w:val="0"/>
                <w:sz w:val="21"/>
                <w:szCs w:val="21"/>
                <w:u w:val="none" w:color="auto"/>
                <w:lang w:val="en-US" w:eastAsia="zh-CN" w:bidi="ar-SA"/>
              </w:rPr>
            </w:pPr>
            <w:r>
              <w:rPr>
                <w:rFonts w:hint="eastAsia" w:ascii="Times New Roman" w:hAnsi="Times New Roman" w:eastAsia="宋体" w:cs="Times New Roman"/>
                <w:b/>
                <w:bCs/>
                <w:snapToGrid w:val="0"/>
                <w:color w:val="auto"/>
                <w:kern w:val="0"/>
                <w:sz w:val="21"/>
                <w:szCs w:val="21"/>
                <w:u w:val="none" w:color="auto"/>
                <w:lang w:val="en-US" w:eastAsia="zh-CN" w:bidi="ar-SA"/>
              </w:rPr>
              <w:t>单位</w:t>
            </w:r>
          </w:p>
        </w:tc>
      </w:tr>
      <w:tr w14:paraId="40765C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0" w:type="pct"/>
            <w:tcBorders>
              <w:tl2br w:val="nil"/>
              <w:tr2bl w:val="nil"/>
            </w:tcBorders>
            <w:noWrap w:val="0"/>
            <w:vAlign w:val="center"/>
          </w:tcPr>
          <w:p w14:paraId="5A9381D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kern w:val="0"/>
                <w:sz w:val="21"/>
                <w:szCs w:val="21"/>
                <w:u w:val="none" w:color="auto"/>
                <w:lang w:val="en-US" w:eastAsia="en-US" w:bidi="ar-SA"/>
              </w:rPr>
              <w:t>1</w:t>
            </w:r>
          </w:p>
        </w:tc>
        <w:tc>
          <w:tcPr>
            <w:tcW w:w="1970" w:type="pct"/>
            <w:tcBorders>
              <w:tl2br w:val="nil"/>
              <w:tr2bl w:val="nil"/>
            </w:tcBorders>
            <w:noWrap w:val="0"/>
            <w:vAlign w:val="center"/>
          </w:tcPr>
          <w:p w14:paraId="48C42341">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1"/>
                <w:kern w:val="0"/>
                <w:sz w:val="21"/>
                <w:szCs w:val="21"/>
                <w:u w:val="none" w:color="auto"/>
                <w:lang w:val="en-US" w:eastAsia="en-US" w:bidi="ar-SA"/>
              </w:rPr>
              <w:t>K0+000~K1+949.334</w:t>
            </w:r>
          </w:p>
        </w:tc>
        <w:tc>
          <w:tcPr>
            <w:tcW w:w="1420" w:type="pct"/>
            <w:tcBorders>
              <w:tl2br w:val="nil"/>
              <w:tr2bl w:val="nil"/>
            </w:tcBorders>
            <w:noWrap w:val="0"/>
            <w:vAlign w:val="center"/>
          </w:tcPr>
          <w:p w14:paraId="069A0EC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2"/>
                <w:kern w:val="0"/>
                <w:sz w:val="21"/>
                <w:szCs w:val="21"/>
                <w:u w:val="none" w:color="auto"/>
                <w:lang w:val="en-US" w:eastAsia="en-US" w:bidi="ar-SA"/>
              </w:rPr>
              <w:t>1949.3</w:t>
            </w:r>
          </w:p>
        </w:tc>
        <w:tc>
          <w:tcPr>
            <w:tcW w:w="1158" w:type="pct"/>
            <w:tcBorders>
              <w:tl2br w:val="nil"/>
              <w:tr2bl w:val="nil"/>
            </w:tcBorders>
            <w:noWrap w:val="0"/>
            <w:vAlign w:val="center"/>
          </w:tcPr>
          <w:p w14:paraId="2FC4A6F2">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zh-CN" w:bidi="ar-SA"/>
              </w:rPr>
            </w:pPr>
            <w:r>
              <w:rPr>
                <w:rFonts w:hint="eastAsia" w:ascii="Times New Roman" w:hAnsi="Times New Roman" w:eastAsia="宋体" w:cs="Times New Roman"/>
                <w:snapToGrid w:val="0"/>
                <w:color w:val="auto"/>
                <w:kern w:val="0"/>
                <w:sz w:val="21"/>
                <w:szCs w:val="21"/>
                <w:u w:val="none" w:color="auto"/>
                <w:lang w:val="en-US" w:eastAsia="zh-CN" w:bidi="ar-SA"/>
              </w:rPr>
              <w:t>m</w:t>
            </w:r>
          </w:p>
        </w:tc>
      </w:tr>
      <w:tr w14:paraId="2E1A7A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0" w:type="pct"/>
            <w:tcBorders>
              <w:tl2br w:val="nil"/>
              <w:tr2bl w:val="nil"/>
            </w:tcBorders>
            <w:noWrap w:val="0"/>
            <w:vAlign w:val="center"/>
          </w:tcPr>
          <w:p w14:paraId="72A33404">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kern w:val="0"/>
                <w:sz w:val="21"/>
                <w:szCs w:val="21"/>
                <w:u w:val="none" w:color="auto"/>
                <w:lang w:val="en-US" w:eastAsia="en-US" w:bidi="ar-SA"/>
              </w:rPr>
              <w:t>2</w:t>
            </w:r>
          </w:p>
        </w:tc>
        <w:tc>
          <w:tcPr>
            <w:tcW w:w="1970" w:type="pct"/>
            <w:tcBorders>
              <w:tl2br w:val="nil"/>
              <w:tr2bl w:val="nil"/>
            </w:tcBorders>
            <w:noWrap w:val="0"/>
            <w:vAlign w:val="center"/>
          </w:tcPr>
          <w:p w14:paraId="6D5623FD">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1"/>
                <w:kern w:val="0"/>
                <w:sz w:val="21"/>
                <w:szCs w:val="21"/>
                <w:u w:val="none" w:color="auto"/>
                <w:lang w:val="en-US" w:eastAsia="en-US" w:bidi="ar-SA"/>
              </w:rPr>
              <w:t>万古村1#渣点便道支线</w:t>
            </w:r>
          </w:p>
        </w:tc>
        <w:tc>
          <w:tcPr>
            <w:tcW w:w="1420" w:type="pct"/>
            <w:tcBorders>
              <w:tl2br w:val="nil"/>
              <w:tr2bl w:val="nil"/>
            </w:tcBorders>
            <w:noWrap w:val="0"/>
            <w:vAlign w:val="center"/>
          </w:tcPr>
          <w:p w14:paraId="2EF619FB">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3"/>
                <w:kern w:val="0"/>
                <w:sz w:val="21"/>
                <w:szCs w:val="21"/>
                <w:u w:val="none" w:color="auto"/>
                <w:lang w:val="en-US" w:eastAsia="en-US" w:bidi="ar-SA"/>
              </w:rPr>
              <w:t>106.3</w:t>
            </w:r>
          </w:p>
        </w:tc>
        <w:tc>
          <w:tcPr>
            <w:tcW w:w="1158" w:type="pct"/>
            <w:tcBorders>
              <w:tl2br w:val="nil"/>
              <w:tr2bl w:val="nil"/>
            </w:tcBorders>
            <w:noWrap w:val="0"/>
            <w:vAlign w:val="center"/>
          </w:tcPr>
          <w:p w14:paraId="7D5BADD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eastAsia" w:ascii="Times New Roman" w:hAnsi="Times New Roman" w:eastAsia="宋体" w:cs="Times New Roman"/>
                <w:snapToGrid w:val="0"/>
                <w:color w:val="auto"/>
                <w:kern w:val="0"/>
                <w:sz w:val="21"/>
                <w:szCs w:val="21"/>
                <w:u w:val="none" w:color="auto"/>
                <w:lang w:val="en-US" w:eastAsia="zh-CN" w:bidi="ar-SA"/>
              </w:rPr>
              <w:t>m</w:t>
            </w:r>
          </w:p>
        </w:tc>
      </w:tr>
      <w:tr w14:paraId="463B30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0" w:type="pct"/>
            <w:tcBorders>
              <w:tl2br w:val="nil"/>
              <w:tr2bl w:val="nil"/>
            </w:tcBorders>
            <w:noWrap w:val="0"/>
            <w:vAlign w:val="center"/>
          </w:tcPr>
          <w:p w14:paraId="761D6EEC">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kern w:val="0"/>
                <w:sz w:val="21"/>
                <w:szCs w:val="21"/>
                <w:u w:val="none" w:color="auto"/>
                <w:lang w:val="en-US" w:eastAsia="en-US" w:bidi="ar-SA"/>
              </w:rPr>
              <w:t>3</w:t>
            </w:r>
          </w:p>
        </w:tc>
        <w:tc>
          <w:tcPr>
            <w:tcW w:w="1970" w:type="pct"/>
            <w:tcBorders>
              <w:tl2br w:val="nil"/>
              <w:tr2bl w:val="nil"/>
            </w:tcBorders>
            <w:noWrap w:val="0"/>
            <w:vAlign w:val="center"/>
          </w:tcPr>
          <w:p w14:paraId="29BB100F">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1"/>
                <w:kern w:val="0"/>
                <w:sz w:val="21"/>
                <w:szCs w:val="21"/>
                <w:u w:val="none" w:color="auto"/>
                <w:lang w:val="en-US" w:eastAsia="en-US" w:bidi="ar-SA"/>
              </w:rPr>
              <w:t>万古村3A#渣点便道支线</w:t>
            </w:r>
          </w:p>
        </w:tc>
        <w:tc>
          <w:tcPr>
            <w:tcW w:w="1420" w:type="pct"/>
            <w:tcBorders>
              <w:tl2br w:val="nil"/>
              <w:tr2bl w:val="nil"/>
            </w:tcBorders>
            <w:noWrap w:val="0"/>
            <w:vAlign w:val="center"/>
          </w:tcPr>
          <w:p w14:paraId="077A37A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eastAsia" w:ascii="Times New Roman" w:hAnsi="Times New Roman" w:eastAsia="宋体" w:cs="Times New Roman"/>
                <w:snapToGrid w:val="0"/>
                <w:color w:val="auto"/>
                <w:kern w:val="0"/>
                <w:sz w:val="21"/>
                <w:szCs w:val="21"/>
                <w:u w:val="none" w:color="auto"/>
                <w:lang w:val="en-US" w:eastAsia="zh-CN" w:bidi="ar-SA"/>
              </w:rPr>
            </w:pPr>
            <w:r>
              <w:rPr>
                <w:rFonts w:hint="default" w:ascii="Times New Roman" w:hAnsi="Times New Roman" w:eastAsia="宋体" w:cs="Times New Roman"/>
                <w:snapToGrid w:val="0"/>
                <w:color w:val="auto"/>
                <w:spacing w:val="-2"/>
                <w:kern w:val="0"/>
                <w:sz w:val="21"/>
                <w:szCs w:val="21"/>
                <w:u w:val="none" w:color="auto"/>
                <w:lang w:val="en-US" w:eastAsia="en-US" w:bidi="ar-SA"/>
              </w:rPr>
              <w:t>95.</w:t>
            </w:r>
            <w:r>
              <w:rPr>
                <w:rFonts w:hint="eastAsia" w:ascii="Times New Roman" w:hAnsi="Times New Roman" w:eastAsia="宋体" w:cs="Times New Roman"/>
                <w:snapToGrid w:val="0"/>
                <w:color w:val="auto"/>
                <w:spacing w:val="-2"/>
                <w:kern w:val="0"/>
                <w:sz w:val="21"/>
                <w:szCs w:val="21"/>
                <w:u w:val="none" w:color="auto"/>
                <w:lang w:val="en-US" w:eastAsia="zh-CN" w:bidi="ar-SA"/>
              </w:rPr>
              <w:t>4</w:t>
            </w:r>
          </w:p>
        </w:tc>
        <w:tc>
          <w:tcPr>
            <w:tcW w:w="1158" w:type="pct"/>
            <w:tcBorders>
              <w:tl2br w:val="nil"/>
              <w:tr2bl w:val="nil"/>
            </w:tcBorders>
            <w:noWrap w:val="0"/>
            <w:vAlign w:val="center"/>
          </w:tcPr>
          <w:p w14:paraId="13C8FEA8">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eastAsia" w:ascii="Times New Roman" w:hAnsi="Times New Roman" w:eastAsia="宋体" w:cs="Times New Roman"/>
                <w:snapToGrid w:val="0"/>
                <w:color w:val="auto"/>
                <w:kern w:val="0"/>
                <w:sz w:val="21"/>
                <w:szCs w:val="21"/>
                <w:u w:val="none" w:color="auto"/>
                <w:lang w:val="en-US" w:eastAsia="zh-CN" w:bidi="ar-SA"/>
              </w:rPr>
              <w:t>m</w:t>
            </w:r>
          </w:p>
        </w:tc>
      </w:tr>
      <w:tr w14:paraId="563A92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0" w:type="pct"/>
            <w:tcBorders>
              <w:tl2br w:val="nil"/>
              <w:tr2bl w:val="nil"/>
            </w:tcBorders>
            <w:noWrap w:val="0"/>
            <w:vAlign w:val="center"/>
          </w:tcPr>
          <w:p w14:paraId="78D29AE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baseline"/>
              <w:rPr>
                <w:rFonts w:hint="eastAsia" w:ascii="Times New Roman" w:hAnsi="Times New Roman" w:eastAsia="宋体" w:cs="Times New Roman"/>
                <w:snapToGrid w:val="0"/>
                <w:color w:val="auto"/>
                <w:kern w:val="0"/>
                <w:sz w:val="21"/>
                <w:szCs w:val="21"/>
                <w:u w:val="none" w:color="auto"/>
                <w:lang w:val="en-US" w:eastAsia="zh-CN"/>
              </w:rPr>
            </w:pPr>
            <w:r>
              <w:rPr>
                <w:rFonts w:hint="eastAsia" w:ascii="Times New Roman" w:hAnsi="Times New Roman" w:eastAsia="宋体" w:cs="Times New Roman"/>
                <w:snapToGrid w:val="0"/>
                <w:color w:val="auto"/>
                <w:kern w:val="0"/>
                <w:sz w:val="21"/>
                <w:szCs w:val="21"/>
                <w:u w:val="none" w:color="auto"/>
                <w:lang w:val="en-US" w:eastAsia="zh-CN"/>
              </w:rPr>
              <w:t>/</w:t>
            </w:r>
          </w:p>
        </w:tc>
        <w:tc>
          <w:tcPr>
            <w:tcW w:w="1970" w:type="pct"/>
            <w:tcBorders>
              <w:tl2br w:val="nil"/>
              <w:tr2bl w:val="nil"/>
            </w:tcBorders>
            <w:noWrap w:val="0"/>
            <w:vAlign w:val="center"/>
          </w:tcPr>
          <w:p w14:paraId="5F22A87E">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2"/>
                <w:kern w:val="0"/>
                <w:sz w:val="21"/>
                <w:szCs w:val="21"/>
                <w:u w:val="none" w:color="auto"/>
                <w:lang w:val="en-US" w:eastAsia="en-US" w:bidi="ar-SA"/>
              </w:rPr>
              <w:t>合计</w:t>
            </w:r>
          </w:p>
        </w:tc>
        <w:tc>
          <w:tcPr>
            <w:tcW w:w="1420" w:type="pct"/>
            <w:tcBorders>
              <w:tl2br w:val="nil"/>
              <w:tr2bl w:val="nil"/>
            </w:tcBorders>
            <w:noWrap w:val="0"/>
            <w:vAlign w:val="center"/>
          </w:tcPr>
          <w:p w14:paraId="79D26349">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default" w:ascii="Times New Roman" w:hAnsi="Times New Roman" w:eastAsia="宋体" w:cs="Times New Roman"/>
                <w:snapToGrid w:val="0"/>
                <w:color w:val="auto"/>
                <w:spacing w:val="-1"/>
                <w:kern w:val="0"/>
                <w:sz w:val="21"/>
                <w:szCs w:val="21"/>
                <w:u w:val="none" w:color="auto"/>
                <w:lang w:val="en-US" w:eastAsia="en-US" w:bidi="ar-SA"/>
              </w:rPr>
              <w:t>2151</w:t>
            </w:r>
          </w:p>
        </w:tc>
        <w:tc>
          <w:tcPr>
            <w:tcW w:w="1158" w:type="pct"/>
            <w:tcBorders>
              <w:tl2br w:val="nil"/>
              <w:tr2bl w:val="nil"/>
            </w:tcBorders>
            <w:noWrap w:val="0"/>
            <w:vAlign w:val="center"/>
          </w:tcPr>
          <w:p w14:paraId="1E11A9AA">
            <w:pPr>
              <w:keepNext w:val="0"/>
              <w:keepLines w:val="0"/>
              <w:pageBreakBefore w:val="0"/>
              <w:widowControl w:val="0"/>
              <w:kinsoku/>
              <w:wordWrap/>
              <w:overflowPunct/>
              <w:topLinePunct w:val="0"/>
              <w:autoSpaceDE/>
              <w:autoSpaceDN/>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u w:val="none" w:color="auto"/>
                <w:lang w:val="en-US" w:eastAsia="en-US" w:bidi="ar-SA"/>
              </w:rPr>
            </w:pPr>
            <w:r>
              <w:rPr>
                <w:rFonts w:hint="eastAsia" w:ascii="Times New Roman" w:hAnsi="Times New Roman" w:eastAsia="宋体" w:cs="Times New Roman"/>
                <w:snapToGrid w:val="0"/>
                <w:color w:val="auto"/>
                <w:kern w:val="0"/>
                <w:sz w:val="21"/>
                <w:szCs w:val="21"/>
                <w:u w:val="none" w:color="auto"/>
                <w:lang w:val="en-US" w:eastAsia="zh-CN" w:bidi="ar-SA"/>
              </w:rPr>
              <w:t>m</w:t>
            </w:r>
          </w:p>
        </w:tc>
      </w:tr>
    </w:tbl>
    <w:p w14:paraId="36EB7818">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3.1.7主要设备</w:t>
      </w:r>
    </w:p>
    <w:p w14:paraId="60CE7347">
      <w:pPr>
        <w:bidi w:val="0"/>
        <w:rPr>
          <w:rFonts w:hint="eastAsia"/>
          <w:sz w:val="24"/>
          <w:szCs w:val="24"/>
          <w:highlight w:val="none"/>
          <w:lang w:val="en-US" w:eastAsia="zh-CN"/>
        </w:rPr>
      </w:pPr>
      <w:r>
        <w:rPr>
          <w:rFonts w:hint="eastAsia"/>
          <w:sz w:val="24"/>
          <w:szCs w:val="24"/>
          <w:highlight w:val="none"/>
          <w:lang w:val="en-US" w:eastAsia="zh-CN"/>
        </w:rPr>
        <w:t>项目主要施工设备见下表。</w:t>
      </w:r>
    </w:p>
    <w:p w14:paraId="1077F06F">
      <w:pPr>
        <w:bidi w:val="0"/>
        <w:spacing w:line="240" w:lineRule="auto"/>
        <w:ind w:left="0" w:leftChars="0" w:firstLine="0" w:firstLineChars="0"/>
        <w:jc w:val="center"/>
        <w:rPr>
          <w:rFonts w:hint="default"/>
          <w:b/>
          <w:bCs/>
          <w:sz w:val="21"/>
          <w:szCs w:val="21"/>
          <w:highlight w:val="none"/>
          <w:u w:val="none"/>
          <w:lang w:val="en-US" w:eastAsia="zh-CN"/>
        </w:rPr>
      </w:pPr>
      <w:r>
        <w:rPr>
          <w:rFonts w:hint="eastAsia"/>
          <w:b/>
          <w:bCs/>
          <w:sz w:val="21"/>
          <w:szCs w:val="21"/>
          <w:highlight w:val="none"/>
          <w:u w:val="none"/>
          <w:lang w:val="en-US" w:eastAsia="zh-CN"/>
        </w:rPr>
        <w:t>表3.1-27  主要施工设备一览表</w:t>
      </w:r>
    </w:p>
    <w:tbl>
      <w:tblPr>
        <w:tblStyle w:val="46"/>
        <w:tblW w:w="513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83"/>
        <w:gridCol w:w="2421"/>
        <w:gridCol w:w="4123"/>
        <w:gridCol w:w="999"/>
        <w:gridCol w:w="924"/>
      </w:tblGrid>
      <w:tr w14:paraId="272C7C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8" w:hRule="atLeast"/>
          <w:tblHeader/>
          <w:jc w:val="center"/>
        </w:trPr>
        <w:tc>
          <w:tcPr>
            <w:tcW w:w="472" w:type="pct"/>
            <w:noWrap w:val="0"/>
            <w:vAlign w:val="center"/>
          </w:tcPr>
          <w:p w14:paraId="2E4A85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u w:val="none"/>
              </w:rPr>
            </w:pPr>
            <w:r>
              <w:rPr>
                <w:b/>
                <w:bCs/>
                <w:sz w:val="21"/>
                <w:szCs w:val="21"/>
                <w:u w:val="none"/>
              </w:rPr>
              <w:t>序号</w:t>
            </w:r>
          </w:p>
        </w:tc>
        <w:tc>
          <w:tcPr>
            <w:tcW w:w="1294" w:type="pct"/>
            <w:noWrap w:val="0"/>
            <w:vAlign w:val="center"/>
          </w:tcPr>
          <w:p w14:paraId="677F3E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u w:val="none"/>
              </w:rPr>
            </w:pPr>
            <w:r>
              <w:rPr>
                <w:b/>
                <w:bCs/>
                <w:sz w:val="21"/>
                <w:szCs w:val="21"/>
                <w:u w:val="none"/>
              </w:rPr>
              <w:t>设备名称</w:t>
            </w:r>
          </w:p>
        </w:tc>
        <w:tc>
          <w:tcPr>
            <w:tcW w:w="2204" w:type="pct"/>
            <w:noWrap w:val="0"/>
            <w:vAlign w:val="center"/>
          </w:tcPr>
          <w:p w14:paraId="14198F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u w:val="none"/>
              </w:rPr>
            </w:pPr>
            <w:r>
              <w:rPr>
                <w:b/>
                <w:bCs/>
                <w:sz w:val="21"/>
                <w:szCs w:val="21"/>
                <w:u w:val="none"/>
              </w:rPr>
              <w:t>主要参数</w:t>
            </w:r>
          </w:p>
        </w:tc>
        <w:tc>
          <w:tcPr>
            <w:tcW w:w="534" w:type="pct"/>
            <w:noWrap w:val="0"/>
            <w:vAlign w:val="center"/>
          </w:tcPr>
          <w:p w14:paraId="0ECA26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u w:val="none"/>
              </w:rPr>
            </w:pPr>
            <w:r>
              <w:rPr>
                <w:b/>
                <w:bCs/>
                <w:sz w:val="21"/>
                <w:szCs w:val="21"/>
                <w:u w:val="none"/>
              </w:rPr>
              <w:t>单位</w:t>
            </w:r>
          </w:p>
        </w:tc>
        <w:tc>
          <w:tcPr>
            <w:tcW w:w="494" w:type="pct"/>
            <w:noWrap w:val="0"/>
            <w:vAlign w:val="center"/>
          </w:tcPr>
          <w:p w14:paraId="415641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u w:val="none"/>
              </w:rPr>
            </w:pPr>
            <w:r>
              <w:rPr>
                <w:b/>
                <w:bCs/>
                <w:sz w:val="21"/>
                <w:szCs w:val="21"/>
                <w:u w:val="none"/>
              </w:rPr>
              <w:t>数量</w:t>
            </w:r>
          </w:p>
        </w:tc>
      </w:tr>
      <w:tr w14:paraId="60E760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472" w:type="pct"/>
            <w:noWrap w:val="0"/>
            <w:vAlign w:val="center"/>
          </w:tcPr>
          <w:p w14:paraId="7EAFA1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1</w:t>
            </w:r>
          </w:p>
        </w:tc>
        <w:tc>
          <w:tcPr>
            <w:tcW w:w="1294" w:type="pct"/>
            <w:noWrap w:val="0"/>
            <w:vAlign w:val="center"/>
          </w:tcPr>
          <w:p w14:paraId="43997C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挖掘机</w:t>
            </w:r>
          </w:p>
        </w:tc>
        <w:tc>
          <w:tcPr>
            <w:tcW w:w="2204" w:type="pct"/>
            <w:noWrap w:val="0"/>
            <w:vAlign w:val="center"/>
          </w:tcPr>
          <w:p w14:paraId="2AD546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rFonts w:hint="eastAsia"/>
                <w:sz w:val="21"/>
                <w:szCs w:val="21"/>
                <w:u w:val="none"/>
              </w:rPr>
              <w:t>中型液压挖掘机</w:t>
            </w:r>
          </w:p>
        </w:tc>
        <w:tc>
          <w:tcPr>
            <w:tcW w:w="534" w:type="pct"/>
            <w:noWrap w:val="0"/>
            <w:vAlign w:val="center"/>
          </w:tcPr>
          <w:p w14:paraId="556047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台</w:t>
            </w:r>
          </w:p>
        </w:tc>
        <w:tc>
          <w:tcPr>
            <w:tcW w:w="494" w:type="pct"/>
            <w:noWrap w:val="0"/>
            <w:vAlign w:val="center"/>
          </w:tcPr>
          <w:p w14:paraId="3A1195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lang w:eastAsia="zh-CN"/>
              </w:rPr>
            </w:pPr>
            <w:r>
              <w:rPr>
                <w:rFonts w:hint="eastAsia"/>
                <w:sz w:val="21"/>
                <w:szCs w:val="21"/>
                <w:u w:val="none"/>
                <w:lang w:val="en-US" w:eastAsia="zh-CN"/>
              </w:rPr>
              <w:t>6</w:t>
            </w:r>
          </w:p>
        </w:tc>
      </w:tr>
      <w:tr w14:paraId="178749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472" w:type="pct"/>
            <w:noWrap w:val="0"/>
            <w:vAlign w:val="center"/>
          </w:tcPr>
          <w:p w14:paraId="5E0A28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2</w:t>
            </w:r>
          </w:p>
        </w:tc>
        <w:tc>
          <w:tcPr>
            <w:tcW w:w="1294" w:type="pct"/>
            <w:noWrap w:val="0"/>
            <w:vAlign w:val="center"/>
          </w:tcPr>
          <w:p w14:paraId="536E36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装载机</w:t>
            </w:r>
          </w:p>
        </w:tc>
        <w:tc>
          <w:tcPr>
            <w:tcW w:w="2204" w:type="pct"/>
            <w:noWrap w:val="0"/>
            <w:vAlign w:val="center"/>
          </w:tcPr>
          <w:p w14:paraId="62EDF9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rFonts w:hint="eastAsia"/>
                <w:sz w:val="21"/>
                <w:szCs w:val="21"/>
                <w:u w:val="none"/>
              </w:rPr>
              <w:t>中型</w:t>
            </w:r>
          </w:p>
        </w:tc>
        <w:tc>
          <w:tcPr>
            <w:tcW w:w="534" w:type="pct"/>
            <w:noWrap w:val="0"/>
            <w:vAlign w:val="center"/>
          </w:tcPr>
          <w:p w14:paraId="161A2A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辆</w:t>
            </w:r>
          </w:p>
        </w:tc>
        <w:tc>
          <w:tcPr>
            <w:tcW w:w="494" w:type="pct"/>
            <w:noWrap w:val="0"/>
            <w:vAlign w:val="center"/>
          </w:tcPr>
          <w:p w14:paraId="0A138C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lang w:eastAsia="zh-CN"/>
              </w:rPr>
            </w:pPr>
            <w:r>
              <w:rPr>
                <w:rFonts w:hint="eastAsia"/>
                <w:sz w:val="21"/>
                <w:szCs w:val="21"/>
                <w:u w:val="none"/>
                <w:lang w:val="en-US" w:eastAsia="zh-CN"/>
              </w:rPr>
              <w:t>4</w:t>
            </w:r>
          </w:p>
        </w:tc>
      </w:tr>
      <w:tr w14:paraId="1C371F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472" w:type="pct"/>
            <w:noWrap w:val="0"/>
            <w:vAlign w:val="center"/>
          </w:tcPr>
          <w:p w14:paraId="550E81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rPr>
              <w:t>3</w:t>
            </w:r>
          </w:p>
        </w:tc>
        <w:tc>
          <w:tcPr>
            <w:tcW w:w="1294" w:type="pct"/>
            <w:noWrap w:val="0"/>
            <w:vAlign w:val="center"/>
          </w:tcPr>
          <w:p w14:paraId="344830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密闭自卸汽车</w:t>
            </w:r>
          </w:p>
        </w:tc>
        <w:tc>
          <w:tcPr>
            <w:tcW w:w="2204" w:type="pct"/>
            <w:noWrap w:val="0"/>
            <w:vAlign w:val="center"/>
          </w:tcPr>
          <w:p w14:paraId="0B8A13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载重</w:t>
            </w:r>
            <w:r>
              <w:rPr>
                <w:rFonts w:hint="eastAsia"/>
                <w:sz w:val="21"/>
                <w:szCs w:val="21"/>
                <w:u w:val="none"/>
                <w:lang w:val="en-US" w:eastAsia="zh-CN"/>
              </w:rPr>
              <w:t>2</w:t>
            </w:r>
            <w:r>
              <w:rPr>
                <w:sz w:val="21"/>
                <w:szCs w:val="21"/>
                <w:u w:val="none"/>
              </w:rPr>
              <w:t>0t</w:t>
            </w:r>
          </w:p>
        </w:tc>
        <w:tc>
          <w:tcPr>
            <w:tcW w:w="534" w:type="pct"/>
            <w:noWrap w:val="0"/>
            <w:vAlign w:val="center"/>
          </w:tcPr>
          <w:p w14:paraId="5D9C08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辆</w:t>
            </w:r>
          </w:p>
        </w:tc>
        <w:tc>
          <w:tcPr>
            <w:tcW w:w="494" w:type="pct"/>
            <w:noWrap w:val="0"/>
            <w:vAlign w:val="center"/>
          </w:tcPr>
          <w:p w14:paraId="2CDCEF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u w:val="none"/>
                <w:lang w:val="en-US" w:eastAsia="zh-CN"/>
              </w:rPr>
            </w:pPr>
            <w:r>
              <w:rPr>
                <w:rFonts w:hint="eastAsia"/>
                <w:sz w:val="21"/>
                <w:szCs w:val="21"/>
                <w:u w:val="none"/>
                <w:lang w:val="en-US" w:eastAsia="zh-CN"/>
              </w:rPr>
              <w:t>10</w:t>
            </w:r>
          </w:p>
        </w:tc>
      </w:tr>
      <w:tr w14:paraId="765940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472" w:type="pct"/>
            <w:noWrap w:val="0"/>
            <w:vAlign w:val="center"/>
          </w:tcPr>
          <w:p w14:paraId="7DFF20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lang w:eastAsia="zh-CN"/>
              </w:rPr>
            </w:pPr>
            <w:r>
              <w:rPr>
                <w:rFonts w:hint="eastAsia"/>
                <w:sz w:val="21"/>
                <w:szCs w:val="21"/>
                <w:u w:val="none"/>
                <w:lang w:val="en-US" w:eastAsia="zh-CN"/>
              </w:rPr>
              <w:t>4</w:t>
            </w:r>
          </w:p>
        </w:tc>
        <w:tc>
          <w:tcPr>
            <w:tcW w:w="1294" w:type="pct"/>
            <w:noWrap w:val="0"/>
            <w:vAlign w:val="center"/>
          </w:tcPr>
          <w:p w14:paraId="599CF5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推土机</w:t>
            </w:r>
          </w:p>
        </w:tc>
        <w:tc>
          <w:tcPr>
            <w:tcW w:w="2204" w:type="pct"/>
            <w:noWrap w:val="0"/>
            <w:vAlign w:val="center"/>
          </w:tcPr>
          <w:p w14:paraId="5DDB90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w:t>
            </w:r>
          </w:p>
        </w:tc>
        <w:tc>
          <w:tcPr>
            <w:tcW w:w="534" w:type="pct"/>
            <w:noWrap w:val="0"/>
            <w:vAlign w:val="center"/>
          </w:tcPr>
          <w:p w14:paraId="6C15C7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辆</w:t>
            </w:r>
          </w:p>
        </w:tc>
        <w:tc>
          <w:tcPr>
            <w:tcW w:w="494" w:type="pct"/>
            <w:noWrap w:val="0"/>
            <w:vAlign w:val="center"/>
          </w:tcPr>
          <w:p w14:paraId="0F5F73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lang w:eastAsia="zh-CN"/>
              </w:rPr>
            </w:pPr>
            <w:r>
              <w:rPr>
                <w:rFonts w:hint="eastAsia"/>
                <w:sz w:val="21"/>
                <w:szCs w:val="21"/>
                <w:u w:val="none"/>
                <w:lang w:val="en-US" w:eastAsia="zh-CN"/>
              </w:rPr>
              <w:t>3</w:t>
            </w:r>
          </w:p>
        </w:tc>
      </w:tr>
      <w:tr w14:paraId="2B0852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472" w:type="pct"/>
            <w:noWrap w:val="0"/>
            <w:vAlign w:val="center"/>
          </w:tcPr>
          <w:p w14:paraId="16C5F9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lang w:eastAsia="zh-CN"/>
              </w:rPr>
            </w:pPr>
            <w:r>
              <w:rPr>
                <w:rFonts w:hint="eastAsia"/>
                <w:sz w:val="21"/>
                <w:szCs w:val="21"/>
                <w:u w:val="none"/>
                <w:lang w:val="en-US" w:eastAsia="zh-CN"/>
              </w:rPr>
              <w:t>5</w:t>
            </w:r>
          </w:p>
        </w:tc>
        <w:tc>
          <w:tcPr>
            <w:tcW w:w="1294" w:type="pct"/>
            <w:noWrap w:val="0"/>
            <w:vAlign w:val="center"/>
          </w:tcPr>
          <w:p w14:paraId="6195C2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压实机</w:t>
            </w:r>
          </w:p>
        </w:tc>
        <w:tc>
          <w:tcPr>
            <w:tcW w:w="2204" w:type="pct"/>
            <w:noWrap w:val="0"/>
            <w:vAlign w:val="center"/>
          </w:tcPr>
          <w:p w14:paraId="6F6AD7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w:t>
            </w:r>
          </w:p>
        </w:tc>
        <w:tc>
          <w:tcPr>
            <w:tcW w:w="534" w:type="pct"/>
            <w:noWrap w:val="0"/>
            <w:vAlign w:val="center"/>
          </w:tcPr>
          <w:p w14:paraId="795FD5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台</w:t>
            </w:r>
          </w:p>
        </w:tc>
        <w:tc>
          <w:tcPr>
            <w:tcW w:w="494" w:type="pct"/>
            <w:noWrap w:val="0"/>
            <w:vAlign w:val="center"/>
          </w:tcPr>
          <w:p w14:paraId="1D113C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sz w:val="21"/>
                <w:szCs w:val="21"/>
                <w:u w:val="none"/>
              </w:rPr>
              <w:t>2</w:t>
            </w:r>
          </w:p>
        </w:tc>
      </w:tr>
      <w:tr w14:paraId="67264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472" w:type="pct"/>
            <w:noWrap w:val="0"/>
            <w:vAlign w:val="center"/>
          </w:tcPr>
          <w:p w14:paraId="7088E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u w:val="none"/>
                <w:lang w:eastAsia="zh-CN"/>
              </w:rPr>
            </w:pPr>
            <w:r>
              <w:rPr>
                <w:rFonts w:hint="eastAsia"/>
                <w:sz w:val="21"/>
                <w:szCs w:val="21"/>
                <w:u w:val="none"/>
                <w:lang w:val="en-US" w:eastAsia="zh-CN"/>
              </w:rPr>
              <w:t>6</w:t>
            </w:r>
          </w:p>
        </w:tc>
        <w:tc>
          <w:tcPr>
            <w:tcW w:w="1294" w:type="pct"/>
            <w:noWrap w:val="0"/>
            <w:vAlign w:val="center"/>
          </w:tcPr>
          <w:p w14:paraId="50190A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u w:val="none"/>
              </w:rPr>
            </w:pPr>
            <w:r>
              <w:rPr>
                <w:rFonts w:hint="eastAsia"/>
                <w:sz w:val="21"/>
                <w:szCs w:val="21"/>
                <w:u w:val="none"/>
              </w:rPr>
              <w:t>水泵</w:t>
            </w:r>
          </w:p>
        </w:tc>
        <w:tc>
          <w:tcPr>
            <w:tcW w:w="2204" w:type="pct"/>
            <w:noWrap w:val="0"/>
            <w:vAlign w:val="center"/>
          </w:tcPr>
          <w:p w14:paraId="6A33CD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u w:val="none"/>
              </w:rPr>
            </w:pPr>
            <w:r>
              <w:rPr>
                <w:rFonts w:hint="eastAsia"/>
                <w:color w:val="auto"/>
                <w:sz w:val="21"/>
                <w:szCs w:val="21"/>
                <w:u w:val="none"/>
              </w:rPr>
              <w:t>/</w:t>
            </w:r>
          </w:p>
        </w:tc>
        <w:tc>
          <w:tcPr>
            <w:tcW w:w="534" w:type="pct"/>
            <w:noWrap w:val="0"/>
            <w:vAlign w:val="center"/>
          </w:tcPr>
          <w:p w14:paraId="0BF574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u w:val="none"/>
              </w:rPr>
            </w:pPr>
            <w:r>
              <w:rPr>
                <w:color w:val="auto"/>
                <w:sz w:val="21"/>
                <w:szCs w:val="21"/>
                <w:u w:val="none"/>
              </w:rPr>
              <w:t>台</w:t>
            </w:r>
          </w:p>
        </w:tc>
        <w:tc>
          <w:tcPr>
            <w:tcW w:w="494" w:type="pct"/>
            <w:noWrap w:val="0"/>
            <w:vAlign w:val="center"/>
          </w:tcPr>
          <w:p w14:paraId="12D6AE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u w:val="none"/>
              </w:rPr>
            </w:pPr>
            <w:r>
              <w:rPr>
                <w:rFonts w:hint="eastAsia"/>
                <w:color w:val="auto"/>
                <w:sz w:val="21"/>
                <w:szCs w:val="21"/>
                <w:u w:val="none"/>
              </w:rPr>
              <w:t>2</w:t>
            </w:r>
          </w:p>
        </w:tc>
      </w:tr>
      <w:tr w14:paraId="741268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472" w:type="pct"/>
            <w:noWrap w:val="0"/>
            <w:vAlign w:val="center"/>
          </w:tcPr>
          <w:p w14:paraId="1FD577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7</w:t>
            </w:r>
          </w:p>
        </w:tc>
        <w:tc>
          <w:tcPr>
            <w:tcW w:w="1294" w:type="pct"/>
            <w:noWrap w:val="0"/>
            <w:vAlign w:val="center"/>
          </w:tcPr>
          <w:p w14:paraId="09DA27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rPr>
            </w:pPr>
            <w:r>
              <w:rPr>
                <w:rFonts w:hint="eastAsia"/>
                <w:sz w:val="21"/>
                <w:szCs w:val="21"/>
                <w:u w:val="none"/>
                <w:lang w:val="en-US" w:eastAsia="zh-CN"/>
              </w:rPr>
              <w:t>重金属</w:t>
            </w:r>
            <w:r>
              <w:rPr>
                <w:rFonts w:hint="eastAsia"/>
                <w:sz w:val="21"/>
                <w:szCs w:val="21"/>
                <w:u w:val="none"/>
              </w:rPr>
              <w:t>一体化水处理设备</w:t>
            </w:r>
          </w:p>
        </w:tc>
        <w:tc>
          <w:tcPr>
            <w:tcW w:w="2204" w:type="pct"/>
            <w:noWrap w:val="0"/>
            <w:vAlign w:val="center"/>
          </w:tcPr>
          <w:p w14:paraId="525D55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u w:val="none"/>
                <w:lang w:val="en-US"/>
              </w:rPr>
            </w:pPr>
            <w:r>
              <w:rPr>
                <w:rFonts w:hint="eastAsia"/>
                <w:color w:val="auto"/>
                <w:sz w:val="21"/>
                <w:szCs w:val="21"/>
                <w:highlight w:val="none"/>
                <w:u w:val="none"/>
                <w:vertAlign w:val="baseline"/>
                <w:lang w:val="en-US" w:eastAsia="zh-CN"/>
              </w:rPr>
              <w:t>30m</w:t>
            </w:r>
            <w:r>
              <w:rPr>
                <w:rFonts w:hint="eastAsia"/>
                <w:color w:val="auto"/>
                <w:sz w:val="21"/>
                <w:szCs w:val="21"/>
                <w:highlight w:val="none"/>
                <w:u w:val="none"/>
                <w:vertAlign w:val="superscript"/>
                <w:lang w:val="en-US" w:eastAsia="zh-CN"/>
              </w:rPr>
              <w:t>3</w:t>
            </w:r>
            <w:r>
              <w:rPr>
                <w:rFonts w:hint="eastAsia"/>
                <w:color w:val="auto"/>
                <w:sz w:val="21"/>
                <w:szCs w:val="21"/>
                <w:highlight w:val="none"/>
                <w:u w:val="none"/>
                <w:vertAlign w:val="baseline"/>
                <w:lang w:val="en-US" w:eastAsia="zh-CN"/>
              </w:rPr>
              <w:t>/d</w:t>
            </w:r>
          </w:p>
        </w:tc>
        <w:tc>
          <w:tcPr>
            <w:tcW w:w="534" w:type="pct"/>
            <w:noWrap w:val="0"/>
            <w:vAlign w:val="center"/>
          </w:tcPr>
          <w:p w14:paraId="5EF559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u w:val="none"/>
                <w:lang w:val="en-US" w:eastAsia="zh-CN"/>
              </w:rPr>
            </w:pPr>
            <w:r>
              <w:rPr>
                <w:rFonts w:hint="eastAsia"/>
                <w:color w:val="auto"/>
                <w:sz w:val="21"/>
                <w:szCs w:val="21"/>
                <w:u w:val="none"/>
                <w:lang w:val="en-US" w:eastAsia="zh-CN"/>
              </w:rPr>
              <w:t>套</w:t>
            </w:r>
          </w:p>
        </w:tc>
        <w:tc>
          <w:tcPr>
            <w:tcW w:w="494" w:type="pct"/>
            <w:noWrap w:val="0"/>
            <w:vAlign w:val="center"/>
          </w:tcPr>
          <w:p w14:paraId="68A467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u w:val="none"/>
                <w:lang w:val="en-US" w:eastAsia="zh-CN"/>
              </w:rPr>
            </w:pPr>
            <w:r>
              <w:rPr>
                <w:rFonts w:hint="eastAsia"/>
                <w:color w:val="auto"/>
                <w:sz w:val="21"/>
                <w:szCs w:val="21"/>
                <w:u w:val="none"/>
                <w:lang w:val="en-US" w:eastAsia="zh-CN"/>
              </w:rPr>
              <w:t>1</w:t>
            </w:r>
          </w:p>
        </w:tc>
      </w:tr>
      <w:tr w14:paraId="586833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472" w:type="pct"/>
            <w:noWrap w:val="0"/>
            <w:vAlign w:val="center"/>
          </w:tcPr>
          <w:p w14:paraId="45ED29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8</w:t>
            </w:r>
          </w:p>
        </w:tc>
        <w:tc>
          <w:tcPr>
            <w:tcW w:w="1294" w:type="pct"/>
            <w:noWrap w:val="0"/>
            <w:vAlign w:val="center"/>
          </w:tcPr>
          <w:p w14:paraId="4D9730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u w:val="none"/>
                <w:lang w:val="en-US" w:eastAsia="zh-CN"/>
              </w:rPr>
            </w:pPr>
            <w:r>
              <w:rPr>
                <w:rFonts w:hint="eastAsia"/>
                <w:sz w:val="21"/>
                <w:szCs w:val="21"/>
                <w:u w:val="none"/>
                <w:lang w:val="en-US" w:eastAsia="zh-CN"/>
              </w:rPr>
              <w:t>洗车平台</w:t>
            </w:r>
          </w:p>
        </w:tc>
        <w:tc>
          <w:tcPr>
            <w:tcW w:w="2204" w:type="pct"/>
            <w:noWrap w:val="0"/>
            <w:vAlign w:val="center"/>
          </w:tcPr>
          <w:p w14:paraId="301482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vertAlign w:val="baseline"/>
                <w:lang w:val="en-US" w:eastAsia="zh-CN"/>
              </w:rPr>
            </w:pPr>
            <w:r>
              <w:rPr>
                <w:rFonts w:hint="eastAsia"/>
                <w:color w:val="auto"/>
                <w:sz w:val="21"/>
                <w:szCs w:val="21"/>
                <w:highlight w:val="none"/>
                <w:u w:val="none"/>
                <w:vertAlign w:val="baseline"/>
                <w:lang w:val="en-US" w:eastAsia="zh-CN"/>
              </w:rPr>
              <w:t>型号为</w:t>
            </w:r>
            <w:r>
              <w:rPr>
                <w:rFonts w:hint="default"/>
                <w:color w:val="auto"/>
                <w:sz w:val="21"/>
                <w:szCs w:val="21"/>
                <w:highlight w:val="none"/>
                <w:u w:val="none"/>
                <w:vertAlign w:val="baseline"/>
                <w:lang w:val="en-US" w:eastAsia="zh-CN"/>
              </w:rPr>
              <w:t>100-2.2</w:t>
            </w:r>
            <w:r>
              <w:rPr>
                <w:rFonts w:hint="eastAsia"/>
                <w:color w:val="auto"/>
                <w:sz w:val="21"/>
                <w:szCs w:val="21"/>
                <w:highlight w:val="none"/>
                <w:u w:val="none"/>
                <w:vertAlign w:val="baseline"/>
                <w:lang w:val="en-US" w:eastAsia="zh-CN"/>
              </w:rPr>
              <w:t>kW，配套高压自动清洗设备</w:t>
            </w:r>
          </w:p>
        </w:tc>
        <w:tc>
          <w:tcPr>
            <w:tcW w:w="534" w:type="pct"/>
            <w:noWrap w:val="0"/>
            <w:vAlign w:val="center"/>
          </w:tcPr>
          <w:p w14:paraId="040AE4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color w:val="auto"/>
                <w:sz w:val="21"/>
                <w:szCs w:val="21"/>
                <w:u w:val="none"/>
                <w:lang w:val="en-US" w:eastAsia="zh-CN"/>
              </w:rPr>
              <w:t>套</w:t>
            </w:r>
          </w:p>
        </w:tc>
        <w:tc>
          <w:tcPr>
            <w:tcW w:w="494" w:type="pct"/>
            <w:noWrap w:val="0"/>
            <w:vAlign w:val="center"/>
          </w:tcPr>
          <w:p w14:paraId="57937D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lang w:val="en-US" w:eastAsia="zh-CN" w:bidi="ar-SA"/>
              </w:rPr>
            </w:pPr>
            <w:r>
              <w:rPr>
                <w:rFonts w:hint="eastAsia"/>
                <w:color w:val="auto"/>
                <w:sz w:val="21"/>
                <w:szCs w:val="21"/>
                <w:u w:val="none"/>
                <w:lang w:val="en-US" w:eastAsia="zh-CN"/>
              </w:rPr>
              <w:t>2</w:t>
            </w:r>
          </w:p>
        </w:tc>
      </w:tr>
    </w:tbl>
    <w:p w14:paraId="7ADFDBAC">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3.1.8工程占地情况 </w:t>
      </w:r>
    </w:p>
    <w:p w14:paraId="0C3B6B3F">
      <w:pPr>
        <w:bidi w:val="0"/>
        <w:rPr>
          <w:rFonts w:hint="eastAsia"/>
          <w:sz w:val="24"/>
          <w:szCs w:val="24"/>
          <w:highlight w:val="none"/>
          <w:lang w:val="en-US" w:eastAsia="zh-CN"/>
        </w:rPr>
      </w:pPr>
      <w:r>
        <w:rPr>
          <w:rFonts w:hint="eastAsia"/>
          <w:sz w:val="24"/>
          <w:szCs w:val="24"/>
          <w:highlight w:val="none"/>
          <w:lang w:val="en-US" w:eastAsia="zh-CN"/>
        </w:rPr>
        <w:t>本项目位于平江县三阳乡万古村，废渣区占地面积13047m</w:t>
      </w:r>
      <w:r>
        <w:rPr>
          <w:rFonts w:hint="eastAsia"/>
          <w:sz w:val="24"/>
          <w:szCs w:val="24"/>
          <w:highlight w:val="none"/>
          <w:vertAlign w:val="superscript"/>
          <w:lang w:val="en-US" w:eastAsia="zh-CN"/>
        </w:rPr>
        <w:t>2</w:t>
      </w:r>
      <w:r>
        <w:rPr>
          <w:rFonts w:hint="eastAsia"/>
          <w:sz w:val="24"/>
          <w:szCs w:val="24"/>
          <w:highlight w:val="none"/>
          <w:lang w:val="en-US" w:eastAsia="zh-CN"/>
        </w:rPr>
        <w:t>，填埋场占地面积8517.35m</w:t>
      </w:r>
      <w:r>
        <w:rPr>
          <w:rFonts w:hint="eastAsia"/>
          <w:sz w:val="24"/>
          <w:szCs w:val="24"/>
          <w:highlight w:val="none"/>
          <w:vertAlign w:val="superscript"/>
          <w:lang w:val="en-US" w:eastAsia="zh-CN"/>
        </w:rPr>
        <w:t>2</w:t>
      </w:r>
      <w:r>
        <w:rPr>
          <w:rFonts w:hint="eastAsia"/>
          <w:sz w:val="24"/>
          <w:szCs w:val="24"/>
          <w:highlight w:val="none"/>
          <w:lang w:val="en-US" w:eastAsia="zh-CN"/>
        </w:rPr>
        <w:t>，临时道路占地面积3058.2m</w:t>
      </w:r>
      <w:r>
        <w:rPr>
          <w:rFonts w:hint="eastAsia"/>
          <w:sz w:val="24"/>
          <w:szCs w:val="24"/>
          <w:highlight w:val="none"/>
          <w:vertAlign w:val="superscript"/>
          <w:lang w:val="en-US" w:eastAsia="zh-CN"/>
        </w:rPr>
        <w:t>2</w:t>
      </w:r>
      <w:r>
        <w:rPr>
          <w:rFonts w:hint="eastAsia"/>
          <w:sz w:val="24"/>
          <w:szCs w:val="24"/>
          <w:highlight w:val="none"/>
          <w:lang w:val="en-US" w:eastAsia="zh-CN"/>
        </w:rPr>
        <w:t>，取土场占地面积2459.24m</w:t>
      </w:r>
      <w:r>
        <w:rPr>
          <w:rFonts w:hint="eastAsia"/>
          <w:sz w:val="24"/>
          <w:szCs w:val="24"/>
          <w:highlight w:val="none"/>
          <w:vertAlign w:val="superscript"/>
          <w:lang w:val="en-US" w:eastAsia="zh-CN"/>
        </w:rPr>
        <w:t>2</w:t>
      </w:r>
      <w:r>
        <w:rPr>
          <w:rFonts w:hint="eastAsia"/>
          <w:sz w:val="24"/>
          <w:szCs w:val="24"/>
          <w:highlight w:val="none"/>
          <w:lang w:val="en-US" w:eastAsia="zh-CN"/>
        </w:rPr>
        <w:t>。项目不单独设置施工生活营地、不设置弃土场。根据《三阳乡万古村万古水库周边历史遗留重金属废渣整治项目林地属性查询说明》（附件11）以及“三区三线”套合图（附图8）可知，本项目各区域均未占用天然商品林、公益林，仅万古村1#废渣堆、部分2#废渣堆占用基本农田；具体用地类型见下表。</w:t>
      </w:r>
    </w:p>
    <w:p w14:paraId="75DE252D">
      <w:pPr>
        <w:bidi w:val="0"/>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表3.1-28  项目实施区域土地现状性质类型一览表</w:t>
      </w:r>
    </w:p>
    <w:tbl>
      <w:tblPr>
        <w:tblStyle w:val="46"/>
        <w:tblW w:w="504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17"/>
        <w:gridCol w:w="1176"/>
        <w:gridCol w:w="1018"/>
        <w:gridCol w:w="1766"/>
        <w:gridCol w:w="1068"/>
        <w:gridCol w:w="945"/>
        <w:gridCol w:w="1073"/>
        <w:gridCol w:w="1123"/>
      </w:tblGrid>
      <w:tr w14:paraId="112B85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554" w:type="pct"/>
            <w:vMerge w:val="restart"/>
            <w:noWrap w:val="0"/>
            <w:vAlign w:val="center"/>
          </w:tcPr>
          <w:p w14:paraId="24E45D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占地性质</w:t>
            </w:r>
          </w:p>
        </w:tc>
        <w:tc>
          <w:tcPr>
            <w:tcW w:w="639" w:type="pct"/>
            <w:vMerge w:val="restart"/>
            <w:noWrap w:val="0"/>
            <w:vAlign w:val="center"/>
          </w:tcPr>
          <w:p w14:paraId="6B5714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项目组成</w:t>
            </w:r>
          </w:p>
        </w:tc>
        <w:tc>
          <w:tcPr>
            <w:tcW w:w="554" w:type="pct"/>
            <w:vMerge w:val="restart"/>
            <w:noWrap w:val="0"/>
            <w:vAlign w:val="center"/>
          </w:tcPr>
          <w:p w14:paraId="50FF52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占地面积（m</w:t>
            </w:r>
            <w:r>
              <w:rPr>
                <w:rFonts w:hint="eastAsia"/>
                <w:b/>
                <w:bCs/>
                <w:sz w:val="21"/>
                <w:szCs w:val="21"/>
                <w:highlight w:val="none"/>
                <w:vertAlign w:val="superscript"/>
                <w:lang w:val="en-US" w:eastAsia="zh-CN"/>
              </w:rPr>
              <w:t>2</w:t>
            </w:r>
            <w:r>
              <w:rPr>
                <w:rFonts w:hint="eastAsia"/>
                <w:b/>
                <w:bCs/>
                <w:sz w:val="21"/>
                <w:szCs w:val="21"/>
                <w:highlight w:val="none"/>
                <w:lang w:val="en-US" w:eastAsia="zh-CN"/>
              </w:rPr>
              <w:t>）</w:t>
            </w:r>
          </w:p>
        </w:tc>
        <w:tc>
          <w:tcPr>
            <w:tcW w:w="3251" w:type="pct"/>
            <w:gridSpan w:val="5"/>
            <w:noWrap w:val="0"/>
            <w:vAlign w:val="center"/>
          </w:tcPr>
          <w:p w14:paraId="02E707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其中（m</w:t>
            </w:r>
            <w:r>
              <w:rPr>
                <w:rFonts w:hint="eastAsia"/>
                <w:b/>
                <w:bCs/>
                <w:sz w:val="21"/>
                <w:szCs w:val="21"/>
                <w:highlight w:val="none"/>
                <w:vertAlign w:val="superscript"/>
                <w:lang w:val="en-US" w:eastAsia="zh-CN"/>
              </w:rPr>
              <w:t>2</w:t>
            </w:r>
            <w:r>
              <w:rPr>
                <w:rFonts w:hint="eastAsia"/>
                <w:b/>
                <w:bCs/>
                <w:sz w:val="21"/>
                <w:szCs w:val="21"/>
                <w:highlight w:val="none"/>
                <w:lang w:val="en-US" w:eastAsia="zh-CN"/>
              </w:rPr>
              <w:t>）</w:t>
            </w:r>
          </w:p>
        </w:tc>
      </w:tr>
      <w:tr w14:paraId="27733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554" w:type="pct"/>
            <w:vMerge w:val="continue"/>
            <w:noWrap w:val="0"/>
            <w:vAlign w:val="center"/>
          </w:tcPr>
          <w:p w14:paraId="032F1D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p>
        </w:tc>
        <w:tc>
          <w:tcPr>
            <w:tcW w:w="639" w:type="pct"/>
            <w:vMerge w:val="continue"/>
            <w:noWrap w:val="0"/>
            <w:vAlign w:val="center"/>
          </w:tcPr>
          <w:p w14:paraId="3A6016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p>
        </w:tc>
        <w:tc>
          <w:tcPr>
            <w:tcW w:w="554" w:type="pct"/>
            <w:vMerge w:val="continue"/>
            <w:noWrap w:val="0"/>
            <w:vAlign w:val="center"/>
          </w:tcPr>
          <w:p w14:paraId="396A25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p>
        </w:tc>
        <w:tc>
          <w:tcPr>
            <w:tcW w:w="961" w:type="pct"/>
            <w:noWrap w:val="0"/>
            <w:vAlign w:val="center"/>
          </w:tcPr>
          <w:p w14:paraId="78A333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耕地（水田、田坎）</w:t>
            </w:r>
          </w:p>
        </w:tc>
        <w:tc>
          <w:tcPr>
            <w:tcW w:w="581" w:type="pct"/>
            <w:noWrap w:val="0"/>
            <w:vAlign w:val="center"/>
          </w:tcPr>
          <w:p w14:paraId="021517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林地</w:t>
            </w:r>
          </w:p>
        </w:tc>
        <w:tc>
          <w:tcPr>
            <w:tcW w:w="514" w:type="pct"/>
            <w:noWrap w:val="0"/>
            <w:vAlign w:val="center"/>
          </w:tcPr>
          <w:p w14:paraId="4A888D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水域</w:t>
            </w:r>
          </w:p>
        </w:tc>
        <w:tc>
          <w:tcPr>
            <w:tcW w:w="584" w:type="pct"/>
            <w:noWrap w:val="0"/>
            <w:vAlign w:val="center"/>
          </w:tcPr>
          <w:p w14:paraId="5E0E1B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交通运输</w:t>
            </w:r>
          </w:p>
        </w:tc>
        <w:tc>
          <w:tcPr>
            <w:tcW w:w="609" w:type="pct"/>
            <w:noWrap w:val="0"/>
            <w:vAlign w:val="center"/>
          </w:tcPr>
          <w:p w14:paraId="229D18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其他林地</w:t>
            </w:r>
          </w:p>
        </w:tc>
      </w:tr>
      <w:tr w14:paraId="403D10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554" w:type="pct"/>
            <w:noWrap w:val="0"/>
            <w:vAlign w:val="center"/>
          </w:tcPr>
          <w:p w14:paraId="3DA0AD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永久占地</w:t>
            </w:r>
          </w:p>
        </w:tc>
        <w:tc>
          <w:tcPr>
            <w:tcW w:w="639" w:type="pct"/>
            <w:noWrap w:val="0"/>
            <w:vAlign w:val="center"/>
          </w:tcPr>
          <w:p w14:paraId="0D3EB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填埋区</w:t>
            </w:r>
          </w:p>
        </w:tc>
        <w:tc>
          <w:tcPr>
            <w:tcW w:w="554" w:type="pct"/>
            <w:noWrap w:val="0"/>
            <w:vAlign w:val="center"/>
          </w:tcPr>
          <w:p w14:paraId="4E53CB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8517.35</w:t>
            </w:r>
          </w:p>
        </w:tc>
        <w:tc>
          <w:tcPr>
            <w:tcW w:w="961" w:type="pct"/>
            <w:noWrap w:val="0"/>
            <w:vAlign w:val="center"/>
          </w:tcPr>
          <w:p w14:paraId="418E23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581" w:type="pct"/>
            <w:noWrap w:val="0"/>
            <w:vAlign w:val="center"/>
          </w:tcPr>
          <w:p w14:paraId="7CBBB4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6809.22</w:t>
            </w:r>
          </w:p>
        </w:tc>
        <w:tc>
          <w:tcPr>
            <w:tcW w:w="514" w:type="pct"/>
            <w:noWrap w:val="0"/>
            <w:vAlign w:val="center"/>
          </w:tcPr>
          <w:p w14:paraId="7C7AB6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584" w:type="pct"/>
            <w:noWrap w:val="0"/>
            <w:vAlign w:val="center"/>
          </w:tcPr>
          <w:p w14:paraId="694437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609" w:type="pct"/>
            <w:noWrap w:val="0"/>
            <w:vAlign w:val="center"/>
          </w:tcPr>
          <w:p w14:paraId="4494B9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1708.13</w:t>
            </w:r>
          </w:p>
        </w:tc>
      </w:tr>
      <w:tr w14:paraId="017B25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554" w:type="pct"/>
            <w:vMerge w:val="restart"/>
            <w:noWrap w:val="0"/>
            <w:vAlign w:val="center"/>
          </w:tcPr>
          <w:p w14:paraId="3CD907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临时占地</w:t>
            </w:r>
          </w:p>
        </w:tc>
        <w:tc>
          <w:tcPr>
            <w:tcW w:w="639" w:type="pct"/>
            <w:noWrap w:val="0"/>
            <w:vAlign w:val="center"/>
          </w:tcPr>
          <w:p w14:paraId="1D2897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废渣区</w:t>
            </w:r>
          </w:p>
        </w:tc>
        <w:tc>
          <w:tcPr>
            <w:tcW w:w="554" w:type="pct"/>
            <w:noWrap w:val="0"/>
            <w:vAlign w:val="center"/>
          </w:tcPr>
          <w:p w14:paraId="541D3A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13047</w:t>
            </w:r>
          </w:p>
        </w:tc>
        <w:tc>
          <w:tcPr>
            <w:tcW w:w="961" w:type="pct"/>
            <w:noWrap w:val="0"/>
            <w:vAlign w:val="center"/>
          </w:tcPr>
          <w:p w14:paraId="63290B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2240.58</w:t>
            </w:r>
          </w:p>
        </w:tc>
        <w:tc>
          <w:tcPr>
            <w:tcW w:w="581" w:type="pct"/>
            <w:noWrap w:val="0"/>
            <w:vAlign w:val="center"/>
          </w:tcPr>
          <w:p w14:paraId="42BB1A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10434.41</w:t>
            </w:r>
          </w:p>
        </w:tc>
        <w:tc>
          <w:tcPr>
            <w:tcW w:w="514" w:type="pct"/>
            <w:noWrap w:val="0"/>
            <w:vAlign w:val="center"/>
          </w:tcPr>
          <w:p w14:paraId="06CB83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372.01</w:t>
            </w:r>
          </w:p>
        </w:tc>
        <w:tc>
          <w:tcPr>
            <w:tcW w:w="584" w:type="pct"/>
            <w:noWrap w:val="0"/>
            <w:vAlign w:val="center"/>
          </w:tcPr>
          <w:p w14:paraId="7BB408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609" w:type="pct"/>
            <w:noWrap w:val="0"/>
            <w:vAlign w:val="center"/>
          </w:tcPr>
          <w:p w14:paraId="5BBFC5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r>
      <w:tr w14:paraId="75D1CA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554" w:type="pct"/>
            <w:vMerge w:val="continue"/>
            <w:noWrap w:val="0"/>
            <w:vAlign w:val="center"/>
          </w:tcPr>
          <w:p w14:paraId="6A54CF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639" w:type="pct"/>
            <w:noWrap w:val="0"/>
            <w:vAlign w:val="center"/>
          </w:tcPr>
          <w:p w14:paraId="31A8F2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取土场</w:t>
            </w:r>
          </w:p>
        </w:tc>
        <w:tc>
          <w:tcPr>
            <w:tcW w:w="554" w:type="pct"/>
            <w:noWrap w:val="0"/>
            <w:vAlign w:val="center"/>
          </w:tcPr>
          <w:p w14:paraId="69DBC2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2459.24</w:t>
            </w:r>
          </w:p>
        </w:tc>
        <w:tc>
          <w:tcPr>
            <w:tcW w:w="961" w:type="pct"/>
            <w:noWrap w:val="0"/>
            <w:vAlign w:val="center"/>
          </w:tcPr>
          <w:p w14:paraId="4C67D8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581" w:type="pct"/>
            <w:noWrap w:val="0"/>
            <w:vAlign w:val="center"/>
          </w:tcPr>
          <w:p w14:paraId="138B6C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2459.24</w:t>
            </w:r>
          </w:p>
        </w:tc>
        <w:tc>
          <w:tcPr>
            <w:tcW w:w="514" w:type="pct"/>
            <w:noWrap w:val="0"/>
            <w:vAlign w:val="center"/>
          </w:tcPr>
          <w:p w14:paraId="7FFF4D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584" w:type="pct"/>
            <w:noWrap w:val="0"/>
            <w:vAlign w:val="center"/>
          </w:tcPr>
          <w:p w14:paraId="5525EF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609" w:type="pct"/>
            <w:noWrap w:val="0"/>
            <w:vAlign w:val="center"/>
          </w:tcPr>
          <w:p w14:paraId="520D3B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r>
      <w:tr w14:paraId="16C288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554" w:type="pct"/>
            <w:vMerge w:val="continue"/>
            <w:noWrap w:val="0"/>
            <w:vAlign w:val="center"/>
          </w:tcPr>
          <w:p w14:paraId="44031C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639" w:type="pct"/>
            <w:noWrap w:val="0"/>
            <w:vAlign w:val="center"/>
          </w:tcPr>
          <w:p w14:paraId="0B62EE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临时道路</w:t>
            </w:r>
          </w:p>
        </w:tc>
        <w:tc>
          <w:tcPr>
            <w:tcW w:w="554" w:type="pct"/>
            <w:noWrap w:val="0"/>
            <w:vAlign w:val="center"/>
          </w:tcPr>
          <w:p w14:paraId="3AE89B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10534.09</w:t>
            </w:r>
          </w:p>
        </w:tc>
        <w:tc>
          <w:tcPr>
            <w:tcW w:w="961" w:type="pct"/>
            <w:noWrap w:val="0"/>
            <w:vAlign w:val="center"/>
          </w:tcPr>
          <w:p w14:paraId="5CC560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1869.89</w:t>
            </w:r>
          </w:p>
        </w:tc>
        <w:tc>
          <w:tcPr>
            <w:tcW w:w="581" w:type="pct"/>
            <w:noWrap w:val="0"/>
            <w:vAlign w:val="center"/>
          </w:tcPr>
          <w:p w14:paraId="747241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4925.73</w:t>
            </w:r>
          </w:p>
        </w:tc>
        <w:tc>
          <w:tcPr>
            <w:tcW w:w="514" w:type="pct"/>
            <w:noWrap w:val="0"/>
            <w:vAlign w:val="center"/>
          </w:tcPr>
          <w:p w14:paraId="606CAE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c>
          <w:tcPr>
            <w:tcW w:w="584" w:type="pct"/>
            <w:noWrap w:val="0"/>
            <w:vAlign w:val="center"/>
          </w:tcPr>
          <w:p w14:paraId="43D4DD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3738.47</w:t>
            </w:r>
          </w:p>
        </w:tc>
        <w:tc>
          <w:tcPr>
            <w:tcW w:w="609" w:type="pct"/>
            <w:noWrap w:val="0"/>
            <w:vAlign w:val="center"/>
          </w:tcPr>
          <w:p w14:paraId="2D11FB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w:t>
            </w:r>
          </w:p>
        </w:tc>
      </w:tr>
      <w:tr w14:paraId="723F33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194" w:type="pct"/>
            <w:gridSpan w:val="2"/>
            <w:noWrap w:val="0"/>
            <w:vAlign w:val="center"/>
          </w:tcPr>
          <w:p w14:paraId="034E6F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总计</w:t>
            </w:r>
          </w:p>
        </w:tc>
        <w:tc>
          <w:tcPr>
            <w:tcW w:w="554" w:type="pct"/>
            <w:noWrap w:val="0"/>
            <w:vAlign w:val="center"/>
          </w:tcPr>
          <w:p w14:paraId="07D460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34557.68</w:t>
            </w:r>
          </w:p>
        </w:tc>
        <w:tc>
          <w:tcPr>
            <w:tcW w:w="961" w:type="pct"/>
            <w:noWrap w:val="0"/>
            <w:vAlign w:val="center"/>
          </w:tcPr>
          <w:p w14:paraId="24EF60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4110.47</w:t>
            </w:r>
          </w:p>
        </w:tc>
        <w:tc>
          <w:tcPr>
            <w:tcW w:w="581" w:type="pct"/>
            <w:noWrap w:val="0"/>
            <w:vAlign w:val="center"/>
          </w:tcPr>
          <w:p w14:paraId="091AE7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24628.6</w:t>
            </w:r>
          </w:p>
        </w:tc>
        <w:tc>
          <w:tcPr>
            <w:tcW w:w="514" w:type="pct"/>
            <w:noWrap w:val="0"/>
            <w:vAlign w:val="center"/>
          </w:tcPr>
          <w:p w14:paraId="570AB9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372.01</w:t>
            </w:r>
          </w:p>
        </w:tc>
        <w:tc>
          <w:tcPr>
            <w:tcW w:w="584" w:type="pct"/>
            <w:noWrap w:val="0"/>
            <w:vAlign w:val="center"/>
          </w:tcPr>
          <w:p w14:paraId="2DFE0D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3738.47</w:t>
            </w:r>
          </w:p>
        </w:tc>
        <w:tc>
          <w:tcPr>
            <w:tcW w:w="609" w:type="pct"/>
            <w:noWrap w:val="0"/>
            <w:vAlign w:val="center"/>
          </w:tcPr>
          <w:p w14:paraId="0977BA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1708.13</w:t>
            </w:r>
          </w:p>
        </w:tc>
      </w:tr>
    </w:tbl>
    <w:p w14:paraId="2D066F70">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3.1.9施工材料供应</w:t>
      </w:r>
    </w:p>
    <w:p w14:paraId="59DB783C">
      <w:pPr>
        <w:bidi w:val="0"/>
        <w:rPr>
          <w:rFonts w:hint="eastAsia"/>
          <w:sz w:val="24"/>
          <w:szCs w:val="24"/>
          <w:highlight w:val="none"/>
          <w:u w:val="none"/>
          <w:lang w:val="en-US" w:eastAsia="zh-CN"/>
        </w:rPr>
      </w:pPr>
      <w:r>
        <w:rPr>
          <w:rFonts w:hint="eastAsia"/>
          <w:sz w:val="24"/>
          <w:szCs w:val="24"/>
          <w:highlight w:val="none"/>
          <w:u w:val="none"/>
          <w:lang w:val="en-US" w:eastAsia="zh-CN"/>
        </w:rPr>
        <w:t>工程建材供应较为方便，天然建筑材料在周边范围内均有分布，储量、质量均可满足施工需要和设计要求。本项目施工现场不设置混凝土搅拌站，主要建材、商品混凝土、制砂、钢筋等可在平江县或岳阳市采购，石料由石料场购买，特殊建材可向厂家定做。</w:t>
      </w:r>
    </w:p>
    <w:p w14:paraId="4E243E71">
      <w:pPr>
        <w:bidi w:val="0"/>
        <w:spacing w:line="24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表3.1-29  本项目主要原辅材料消耗一览表</w:t>
      </w:r>
    </w:p>
    <w:tbl>
      <w:tblPr>
        <w:tblStyle w:val="46"/>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1824"/>
        <w:gridCol w:w="1062"/>
        <w:gridCol w:w="1754"/>
        <w:gridCol w:w="3503"/>
      </w:tblGrid>
      <w:tr w14:paraId="18733C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60617C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序号</w:t>
            </w:r>
          </w:p>
        </w:tc>
        <w:tc>
          <w:tcPr>
            <w:tcW w:w="999" w:type="pct"/>
            <w:noWrap w:val="0"/>
            <w:tcMar>
              <w:left w:w="28" w:type="dxa"/>
              <w:right w:w="28" w:type="dxa"/>
            </w:tcMar>
            <w:vAlign w:val="center"/>
          </w:tcPr>
          <w:p w14:paraId="7E7A4D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名称</w:t>
            </w:r>
          </w:p>
        </w:tc>
        <w:tc>
          <w:tcPr>
            <w:tcW w:w="582" w:type="pct"/>
            <w:noWrap w:val="0"/>
            <w:tcMar>
              <w:left w:w="28" w:type="dxa"/>
              <w:right w:w="28" w:type="dxa"/>
            </w:tcMar>
            <w:vAlign w:val="center"/>
          </w:tcPr>
          <w:p w14:paraId="4BBE16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单位</w:t>
            </w:r>
          </w:p>
        </w:tc>
        <w:tc>
          <w:tcPr>
            <w:tcW w:w="961" w:type="pct"/>
            <w:noWrap w:val="0"/>
            <w:tcMar>
              <w:left w:w="28" w:type="dxa"/>
              <w:right w:w="28" w:type="dxa"/>
            </w:tcMar>
            <w:vAlign w:val="center"/>
          </w:tcPr>
          <w:p w14:paraId="334EE0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数量</w:t>
            </w:r>
          </w:p>
        </w:tc>
        <w:tc>
          <w:tcPr>
            <w:tcW w:w="1919" w:type="pct"/>
            <w:noWrap w:val="0"/>
            <w:tcMar>
              <w:left w:w="28" w:type="dxa"/>
              <w:right w:w="28" w:type="dxa"/>
            </w:tcMar>
            <w:vAlign w:val="center"/>
          </w:tcPr>
          <w:p w14:paraId="3D3B35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备注</w:t>
            </w:r>
          </w:p>
        </w:tc>
      </w:tr>
      <w:tr w14:paraId="1D4A96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4E17C5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w:t>
            </w:r>
          </w:p>
        </w:tc>
        <w:tc>
          <w:tcPr>
            <w:tcW w:w="999" w:type="pct"/>
            <w:noWrap w:val="0"/>
            <w:tcMar>
              <w:left w:w="28" w:type="dxa"/>
              <w:right w:w="28" w:type="dxa"/>
            </w:tcMar>
            <w:vAlign w:val="center"/>
          </w:tcPr>
          <w:p w14:paraId="38B65A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HDPE膜</w:t>
            </w:r>
          </w:p>
        </w:tc>
        <w:tc>
          <w:tcPr>
            <w:tcW w:w="582" w:type="pct"/>
            <w:noWrap w:val="0"/>
            <w:tcMar>
              <w:left w:w="28" w:type="dxa"/>
              <w:right w:w="28" w:type="dxa"/>
            </w:tcMar>
            <w:vAlign w:val="center"/>
          </w:tcPr>
          <w:p w14:paraId="2404A9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m</w:t>
            </w:r>
            <w:r>
              <w:rPr>
                <w:rFonts w:hint="eastAsia"/>
                <w:sz w:val="21"/>
                <w:szCs w:val="21"/>
                <w:highlight w:val="none"/>
                <w:u w:val="none"/>
                <w:vertAlign w:val="superscript"/>
                <w:lang w:val="en-US" w:eastAsia="zh-CN"/>
              </w:rPr>
              <w:t>2</w:t>
            </w:r>
          </w:p>
        </w:tc>
        <w:tc>
          <w:tcPr>
            <w:tcW w:w="961" w:type="pct"/>
            <w:noWrap w:val="0"/>
            <w:tcMar>
              <w:left w:w="28" w:type="dxa"/>
              <w:right w:w="28" w:type="dxa"/>
            </w:tcMar>
            <w:vAlign w:val="center"/>
          </w:tcPr>
          <w:p w14:paraId="6C3F62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34071.2</w:t>
            </w:r>
          </w:p>
        </w:tc>
        <w:tc>
          <w:tcPr>
            <w:tcW w:w="1919" w:type="pct"/>
            <w:vMerge w:val="restart"/>
            <w:noWrap w:val="0"/>
            <w:tcMar>
              <w:left w:w="28" w:type="dxa"/>
              <w:right w:w="28" w:type="dxa"/>
            </w:tcMar>
            <w:vAlign w:val="center"/>
          </w:tcPr>
          <w:p w14:paraId="588F09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用于固废填埋场防渗</w:t>
            </w:r>
          </w:p>
        </w:tc>
      </w:tr>
      <w:tr w14:paraId="7F64D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537" w:type="pct"/>
            <w:noWrap w:val="0"/>
            <w:tcMar>
              <w:left w:w="28" w:type="dxa"/>
              <w:right w:w="28" w:type="dxa"/>
            </w:tcMar>
            <w:vAlign w:val="center"/>
          </w:tcPr>
          <w:p w14:paraId="62900F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2</w:t>
            </w:r>
          </w:p>
        </w:tc>
        <w:tc>
          <w:tcPr>
            <w:tcW w:w="999" w:type="pct"/>
            <w:noWrap w:val="0"/>
            <w:tcMar>
              <w:left w:w="28" w:type="dxa"/>
              <w:right w:w="28" w:type="dxa"/>
            </w:tcMar>
            <w:vAlign w:val="center"/>
          </w:tcPr>
          <w:p w14:paraId="43A6BF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土工布</w:t>
            </w:r>
          </w:p>
        </w:tc>
        <w:tc>
          <w:tcPr>
            <w:tcW w:w="582" w:type="pct"/>
            <w:noWrap w:val="0"/>
            <w:tcMar>
              <w:left w:w="28" w:type="dxa"/>
              <w:right w:w="28" w:type="dxa"/>
            </w:tcMar>
            <w:vAlign w:val="center"/>
          </w:tcPr>
          <w:p w14:paraId="685B43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m</w:t>
            </w:r>
            <w:r>
              <w:rPr>
                <w:rFonts w:hint="eastAsia"/>
                <w:sz w:val="21"/>
                <w:szCs w:val="21"/>
                <w:highlight w:val="none"/>
                <w:u w:val="none"/>
                <w:vertAlign w:val="superscript"/>
                <w:lang w:val="en-US" w:eastAsia="zh-CN"/>
              </w:rPr>
              <w:t>2</w:t>
            </w:r>
          </w:p>
        </w:tc>
        <w:tc>
          <w:tcPr>
            <w:tcW w:w="961" w:type="pct"/>
            <w:noWrap w:val="0"/>
            <w:tcMar>
              <w:left w:w="28" w:type="dxa"/>
              <w:right w:w="28" w:type="dxa"/>
            </w:tcMar>
            <w:vAlign w:val="center"/>
          </w:tcPr>
          <w:p w14:paraId="265125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34071.2</w:t>
            </w:r>
          </w:p>
        </w:tc>
        <w:tc>
          <w:tcPr>
            <w:tcW w:w="1919" w:type="pct"/>
            <w:vMerge w:val="continue"/>
            <w:noWrap w:val="0"/>
            <w:tcMar>
              <w:left w:w="28" w:type="dxa"/>
              <w:right w:w="28" w:type="dxa"/>
            </w:tcMar>
            <w:vAlign w:val="center"/>
          </w:tcPr>
          <w:p w14:paraId="72BE73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4A08F5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4E726E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w:t>
            </w:r>
          </w:p>
        </w:tc>
        <w:tc>
          <w:tcPr>
            <w:tcW w:w="999" w:type="pct"/>
            <w:noWrap w:val="0"/>
            <w:tcMar>
              <w:left w:w="28" w:type="dxa"/>
              <w:right w:w="28" w:type="dxa"/>
            </w:tcMar>
            <w:vAlign w:val="center"/>
          </w:tcPr>
          <w:p w14:paraId="564F6C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防尘网</w:t>
            </w:r>
          </w:p>
        </w:tc>
        <w:tc>
          <w:tcPr>
            <w:tcW w:w="582" w:type="pct"/>
            <w:noWrap w:val="0"/>
            <w:tcMar>
              <w:left w:w="28" w:type="dxa"/>
              <w:right w:w="28" w:type="dxa"/>
            </w:tcMar>
            <w:vAlign w:val="center"/>
          </w:tcPr>
          <w:p w14:paraId="17694B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m</w:t>
            </w:r>
            <w:r>
              <w:rPr>
                <w:rFonts w:hint="eastAsia"/>
                <w:sz w:val="21"/>
                <w:szCs w:val="21"/>
                <w:highlight w:val="none"/>
                <w:u w:val="none"/>
                <w:vertAlign w:val="superscript"/>
                <w:lang w:val="en-US" w:eastAsia="zh-CN"/>
              </w:rPr>
              <w:t>2</w:t>
            </w:r>
          </w:p>
        </w:tc>
        <w:tc>
          <w:tcPr>
            <w:tcW w:w="961" w:type="pct"/>
            <w:noWrap w:val="0"/>
            <w:tcMar>
              <w:left w:w="28" w:type="dxa"/>
              <w:right w:w="28" w:type="dxa"/>
            </w:tcMar>
            <w:vAlign w:val="center"/>
          </w:tcPr>
          <w:p w14:paraId="70FE24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5000</w:t>
            </w:r>
          </w:p>
        </w:tc>
        <w:tc>
          <w:tcPr>
            <w:tcW w:w="1919" w:type="pct"/>
            <w:noWrap w:val="0"/>
            <w:tcMar>
              <w:left w:w="28" w:type="dxa"/>
              <w:right w:w="28" w:type="dxa"/>
            </w:tcMar>
            <w:vAlign w:val="center"/>
          </w:tcPr>
          <w:p w14:paraId="32D092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用于修复过程的抑尘</w:t>
            </w:r>
          </w:p>
        </w:tc>
      </w:tr>
      <w:tr w14:paraId="6B2C6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102765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4</w:t>
            </w:r>
          </w:p>
        </w:tc>
        <w:tc>
          <w:tcPr>
            <w:tcW w:w="999" w:type="pct"/>
            <w:noWrap w:val="0"/>
            <w:tcMar>
              <w:left w:w="28" w:type="dxa"/>
              <w:right w:w="28" w:type="dxa"/>
            </w:tcMar>
            <w:vAlign w:val="center"/>
          </w:tcPr>
          <w:p w14:paraId="6A3586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混凝土</w:t>
            </w:r>
          </w:p>
        </w:tc>
        <w:tc>
          <w:tcPr>
            <w:tcW w:w="582" w:type="pct"/>
            <w:noWrap w:val="0"/>
            <w:tcMar>
              <w:left w:w="28" w:type="dxa"/>
              <w:right w:w="28" w:type="dxa"/>
            </w:tcMar>
            <w:vAlign w:val="center"/>
          </w:tcPr>
          <w:p w14:paraId="3D3619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m</w:t>
            </w:r>
            <w:r>
              <w:rPr>
                <w:rFonts w:hint="eastAsia"/>
                <w:sz w:val="21"/>
                <w:szCs w:val="21"/>
                <w:highlight w:val="none"/>
                <w:u w:val="none"/>
                <w:vertAlign w:val="superscript"/>
                <w:lang w:val="en-US" w:eastAsia="zh-CN"/>
              </w:rPr>
              <w:t>3</w:t>
            </w:r>
          </w:p>
        </w:tc>
        <w:tc>
          <w:tcPr>
            <w:tcW w:w="961" w:type="pct"/>
            <w:noWrap w:val="0"/>
            <w:tcMar>
              <w:left w:w="28" w:type="dxa"/>
              <w:right w:w="28" w:type="dxa"/>
            </w:tcMar>
            <w:vAlign w:val="center"/>
          </w:tcPr>
          <w:p w14:paraId="0742AE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若干</w:t>
            </w:r>
          </w:p>
        </w:tc>
        <w:tc>
          <w:tcPr>
            <w:tcW w:w="1919" w:type="pct"/>
            <w:noWrap w:val="0"/>
            <w:tcMar>
              <w:left w:w="28" w:type="dxa"/>
              <w:right w:w="28" w:type="dxa"/>
            </w:tcMar>
            <w:vAlign w:val="center"/>
          </w:tcPr>
          <w:p w14:paraId="401322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根据需要采购</w:t>
            </w:r>
          </w:p>
        </w:tc>
      </w:tr>
      <w:tr w14:paraId="712726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5BF5DC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w:t>
            </w:r>
          </w:p>
        </w:tc>
        <w:tc>
          <w:tcPr>
            <w:tcW w:w="999" w:type="pct"/>
            <w:noWrap w:val="0"/>
            <w:tcMar>
              <w:left w:w="28" w:type="dxa"/>
              <w:right w:w="28" w:type="dxa"/>
            </w:tcMar>
            <w:vAlign w:val="center"/>
          </w:tcPr>
          <w:p w14:paraId="7B5640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钢筋</w:t>
            </w:r>
          </w:p>
        </w:tc>
        <w:tc>
          <w:tcPr>
            <w:tcW w:w="582" w:type="pct"/>
            <w:noWrap w:val="0"/>
            <w:tcMar>
              <w:left w:w="28" w:type="dxa"/>
              <w:right w:w="28" w:type="dxa"/>
            </w:tcMar>
            <w:vAlign w:val="center"/>
          </w:tcPr>
          <w:p w14:paraId="493912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t</w:t>
            </w:r>
          </w:p>
        </w:tc>
        <w:tc>
          <w:tcPr>
            <w:tcW w:w="961" w:type="pct"/>
            <w:noWrap w:val="0"/>
            <w:tcMar>
              <w:left w:w="28" w:type="dxa"/>
              <w:right w:w="28" w:type="dxa"/>
            </w:tcMar>
            <w:vAlign w:val="center"/>
          </w:tcPr>
          <w:p w14:paraId="4E5505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若干</w:t>
            </w:r>
          </w:p>
        </w:tc>
        <w:tc>
          <w:tcPr>
            <w:tcW w:w="1919" w:type="pct"/>
            <w:noWrap w:val="0"/>
            <w:tcMar>
              <w:left w:w="28" w:type="dxa"/>
              <w:right w:w="28" w:type="dxa"/>
            </w:tcMar>
            <w:vAlign w:val="center"/>
          </w:tcPr>
          <w:p w14:paraId="0CC4A1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根据需要采购</w:t>
            </w:r>
          </w:p>
        </w:tc>
      </w:tr>
      <w:tr w14:paraId="733FBA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0DB51F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w:t>
            </w:r>
          </w:p>
        </w:tc>
        <w:tc>
          <w:tcPr>
            <w:tcW w:w="999" w:type="pct"/>
            <w:noWrap w:val="0"/>
            <w:tcMar>
              <w:left w:w="28" w:type="dxa"/>
              <w:right w:w="28" w:type="dxa"/>
            </w:tcMar>
            <w:vAlign w:val="center"/>
          </w:tcPr>
          <w:p w14:paraId="521BCE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pH调节剂</w:t>
            </w:r>
          </w:p>
        </w:tc>
        <w:tc>
          <w:tcPr>
            <w:tcW w:w="582" w:type="pct"/>
            <w:noWrap w:val="0"/>
            <w:tcMar>
              <w:left w:w="28" w:type="dxa"/>
              <w:right w:w="28" w:type="dxa"/>
            </w:tcMar>
            <w:vAlign w:val="center"/>
          </w:tcPr>
          <w:p w14:paraId="10789E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t</w:t>
            </w:r>
          </w:p>
        </w:tc>
        <w:tc>
          <w:tcPr>
            <w:tcW w:w="961" w:type="pct"/>
            <w:noWrap w:val="0"/>
            <w:tcMar>
              <w:left w:w="28" w:type="dxa"/>
              <w:right w:w="28" w:type="dxa"/>
            </w:tcMar>
            <w:vAlign w:val="center"/>
          </w:tcPr>
          <w:p w14:paraId="0321CF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0.2</w:t>
            </w:r>
          </w:p>
        </w:tc>
        <w:tc>
          <w:tcPr>
            <w:tcW w:w="1919" w:type="pct"/>
            <w:vMerge w:val="restart"/>
            <w:noWrap w:val="0"/>
            <w:tcMar>
              <w:left w:w="28" w:type="dxa"/>
              <w:right w:w="28" w:type="dxa"/>
            </w:tcMar>
            <w:vAlign w:val="center"/>
          </w:tcPr>
          <w:p w14:paraId="5B0ABA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废水处理</w:t>
            </w:r>
          </w:p>
        </w:tc>
      </w:tr>
      <w:tr w14:paraId="2DCC50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180F5A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6</w:t>
            </w:r>
          </w:p>
        </w:tc>
        <w:tc>
          <w:tcPr>
            <w:tcW w:w="999" w:type="pct"/>
            <w:noWrap w:val="0"/>
            <w:tcMar>
              <w:left w:w="28" w:type="dxa"/>
              <w:right w:w="28" w:type="dxa"/>
            </w:tcMar>
            <w:vAlign w:val="center"/>
          </w:tcPr>
          <w:p w14:paraId="0216B7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PAC</w:t>
            </w:r>
          </w:p>
        </w:tc>
        <w:tc>
          <w:tcPr>
            <w:tcW w:w="582" w:type="pct"/>
            <w:noWrap w:val="0"/>
            <w:tcMar>
              <w:left w:w="28" w:type="dxa"/>
              <w:right w:w="28" w:type="dxa"/>
            </w:tcMar>
            <w:vAlign w:val="center"/>
          </w:tcPr>
          <w:p w14:paraId="35DA3F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kg</w:t>
            </w:r>
          </w:p>
        </w:tc>
        <w:tc>
          <w:tcPr>
            <w:tcW w:w="961" w:type="pct"/>
            <w:noWrap w:val="0"/>
            <w:tcMar>
              <w:left w:w="28" w:type="dxa"/>
              <w:right w:w="28" w:type="dxa"/>
            </w:tcMar>
            <w:vAlign w:val="center"/>
          </w:tcPr>
          <w:p w14:paraId="563EC3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0.1</w:t>
            </w:r>
          </w:p>
        </w:tc>
        <w:tc>
          <w:tcPr>
            <w:tcW w:w="1919" w:type="pct"/>
            <w:vMerge w:val="continue"/>
            <w:noWrap w:val="0"/>
            <w:tcMar>
              <w:left w:w="28" w:type="dxa"/>
              <w:right w:w="28" w:type="dxa"/>
            </w:tcMar>
            <w:vAlign w:val="center"/>
          </w:tcPr>
          <w:p w14:paraId="42488D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775440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0EBC63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w:t>
            </w:r>
          </w:p>
        </w:tc>
        <w:tc>
          <w:tcPr>
            <w:tcW w:w="999" w:type="pct"/>
            <w:noWrap w:val="0"/>
            <w:tcMar>
              <w:left w:w="28" w:type="dxa"/>
              <w:right w:w="28" w:type="dxa"/>
            </w:tcMar>
            <w:vAlign w:val="center"/>
          </w:tcPr>
          <w:p w14:paraId="6F672A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PAM</w:t>
            </w:r>
          </w:p>
        </w:tc>
        <w:tc>
          <w:tcPr>
            <w:tcW w:w="582" w:type="pct"/>
            <w:noWrap w:val="0"/>
            <w:tcMar>
              <w:left w:w="28" w:type="dxa"/>
              <w:right w:w="28" w:type="dxa"/>
            </w:tcMar>
            <w:vAlign w:val="center"/>
          </w:tcPr>
          <w:p w14:paraId="76E3B0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kg</w:t>
            </w:r>
          </w:p>
        </w:tc>
        <w:tc>
          <w:tcPr>
            <w:tcW w:w="961" w:type="pct"/>
            <w:noWrap w:val="0"/>
            <w:tcMar>
              <w:left w:w="28" w:type="dxa"/>
              <w:right w:w="28" w:type="dxa"/>
            </w:tcMar>
            <w:vAlign w:val="center"/>
          </w:tcPr>
          <w:p w14:paraId="1EA677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0.1</w:t>
            </w:r>
          </w:p>
        </w:tc>
        <w:tc>
          <w:tcPr>
            <w:tcW w:w="1919" w:type="pct"/>
            <w:vMerge w:val="continue"/>
            <w:noWrap w:val="0"/>
            <w:tcMar>
              <w:left w:w="28" w:type="dxa"/>
              <w:right w:w="28" w:type="dxa"/>
            </w:tcMar>
            <w:vAlign w:val="center"/>
          </w:tcPr>
          <w:p w14:paraId="5FF33D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1FBF58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0546CE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8</w:t>
            </w:r>
          </w:p>
        </w:tc>
        <w:tc>
          <w:tcPr>
            <w:tcW w:w="999" w:type="pct"/>
            <w:noWrap w:val="0"/>
            <w:tcMar>
              <w:left w:w="28" w:type="dxa"/>
              <w:right w:w="28" w:type="dxa"/>
            </w:tcMar>
            <w:vAlign w:val="center"/>
          </w:tcPr>
          <w:p w14:paraId="2E720F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氢氧化钙</w:t>
            </w:r>
          </w:p>
        </w:tc>
        <w:tc>
          <w:tcPr>
            <w:tcW w:w="582" w:type="pct"/>
            <w:noWrap w:val="0"/>
            <w:tcMar>
              <w:left w:w="28" w:type="dxa"/>
              <w:right w:w="28" w:type="dxa"/>
            </w:tcMar>
            <w:vAlign w:val="center"/>
          </w:tcPr>
          <w:p w14:paraId="240602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kg</w:t>
            </w:r>
          </w:p>
        </w:tc>
        <w:tc>
          <w:tcPr>
            <w:tcW w:w="961" w:type="pct"/>
            <w:noWrap w:val="0"/>
            <w:tcMar>
              <w:left w:w="28" w:type="dxa"/>
              <w:right w:w="28" w:type="dxa"/>
            </w:tcMar>
            <w:vAlign w:val="center"/>
          </w:tcPr>
          <w:p w14:paraId="070C6F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0.1</w:t>
            </w:r>
          </w:p>
        </w:tc>
        <w:tc>
          <w:tcPr>
            <w:tcW w:w="1919" w:type="pct"/>
            <w:vMerge w:val="continue"/>
            <w:noWrap w:val="0"/>
            <w:tcMar>
              <w:left w:w="28" w:type="dxa"/>
              <w:right w:w="28" w:type="dxa"/>
            </w:tcMar>
            <w:vAlign w:val="center"/>
          </w:tcPr>
          <w:p w14:paraId="6CD4C9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lang w:val="en-US" w:eastAsia="zh-CN"/>
              </w:rPr>
            </w:pPr>
          </w:p>
        </w:tc>
      </w:tr>
      <w:tr w14:paraId="32F3D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37" w:type="pct"/>
            <w:noWrap w:val="0"/>
            <w:tcMar>
              <w:left w:w="28" w:type="dxa"/>
              <w:right w:w="28" w:type="dxa"/>
            </w:tcMar>
            <w:vAlign w:val="center"/>
          </w:tcPr>
          <w:p w14:paraId="46E6C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4</w:t>
            </w:r>
          </w:p>
        </w:tc>
        <w:tc>
          <w:tcPr>
            <w:tcW w:w="999" w:type="pct"/>
            <w:noWrap w:val="0"/>
            <w:tcMar>
              <w:left w:w="28" w:type="dxa"/>
              <w:right w:w="28" w:type="dxa"/>
            </w:tcMar>
            <w:vAlign w:val="center"/>
          </w:tcPr>
          <w:p w14:paraId="2D2A49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植物</w:t>
            </w:r>
          </w:p>
        </w:tc>
        <w:tc>
          <w:tcPr>
            <w:tcW w:w="582" w:type="pct"/>
            <w:noWrap w:val="0"/>
            <w:tcMar>
              <w:left w:w="28" w:type="dxa"/>
              <w:right w:w="28" w:type="dxa"/>
            </w:tcMar>
            <w:vAlign w:val="center"/>
          </w:tcPr>
          <w:p w14:paraId="5E362D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万株</w:t>
            </w:r>
          </w:p>
        </w:tc>
        <w:tc>
          <w:tcPr>
            <w:tcW w:w="961" w:type="pct"/>
            <w:noWrap w:val="0"/>
            <w:tcMar>
              <w:left w:w="28" w:type="dxa"/>
              <w:right w:w="28" w:type="dxa"/>
            </w:tcMar>
            <w:vAlign w:val="center"/>
          </w:tcPr>
          <w:p w14:paraId="6B0354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3</w:t>
            </w:r>
          </w:p>
        </w:tc>
        <w:tc>
          <w:tcPr>
            <w:tcW w:w="1919" w:type="pct"/>
            <w:noWrap w:val="0"/>
            <w:tcMar>
              <w:left w:w="28" w:type="dxa"/>
              <w:right w:w="28" w:type="dxa"/>
            </w:tcMar>
            <w:vAlign w:val="center"/>
          </w:tcPr>
          <w:p w14:paraId="6E167B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用于生态修复</w:t>
            </w:r>
          </w:p>
        </w:tc>
      </w:tr>
    </w:tbl>
    <w:p w14:paraId="12565599">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3.1.10总平面布置</w:t>
      </w:r>
    </w:p>
    <w:p w14:paraId="10E9BC77">
      <w:pPr>
        <w:bidi w:val="0"/>
        <w:rPr>
          <w:rFonts w:hint="eastAsia"/>
          <w:sz w:val="24"/>
          <w:szCs w:val="24"/>
          <w:highlight w:val="none"/>
          <w:lang w:val="en-US" w:eastAsia="zh-CN"/>
        </w:rPr>
      </w:pPr>
      <w:r>
        <w:rPr>
          <w:rFonts w:hint="eastAsia"/>
          <w:sz w:val="24"/>
          <w:szCs w:val="24"/>
          <w:highlight w:val="none"/>
          <w:lang w:val="en-US" w:eastAsia="zh-CN"/>
        </w:rPr>
        <w:t>根据项目治理区域废渣分布特点，项目施工总平面布置主要分为4个区域，分别是万古村1#废渣堆开挖区域，万古村2#废渣堆区域开挖区域、万古水库（3A、3B）废渣堆区域开挖区域和填埋场区域。由于本项目施工人员为当地居民，故施工单位的施工人员直接租用附近村庄房屋居住及管理办公，不设置临时施工营地。</w:t>
      </w:r>
    </w:p>
    <w:p w14:paraId="315ECD46">
      <w:pPr>
        <w:bidi w:val="0"/>
        <w:rPr>
          <w:rFonts w:hint="eastAsia"/>
          <w:sz w:val="24"/>
          <w:szCs w:val="24"/>
          <w:highlight w:val="none"/>
          <w:lang w:val="en-US" w:eastAsia="zh-CN"/>
        </w:rPr>
      </w:pPr>
      <w:r>
        <w:rPr>
          <w:rFonts w:hint="eastAsia"/>
          <w:sz w:val="24"/>
          <w:szCs w:val="24"/>
          <w:highlight w:val="none"/>
          <w:lang w:val="en-US" w:eastAsia="zh-CN"/>
        </w:rPr>
        <w:t>依据总平面布置的原则，本项目进场路口位于填埋场北侧，洗车平台、沉砂池、废水处理设施分别布置于万古村2#废渣堆出入口及万古水库（3A）废渣堆区域出入口处，离现有乡道较近，布局合理；场地内设置临时截排水沟、集水坑，重金属一体化污水处理设施布置在渗滤液收集池处，取土场东南侧设置收集池。取土场位于废渣填埋场南侧120m处，邻近拟建施工便道，满足规范要求，方便固体废物处理和与填埋场的联系及固体废物运输。</w:t>
      </w:r>
    </w:p>
    <w:p w14:paraId="418C7C90">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3.1.1</w:t>
      </w:r>
      <w:r>
        <w:rPr>
          <w:rFonts w:hint="eastAsia" w:cs="Times New Roman"/>
          <w:sz w:val="28"/>
          <w:szCs w:val="28"/>
          <w:lang w:val="en-US" w:eastAsia="zh-CN"/>
        </w:rPr>
        <w:t>1</w:t>
      </w:r>
      <w:r>
        <w:rPr>
          <w:rFonts w:hint="eastAsia" w:ascii="Times New Roman" w:hAnsi="Times New Roman" w:eastAsia="宋体" w:cs="Times New Roman"/>
          <w:sz w:val="28"/>
          <w:szCs w:val="28"/>
          <w:lang w:val="en-US" w:eastAsia="zh-CN"/>
        </w:rPr>
        <w:t>项目实施进度及劳动定员</w:t>
      </w:r>
    </w:p>
    <w:p w14:paraId="6C58CD4F">
      <w:pPr>
        <w:bidi w:val="0"/>
        <w:rPr>
          <w:rFonts w:hint="eastAsia"/>
          <w:sz w:val="24"/>
          <w:szCs w:val="24"/>
          <w:highlight w:val="none"/>
          <w:u w:val="none"/>
          <w:lang w:eastAsia="zh-CN"/>
        </w:rPr>
      </w:pPr>
      <w:r>
        <w:rPr>
          <w:rFonts w:hint="eastAsia"/>
          <w:sz w:val="24"/>
          <w:szCs w:val="24"/>
          <w:highlight w:val="none"/>
          <w:u w:val="none"/>
          <w:lang w:eastAsia="zh-CN"/>
        </w:rPr>
        <w:t>本项目施工组织</w:t>
      </w:r>
      <w:r>
        <w:rPr>
          <w:rFonts w:hint="eastAsia"/>
          <w:sz w:val="24"/>
          <w:szCs w:val="24"/>
          <w:highlight w:val="none"/>
          <w:u w:val="none"/>
          <w:lang w:val="en-US" w:eastAsia="zh-CN"/>
        </w:rPr>
        <w:t>施工时序及</w:t>
      </w:r>
      <w:r>
        <w:rPr>
          <w:rFonts w:hint="eastAsia"/>
          <w:sz w:val="24"/>
          <w:szCs w:val="24"/>
          <w:highlight w:val="none"/>
          <w:u w:val="none"/>
          <w:lang w:eastAsia="zh-CN"/>
        </w:rPr>
        <w:t>实施方案为：</w:t>
      </w:r>
    </w:p>
    <w:p w14:paraId="7F6D02C9">
      <w:pPr>
        <w:bidi w:val="0"/>
        <w:rPr>
          <w:rFonts w:hint="eastAsia"/>
          <w:sz w:val="24"/>
          <w:szCs w:val="24"/>
          <w:highlight w:val="none"/>
          <w:u w:val="none"/>
          <w:lang w:val="en-US" w:eastAsia="zh-CN"/>
        </w:rPr>
      </w:pPr>
      <w:r>
        <w:rPr>
          <w:rFonts w:hint="eastAsia"/>
          <w:sz w:val="24"/>
          <w:szCs w:val="24"/>
          <w:highlight w:val="none"/>
          <w:u w:val="none"/>
          <w:lang w:val="en-US" w:eastAsia="zh-CN"/>
        </w:rPr>
        <w:t>本</w:t>
      </w:r>
      <w:r>
        <w:rPr>
          <w:rFonts w:hint="eastAsia"/>
          <w:sz w:val="24"/>
          <w:szCs w:val="24"/>
          <w:highlight w:val="none"/>
          <w:u w:val="none"/>
          <w:lang w:eastAsia="zh-CN"/>
        </w:rPr>
        <w:t>项目</w:t>
      </w:r>
      <w:r>
        <w:rPr>
          <w:rFonts w:hint="eastAsia"/>
          <w:sz w:val="24"/>
          <w:szCs w:val="24"/>
          <w:highlight w:val="none"/>
          <w:u w:val="none"/>
          <w:lang w:val="en-US" w:eastAsia="zh-CN"/>
        </w:rPr>
        <w:t>进行填埋场施工准备，表土清除及暂存、进场临时道路建设、洗车平台等工程，然后同步</w:t>
      </w:r>
      <w:r>
        <w:rPr>
          <w:rFonts w:hint="eastAsia"/>
          <w:sz w:val="24"/>
          <w:szCs w:val="24"/>
          <w:highlight w:val="none"/>
          <w:u w:val="none"/>
          <w:lang w:eastAsia="zh-CN"/>
        </w:rPr>
        <w:t>建设场地周边（</w:t>
      </w:r>
      <w:r>
        <w:rPr>
          <w:rFonts w:hint="eastAsia"/>
          <w:sz w:val="24"/>
          <w:szCs w:val="24"/>
          <w:highlight w:val="none"/>
          <w:u w:val="none"/>
          <w:lang w:val="en-US" w:eastAsia="zh-CN"/>
        </w:rPr>
        <w:t>含废渣堆、废渣填埋场等</w:t>
      </w:r>
      <w:r>
        <w:rPr>
          <w:rFonts w:hint="eastAsia"/>
          <w:sz w:val="24"/>
          <w:szCs w:val="24"/>
          <w:highlight w:val="none"/>
          <w:u w:val="none"/>
          <w:lang w:eastAsia="zh-CN"/>
        </w:rPr>
        <w:t>）截</w:t>
      </w:r>
      <w:r>
        <w:rPr>
          <w:rFonts w:hint="eastAsia"/>
          <w:sz w:val="24"/>
          <w:szCs w:val="24"/>
          <w:highlight w:val="none"/>
          <w:u w:val="none"/>
          <w:lang w:val="en-US" w:eastAsia="zh-CN"/>
        </w:rPr>
        <w:t>排</w:t>
      </w:r>
      <w:r>
        <w:rPr>
          <w:rFonts w:hint="eastAsia"/>
          <w:sz w:val="24"/>
          <w:szCs w:val="24"/>
          <w:highlight w:val="none"/>
          <w:u w:val="none"/>
          <w:lang w:eastAsia="zh-CN"/>
        </w:rPr>
        <w:t>水系统和场区内排雨水系统，保证施工期场区外汇水及场区内产生的地表径流均能够通过截水沟排出堆场外。按照设计要求进行填埋场</w:t>
      </w:r>
      <w:r>
        <w:rPr>
          <w:rFonts w:hint="eastAsia"/>
          <w:sz w:val="24"/>
          <w:szCs w:val="24"/>
          <w:highlight w:val="none"/>
          <w:u w:val="none"/>
          <w:lang w:val="en-US" w:eastAsia="zh-CN"/>
        </w:rPr>
        <w:t>地下水导排工程、渗滤液导排工程、挡渣坝工程、场底防渗工程、边坡防渗工程等内容</w:t>
      </w:r>
      <w:r>
        <w:rPr>
          <w:rFonts w:hint="eastAsia"/>
          <w:sz w:val="24"/>
          <w:szCs w:val="24"/>
          <w:highlight w:val="none"/>
          <w:u w:val="none"/>
          <w:lang w:eastAsia="zh-CN"/>
        </w:rPr>
        <w:t>，然后开始</w:t>
      </w:r>
      <w:r>
        <w:rPr>
          <w:rFonts w:hint="eastAsia"/>
          <w:sz w:val="24"/>
          <w:szCs w:val="24"/>
          <w:highlight w:val="none"/>
          <w:u w:val="none"/>
          <w:lang w:val="en-US" w:eastAsia="zh-CN"/>
        </w:rPr>
        <w:t>4个废渣堆</w:t>
      </w:r>
      <w:r>
        <w:rPr>
          <w:rFonts w:hint="eastAsia"/>
          <w:sz w:val="24"/>
          <w:szCs w:val="24"/>
          <w:highlight w:val="none"/>
          <w:u w:val="none"/>
          <w:lang w:eastAsia="zh-CN"/>
        </w:rPr>
        <w:t>遗留废渣的清挖</w:t>
      </w:r>
      <w:r>
        <w:rPr>
          <w:rFonts w:hint="eastAsia"/>
          <w:sz w:val="24"/>
          <w:szCs w:val="24"/>
          <w:highlight w:val="none"/>
          <w:u w:val="none"/>
          <w:lang w:val="en-US" w:eastAsia="zh-CN"/>
        </w:rPr>
        <w:t>转运，</w:t>
      </w:r>
      <w:r>
        <w:rPr>
          <w:rFonts w:hint="eastAsia"/>
          <w:sz w:val="24"/>
          <w:szCs w:val="24"/>
          <w:highlight w:val="none"/>
          <w:u w:val="none"/>
          <w:lang w:eastAsia="zh-CN"/>
        </w:rPr>
        <w:t>项目完成遗留废渣清挖后，</w:t>
      </w:r>
      <w:r>
        <w:rPr>
          <w:rFonts w:hint="eastAsia"/>
          <w:sz w:val="24"/>
          <w:szCs w:val="24"/>
          <w:highlight w:val="none"/>
          <w:u w:val="none"/>
          <w:lang w:val="en-US" w:eastAsia="zh-CN"/>
        </w:rPr>
        <w:t>对废渣堆进行覆土及生态恢复，同时对填埋场进行封场，</w:t>
      </w:r>
      <w:r>
        <w:rPr>
          <w:rFonts w:hint="eastAsia"/>
          <w:sz w:val="24"/>
          <w:szCs w:val="24"/>
          <w:highlight w:val="none"/>
          <w:u w:val="none"/>
          <w:lang w:eastAsia="zh-CN"/>
        </w:rPr>
        <w:t>土地平整并覆土绿化，进行生态恢复。</w:t>
      </w:r>
    </w:p>
    <w:p w14:paraId="0707EEF6">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根据《平江县三阳乡万古村万古水库周边历史遗留重金属废渣整治项目详细勘察报告》及《实施方案》，本项目遗留废渣的清运包括1#废渣点、2#废渣点、万古水库废渣点（3A#、3B#），废渣堆占地面积共13047m</w:t>
      </w:r>
      <w:r>
        <w:rPr>
          <w:rFonts w:hint="eastAsia"/>
          <w:sz w:val="24"/>
          <w:szCs w:val="24"/>
          <w:highlight w:val="none"/>
          <w:u w:val="none"/>
          <w:vertAlign w:val="superscript"/>
          <w:lang w:val="en-US" w:eastAsia="zh-CN"/>
        </w:rPr>
        <w:t>2</w:t>
      </w:r>
      <w:r>
        <w:rPr>
          <w:rFonts w:hint="eastAsia"/>
          <w:sz w:val="24"/>
          <w:szCs w:val="24"/>
          <w:highlight w:val="none"/>
          <w:u w:val="none"/>
          <w:lang w:val="en-US" w:eastAsia="zh-CN"/>
        </w:rPr>
        <w:t>，废渣总量55999.73m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根据清挖施工安全性和后期处置高效性要求，本项目采用分区清挖、分区堆存的总体思路。本项目废渣平均清挖厚度为4-7m，清挖时遵循分区分层清挖、转运的原则。采用机械分层清挖，以1m作为每层开挖深度。根据各废渣点距离填埋场远近的关系，本项目废渣点清运顺序为：万古村2#废渣点→万古村1#废渣点→万古水库废渣点（3A#、3B#）。</w:t>
      </w:r>
    </w:p>
    <w:p w14:paraId="7289B8CC">
      <w:pPr>
        <w:keepNext w:val="0"/>
        <w:keepLines w:val="0"/>
        <w:pageBreakBefore w:val="0"/>
        <w:widowControl w:val="0"/>
        <w:kinsoku/>
        <w:wordWrap/>
        <w:overflowPunct/>
        <w:topLinePunct w:val="0"/>
        <w:autoSpaceDE/>
        <w:autoSpaceDN/>
        <w:bidi w:val="0"/>
        <w:adjustRightInd/>
        <w:snapToGrid/>
        <w:textAlignment w:val="auto"/>
        <w:rPr>
          <w:rFonts w:hint="eastAsia"/>
          <w:sz w:val="24"/>
          <w:szCs w:val="24"/>
          <w:u w:val="none"/>
          <w:lang w:eastAsia="zh-CN"/>
        </w:rPr>
      </w:pPr>
      <w:r>
        <w:rPr>
          <w:rFonts w:hint="eastAsia"/>
          <w:sz w:val="24"/>
          <w:szCs w:val="24"/>
          <w:highlight w:val="none"/>
          <w:u w:val="none"/>
          <w:lang w:val="en-US" w:eastAsia="zh-CN"/>
        </w:rPr>
        <w:t>根据本项目的工程量、施工条件以及施工方案，项目建设期为10个月，包括项目招投标、工前准备等工作，建设时间为2026年5月到2027年3月，</w:t>
      </w:r>
      <w:r>
        <w:rPr>
          <w:rFonts w:hint="eastAsia"/>
          <w:sz w:val="24"/>
          <w:szCs w:val="24"/>
          <w:u w:val="none"/>
        </w:rPr>
        <w:t>项目施工定员</w:t>
      </w:r>
      <w:r>
        <w:rPr>
          <w:sz w:val="24"/>
          <w:szCs w:val="24"/>
          <w:u w:val="none"/>
        </w:rPr>
        <w:t>20</w:t>
      </w:r>
      <w:r>
        <w:rPr>
          <w:rFonts w:hint="eastAsia"/>
          <w:sz w:val="24"/>
          <w:szCs w:val="24"/>
          <w:u w:val="none"/>
        </w:rPr>
        <w:t>人</w:t>
      </w:r>
      <w:r>
        <w:rPr>
          <w:rFonts w:hint="eastAsia"/>
          <w:sz w:val="24"/>
          <w:szCs w:val="24"/>
          <w:u w:val="none"/>
          <w:lang w:eastAsia="zh-CN"/>
        </w:rPr>
        <w:t>，</w:t>
      </w:r>
      <w:r>
        <w:rPr>
          <w:rFonts w:hint="eastAsia"/>
          <w:sz w:val="24"/>
          <w:szCs w:val="24"/>
          <w:u w:val="none"/>
          <w:lang w:val="en-US" w:eastAsia="zh-CN"/>
        </w:rPr>
        <w:t>一班制，每班8h</w:t>
      </w:r>
      <w:r>
        <w:rPr>
          <w:rFonts w:hint="eastAsia"/>
          <w:sz w:val="24"/>
          <w:szCs w:val="24"/>
          <w:u w:val="none"/>
          <w:lang w:eastAsia="zh-CN"/>
        </w:rPr>
        <w:t>。</w:t>
      </w:r>
    </w:p>
    <w:p w14:paraId="0F08760D">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eastAsia="zh-CN"/>
        </w:rPr>
      </w:pPr>
      <w:bookmarkStart w:id="342" w:name="_Toc30415"/>
      <w:bookmarkStart w:id="343" w:name="_Toc26387"/>
      <w:r>
        <w:rPr>
          <w:rFonts w:hint="eastAsia" w:ascii="Times New Roman" w:hAnsi="Times New Roman" w:eastAsia="宋体" w:cs="Times New Roman"/>
          <w:color w:val="auto"/>
          <w:sz w:val="30"/>
          <w:szCs w:val="30"/>
          <w:highlight w:val="none"/>
          <w:u w:val="none" w:color="auto"/>
          <w:lang w:val="en-US" w:eastAsia="zh-CN"/>
        </w:rPr>
        <w:t>3.2工程分析</w:t>
      </w:r>
      <w:bookmarkEnd w:id="342"/>
      <w:bookmarkEnd w:id="343"/>
    </w:p>
    <w:p w14:paraId="2870536A">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3.2.1工程方案</w:t>
      </w:r>
    </w:p>
    <w:p w14:paraId="5583CE8E">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3.2.1.1</w:t>
      </w:r>
      <w:r>
        <w:rPr>
          <w:rFonts w:hint="default" w:ascii="Times New Roman" w:hAnsi="Times New Roman" w:cs="Times New Roman"/>
          <w:sz w:val="24"/>
          <w:szCs w:val="24"/>
          <w:lang w:val="en-US" w:eastAsia="zh-CN"/>
        </w:rPr>
        <w:t>治理技术路线</w:t>
      </w:r>
    </w:p>
    <w:p w14:paraId="77BD2FC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本项目治理技术路线如下图所示。</w:t>
      </w:r>
    </w:p>
    <w:p w14:paraId="5919319C">
      <w:pPr>
        <w:bidi w:val="0"/>
        <w:spacing w:line="240" w:lineRule="auto"/>
        <w:ind w:left="0" w:leftChars="0" w:firstLine="0" w:firstLineChars="0"/>
        <w:rPr>
          <w:rFonts w:hint="eastAsia"/>
          <w:highlight w:val="yellow"/>
          <w:lang w:val="en-US" w:eastAsia="zh-CN"/>
        </w:rPr>
      </w:pPr>
      <w:r>
        <w:drawing>
          <wp:inline distT="0" distB="0" distL="114300" distR="114300">
            <wp:extent cx="5842635" cy="3702050"/>
            <wp:effectExtent l="0" t="0" r="5715" b="12700"/>
            <wp:docPr id="1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9"/>
                    <pic:cNvPicPr>
                      <a:picLocks noChangeAspect="1"/>
                    </pic:cNvPicPr>
                  </pic:nvPicPr>
                  <pic:blipFill>
                    <a:blip r:embed="rId68"/>
                    <a:stretch>
                      <a:fillRect/>
                    </a:stretch>
                  </pic:blipFill>
                  <pic:spPr>
                    <a:xfrm>
                      <a:off x="0" y="0"/>
                      <a:ext cx="5842635" cy="3702050"/>
                    </a:xfrm>
                    <a:prstGeom prst="rect">
                      <a:avLst/>
                    </a:prstGeom>
                    <a:noFill/>
                    <a:ln>
                      <a:noFill/>
                    </a:ln>
                  </pic:spPr>
                </pic:pic>
              </a:graphicData>
            </a:graphic>
          </wp:inline>
        </w:drawing>
      </w:r>
    </w:p>
    <w:p w14:paraId="0E1DC72D">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图3.2-1  项目治理技术路线图</w:t>
      </w:r>
    </w:p>
    <w:p w14:paraId="640FBF05">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3.2.1.2</w:t>
      </w:r>
      <w:r>
        <w:rPr>
          <w:rFonts w:hint="default" w:ascii="Times New Roman" w:hAnsi="Times New Roman" w:cs="Times New Roman"/>
          <w:sz w:val="24"/>
          <w:szCs w:val="24"/>
          <w:lang w:val="en-US" w:eastAsia="zh-CN"/>
        </w:rPr>
        <w:t>施工期工程方案</w:t>
      </w:r>
    </w:p>
    <w:p w14:paraId="5D409792">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1、废渣堆废渣挖掘工程</w:t>
      </w:r>
    </w:p>
    <w:p w14:paraId="0B016C9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本项目废渣均沿山坡堆存，已存在多年，故采用干法回采，即露天机械回采。露天回采边界即露天回采的最终界限，需要确定采场底部周界、四周边界及回采深度等三个要素。</w:t>
      </w:r>
    </w:p>
    <w:p w14:paraId="2AB4E2D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（1）底部周界</w:t>
      </w:r>
    </w:p>
    <w:p w14:paraId="7DCB6EE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废渣堆积在原始自然边坡之上，原始边坡属于稳定地基，此次将废渣全部挖除，因此，本次挖除的底部周界就是原始堆存区的自然边坡，占地面积13047m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vertAlign w:val="baseline"/>
          <w:lang w:val="en-US" w:eastAsia="zh-CN"/>
        </w:rPr>
        <w:t>，废渣方量为55999.73m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w:t>
      </w:r>
    </w:p>
    <w:p w14:paraId="246FC02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（2）四周边界线</w:t>
      </w:r>
    </w:p>
    <w:p w14:paraId="1F1616A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由于废渣堆体均沿山坡堆存，属于傍山型，因此废渣四周边界为整个废渣堆界。</w:t>
      </w:r>
    </w:p>
    <w:p w14:paraId="4A454556">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（3）回采深度</w:t>
      </w:r>
    </w:p>
    <w:p w14:paraId="68409A7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回采深度主要为废渣挖除深度。根据初步设计，本次废渣挖除量为55999.73m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w:t>
      </w:r>
    </w:p>
    <w:p w14:paraId="2B8102C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（4）废渣挖掘注意事项</w:t>
      </w:r>
    </w:p>
    <w:p w14:paraId="51C9D79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1）为了减少挖掘期间的废水产生量，施工需避开多雨和暴雨月份进行。</w:t>
      </w:r>
    </w:p>
    <w:p w14:paraId="2F431D52">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2）废渣开挖前，应将范围内的表层杂草、块石、杂物、树根等均清除干净，并在场地内作业区设置临时集水沟与集水池收集废渣开挖期间产生的废水。</w:t>
      </w:r>
    </w:p>
    <w:p w14:paraId="364FA68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3）严格按照开挖工艺开挖，首先进行测量定位，定出开挖宽度和深度，按放线分块段开挖。场地边界开挖时，采取四侧放坡，坡度小于1:1.75，以保证施工操作安全。</w:t>
      </w:r>
    </w:p>
    <w:p w14:paraId="3D8428C2">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在各开挖场地低洼处设置集水池收集</w:t>
      </w:r>
      <w:r>
        <w:rPr>
          <w:rFonts w:hint="eastAsia" w:cs="Times New Roman"/>
          <w:sz w:val="24"/>
          <w:szCs w:val="24"/>
          <w:highlight w:val="none"/>
          <w:lang w:val="en-US" w:eastAsia="zh-CN"/>
        </w:rPr>
        <w:t>渗滤</w:t>
      </w:r>
      <w:r>
        <w:rPr>
          <w:rFonts w:hint="default" w:ascii="Times New Roman" w:hAnsi="Times New Roman" w:cs="Times New Roman"/>
          <w:sz w:val="24"/>
          <w:szCs w:val="24"/>
          <w:highlight w:val="none"/>
          <w:lang w:val="en-US" w:eastAsia="zh-CN"/>
        </w:rPr>
        <w:t>液与场内汇流雨水，用泵抽至渗滤液收集后经一体化污水处理装置进行处理。</w:t>
      </w:r>
    </w:p>
    <w:p w14:paraId="3BB98A4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4）本项目治理范围内现状道路较少，同时拟根据挖掘清运要求，在治理范围内建设临时道路，以保障挖掘清运工作的顺利实施。</w:t>
      </w:r>
    </w:p>
    <w:p w14:paraId="139665A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5）运输为避免清运废渣在运输过程中洒落而污染环境，拟采用密闭式运输车进行运输。</w:t>
      </w:r>
    </w:p>
    <w:p w14:paraId="2E1F171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6）洗车机为防止运输车辆的车身、轮胎携带场地污染物转移到其他区域，产生二次污染，设置一体化洗车机，清洗运输车辆。</w:t>
      </w:r>
    </w:p>
    <w:p w14:paraId="6B8A782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7）开挖注意事项场地周围设置安全防护栏或围挡，并设安全警示牌，夜间悬挂红色警示灯。</w:t>
      </w:r>
    </w:p>
    <w:p w14:paraId="13375FC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8）施工人员进出要有专用通道，通道设置符合安全性、牢固性、稳定性要求。</w:t>
      </w:r>
    </w:p>
    <w:p w14:paraId="1275FEF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9）制定应急预案，预备塑料膜等防雨防风物资，避免因极端天气造成事故导致开挖废渣对环境形成二次污染。</w:t>
      </w:r>
    </w:p>
    <w:p w14:paraId="35912F86">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2、废渣填埋场库区整形及地基处理</w:t>
      </w:r>
    </w:p>
    <w:p w14:paraId="01895AED">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填埋场的设计面积为8517.35m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，设计总库容为7.0万m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（有效库容5.6万m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，其中废渣方量为55999.73m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），需要对填埋场选址进行场底清基，场地清基面积为8517.35m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，剥离表土方量为4250m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w:t>
      </w:r>
    </w:p>
    <w:p w14:paraId="2CB4C988">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（1）场底清理</w:t>
      </w:r>
    </w:p>
    <w:p w14:paraId="530BA3A1">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填埋库区范围较大，涉及多种不同的地层结构，部分区域分布有杂草、树根等不符合规范要求的内容，故在进行阻隔场场地整形前，应按相关规范要求对填埋库区及拦挡坝建设区域进行清理。</w:t>
      </w:r>
    </w:p>
    <w:p w14:paraId="32900361">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1）清除所有植被、杂物、树根、生活垃圾等；</w:t>
      </w:r>
    </w:p>
    <w:p w14:paraId="572523E2">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2）被清除的植被、杂物、树根、生活垃圾清运至生活垃圾填埋场填埋处置，并应满足《生活垃圾填埋污染控制标准》（GB16889-2024）的要求。</w:t>
      </w:r>
    </w:p>
    <w:p w14:paraId="0951DC52">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整形一般原则为：根据场地地形和地质条件，在不影响场地的力学稳定性前提下，减少土石方开挖量，同时应考虑边坡修整等施工方便。场底土质边坡要求进行夯实，设计坡比为1:2，压实度不小于90%。粉质粘土和需要的回填土需进行平整和压实，压实度不小于94%，达到所需地基承载力的要求。</w:t>
      </w:r>
    </w:p>
    <w:p w14:paraId="3185C2DB">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场底整平主要包括2个部分：场底清理、场底开挖。场底平整最后要求形成土建</w:t>
      </w:r>
      <w:r>
        <w:rPr>
          <w:rFonts w:hint="eastAsia" w:cs="Times New Roman"/>
          <w:sz w:val="24"/>
          <w:szCs w:val="24"/>
          <w:highlight w:val="none"/>
          <w:u w:val="none"/>
          <w:lang w:val="en-US" w:eastAsia="zh-CN"/>
        </w:rPr>
        <w:t>构件</w:t>
      </w:r>
      <w:r>
        <w:rPr>
          <w:rFonts w:hint="default" w:ascii="Times New Roman" w:hAnsi="Times New Roman" w:cs="Times New Roman"/>
          <w:sz w:val="24"/>
          <w:szCs w:val="24"/>
          <w:highlight w:val="none"/>
          <w:u w:val="none"/>
          <w:lang w:val="en-US" w:eastAsia="zh-CN"/>
        </w:rPr>
        <w:t>面，以有利于防渗系统的铺设。</w:t>
      </w:r>
    </w:p>
    <w:p w14:paraId="610AD54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场底清理：主要是清除表皮土，清除树木、杂草、腐殖土和废渣及受污染土壤等有害杂质。</w:t>
      </w:r>
    </w:p>
    <w:p w14:paraId="4AD477E1">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场底开挖：要求挖方范围内的树木、杂草、腐殖土和石块等全部清除；挖方坡度符合设计要求，不得超挖。场底开挖以全部挖出废渣后继续挖至设计标高为止。</w:t>
      </w:r>
    </w:p>
    <w:p w14:paraId="337E43EE">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土建构建面：构建面平整、坚实、无裂缝和无松土；基地表面无积水、垂直深度25cm，内无石块、树根及其他任何有害的杂物；坡面稳定，</w:t>
      </w:r>
      <w:r>
        <w:rPr>
          <w:rFonts w:hint="eastAsia" w:cs="Times New Roman"/>
          <w:sz w:val="24"/>
          <w:szCs w:val="24"/>
          <w:highlight w:val="none"/>
          <w:u w:val="none"/>
          <w:lang w:val="en-US" w:eastAsia="zh-CN"/>
        </w:rPr>
        <w:t>过渡</w:t>
      </w:r>
      <w:r>
        <w:rPr>
          <w:rFonts w:hint="default" w:ascii="Times New Roman" w:hAnsi="Times New Roman" w:cs="Times New Roman"/>
          <w:sz w:val="24"/>
          <w:szCs w:val="24"/>
          <w:highlight w:val="none"/>
          <w:u w:val="none"/>
          <w:lang w:val="en-US" w:eastAsia="zh-CN"/>
        </w:rPr>
        <w:t>平稳。</w:t>
      </w:r>
    </w:p>
    <w:p w14:paraId="478C03A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（2）地基处理</w:t>
      </w:r>
    </w:p>
    <w:p w14:paraId="10C1D210">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场区底部基础经处理后应满足平整度每平方米粘土层误差不得大于2cm，填埋场HDPE土工膜的膜下粘土保护层，垂直深度2.5cm范围内土层不应含有粒径大于5mm的尖锐物料。在进行地基处理时，库区底部的粘土层压实度不得小于93%。库区边坡的粘土层压实度不得小于90%；在进行边坡地基处理时，要保证边坡的稳定性。当场底及边坡有岩石出露影响阻隔场防渗结构层时，应考虑将凸出的岩石抹平，并采用水泥砂浆抹光滑。</w:t>
      </w:r>
    </w:p>
    <w:p w14:paraId="727E9C45">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2、废渣填埋场底部防渗工程</w:t>
      </w:r>
    </w:p>
    <w:p w14:paraId="1B8EAD0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根据岳阳百利勘测科技有限公司编制的《平江县三阳乡万古村万古水库周边历史遗留重金属废渣整治项目详细勘察报告》可知：项目场地内粉质黏土层渗透系数平均值为4.5×10</w:t>
      </w:r>
      <w:r>
        <w:rPr>
          <w:rFonts w:hint="default" w:ascii="Times New Roman" w:hAnsi="Times New Roman" w:cs="Times New Roman"/>
          <w:sz w:val="24"/>
          <w:szCs w:val="24"/>
          <w:highlight w:val="none"/>
          <w:vertAlign w:val="superscript"/>
          <w:lang w:val="en-US" w:eastAsia="zh-CN"/>
        </w:rPr>
        <w:t>-6</w:t>
      </w:r>
      <w:r>
        <w:rPr>
          <w:rFonts w:hint="default" w:ascii="Times New Roman" w:hAnsi="Times New Roman" w:cs="Times New Roman"/>
          <w:sz w:val="24"/>
          <w:szCs w:val="24"/>
          <w:highlight w:val="none"/>
          <w:lang w:val="en-US" w:eastAsia="zh-CN"/>
        </w:rPr>
        <w:t>cm/s，强风化板岩渗透系数平均值为3.2×10</w:t>
      </w:r>
      <w:r>
        <w:rPr>
          <w:rFonts w:hint="default" w:ascii="Times New Roman" w:hAnsi="Times New Roman" w:cs="Times New Roman"/>
          <w:sz w:val="24"/>
          <w:szCs w:val="24"/>
          <w:highlight w:val="none"/>
          <w:vertAlign w:val="superscript"/>
          <w:lang w:val="en-US" w:eastAsia="zh-CN"/>
        </w:rPr>
        <w:t>-4</w:t>
      </w:r>
      <w:r>
        <w:rPr>
          <w:rFonts w:hint="default" w:ascii="Times New Roman" w:hAnsi="Times New Roman" w:cs="Times New Roman"/>
          <w:sz w:val="24"/>
          <w:szCs w:val="24"/>
          <w:highlight w:val="none"/>
          <w:lang w:val="en-US" w:eastAsia="zh-CN"/>
        </w:rPr>
        <w:t>cm/s。</w:t>
      </w:r>
    </w:p>
    <w:p w14:paraId="7647DEB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根据《一般工业固体废物贮存和填埋污染控制标准》（GB18599-2020）的技术要求，</w:t>
      </w:r>
      <w:r>
        <w:rPr>
          <w:rFonts w:hint="default" w:ascii="Times New Roman" w:hAnsi="Times New Roman" w:eastAsia="宋体" w:cs="Times New Roman"/>
          <w:sz w:val="24"/>
          <w:szCs w:val="24"/>
          <w:highlight w:val="none"/>
          <w:lang w:val="en-US" w:eastAsia="zh-CN"/>
        </w:rPr>
        <w:t>Ⅱ</w:t>
      </w:r>
      <w:r>
        <w:rPr>
          <w:rFonts w:hint="default" w:ascii="Times New Roman" w:hAnsi="Times New Roman" w:cs="Times New Roman"/>
          <w:sz w:val="24"/>
          <w:szCs w:val="24"/>
          <w:highlight w:val="none"/>
          <w:lang w:val="en-US" w:eastAsia="zh-CN"/>
        </w:rPr>
        <w:t>类场应采用单人工复合衬层作为防渗衬层：a）人工合成材料应采用高密度聚乙烯膜，厚度不小于1.5mm，并满足GB/T17643规定的技术指标要求。采用其他人工合成材料的，其防渗性能至少相当于1.5mm高密度聚乙烯膜的防渗性能。b）粘土衬层厚度应不小于0.75m，且经压实、人工改性等措施处理后的饱和渗透系数不应大于1.0×10</w:t>
      </w:r>
      <w:r>
        <w:rPr>
          <w:rFonts w:hint="default" w:ascii="Times New Roman" w:hAnsi="Times New Roman" w:cs="Times New Roman"/>
          <w:sz w:val="24"/>
          <w:szCs w:val="24"/>
          <w:highlight w:val="none"/>
          <w:vertAlign w:val="superscript"/>
          <w:lang w:val="en-US" w:eastAsia="zh-CN"/>
        </w:rPr>
        <w:t>-7</w:t>
      </w:r>
      <w:r>
        <w:rPr>
          <w:rFonts w:hint="default" w:ascii="Times New Roman" w:hAnsi="Times New Roman" w:cs="Times New Roman"/>
          <w:sz w:val="24"/>
          <w:szCs w:val="24"/>
          <w:highlight w:val="none"/>
          <w:lang w:val="en-US" w:eastAsia="zh-CN"/>
        </w:rPr>
        <w:t>cm/s。使用其他粘土类防渗衬层材料时，应具有同等以上隔水效力。</w:t>
      </w:r>
    </w:p>
    <w:p w14:paraId="5CDB968E">
      <w:pPr>
        <w:bidi w:val="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综合考虑项目实施的可行性、经济的合理性及场地地质条件等因素，本项目对清基后的废渣填埋场场底及场底边坡进行防渗系统建设，建设面积为8517.8m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w:t>
      </w:r>
    </w:p>
    <w:p w14:paraId="328F561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（1）防渗材料选择</w:t>
      </w:r>
    </w:p>
    <w:p w14:paraId="0F8C183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一般工业固体废物贮存和填埋污染控制标准》（GB18599-2020）技术要求，不具备粘土类衬里防渗要求时，需采用天然或人工材料构筑防渗层。本场区尚达不到采用自然防渗的条件，必须采取人工防渗措施。因此，确定本工程场底防渗区防渗采用复合衬层系统。</w:t>
      </w:r>
    </w:p>
    <w:p w14:paraId="415107E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场底防渗材料有粘土、膨润土、人工合成防渗材料（防渗膜）等多种。其中影响粘土层防渗性能的主要因素有：塑性指数、阿太堡限度、粒径大小、密实度、粘土矿物学和变细特性等，由于目前国内较难找到符合防渗要求的粘土，废渣填埋场中较少单独采用粘土作防渗层，粘土主要与防渗膜构成复合防渗层。</w:t>
      </w:r>
    </w:p>
    <w:p w14:paraId="275F718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天然膨润土价格昂贵，也很少使用，近年来多采用人工合成膨润土毯（GCL），它比粘土具有更高的防渗性能且施工便利，价格适中，较</w:t>
      </w:r>
      <w:r>
        <w:rPr>
          <w:rFonts w:hint="eastAsia" w:cs="Times New Roman"/>
          <w:sz w:val="24"/>
          <w:szCs w:val="24"/>
          <w:highlight w:val="none"/>
          <w:lang w:val="en-US" w:eastAsia="zh-CN"/>
        </w:rPr>
        <w:t>适合</w:t>
      </w:r>
      <w:r>
        <w:rPr>
          <w:rFonts w:hint="default" w:ascii="Times New Roman" w:hAnsi="Times New Roman" w:cs="Times New Roman"/>
          <w:sz w:val="24"/>
          <w:szCs w:val="24"/>
          <w:highlight w:val="none"/>
          <w:lang w:val="en-US" w:eastAsia="zh-CN"/>
        </w:rPr>
        <w:t>与防渗膜构成复合防渗层。</w:t>
      </w:r>
    </w:p>
    <w:p w14:paraId="4820237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废渣填埋场对人工防渗材料（防渗膜）的要求较高，除应具有较小的渗透率外，还应具有足够的强度和抗蚀性。人工防渗材料合成材质一般都由自然或高分子聚合物组成，主要包括：聚氯乙烯（PVC）、高密度聚乙烯（HDPE）、线性低密度聚乙烯（LLDPE）、氯化聚乙烯（CPE）、氯化硫酸聚乙烯（CSPE）、合成橡胶、乙烯丙烯丁烯单体（EPDM）等。</w:t>
      </w:r>
    </w:p>
    <w:p w14:paraId="66850A31">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以上几种材料各有优缺点，而从综合性能上比较，高密度聚乙烯（HDPE）防渗膜是最适合应用于废渣填埋场防渗层的材质，国外人工防渗材料绝大部分采用HDPE。</w:t>
      </w:r>
    </w:p>
    <w:p w14:paraId="2452517D">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HDPE防渗膜对大部分化学品有良好的抵抗力，渗透系数很小（10</w:t>
      </w:r>
      <w:r>
        <w:rPr>
          <w:rFonts w:hint="default" w:ascii="Times New Roman" w:hAnsi="Times New Roman" w:cs="Times New Roman"/>
          <w:sz w:val="24"/>
          <w:szCs w:val="24"/>
          <w:highlight w:val="none"/>
          <w:vertAlign w:val="superscript"/>
          <w:lang w:val="en-US" w:eastAsia="zh-CN"/>
        </w:rPr>
        <w:t>-13</w:t>
      </w:r>
      <w:r>
        <w:rPr>
          <w:rFonts w:hint="default" w:ascii="Times New Roman" w:hAnsi="Times New Roman" w:cs="Times New Roman"/>
          <w:sz w:val="24"/>
          <w:szCs w:val="24"/>
          <w:highlight w:val="none"/>
          <w:lang w:val="en-US" w:eastAsia="zh-CN"/>
        </w:rPr>
        <w:t>cm/s）、强度高、容易焊接，在低温下有良好的工作性能，不易老化，使用寿命长。HDPE防渗膜的质量以及施工手段和水平，直接影响废渣填埋场的防渗效果，选择质量好的防渗膜和施工经验多的经销商，方能保证废渣填埋场的安全可靠性。场底防渗严格按照国家标准，铺设HDPE土工膜，更好地导排渗滤液。</w:t>
      </w:r>
    </w:p>
    <w:p w14:paraId="2081074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（2）防渗系统设计</w:t>
      </w:r>
    </w:p>
    <w:p w14:paraId="7381CF1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本项目废渣填埋场场底及场底边坡防渗系统设计面积为8517.8m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，设计采用600g/m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无纺土工布，土工布应具有良好的耐久性能，土工布各项性能指标均应符合国家现行相关标准的要求；设计采用1.5mmHDPE双糙面防渗膜，防渗膜的设计及施工严格按照《垃圾填埋场用高密度聚乙烯土工膜》（CJ/T234-2006）相关条文要求执行。</w:t>
      </w:r>
    </w:p>
    <w:p w14:paraId="27BE60C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场底防渗从下到上依次为：压实地基+75cm厚压实粘土+600g/m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无纺土工布+1.5mm厚双糙面HDPE土工膜+600g/m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无纺土工布。</w:t>
      </w:r>
    </w:p>
    <w:p w14:paraId="61272711">
      <w:pPr>
        <w:bidi w:val="0"/>
        <w:spacing w:line="240" w:lineRule="auto"/>
        <w:ind w:left="0" w:leftChars="0" w:firstLine="0" w:firstLineChars="0"/>
        <w:jc w:val="both"/>
        <w:rPr>
          <w:rFonts w:hint="default" w:ascii="Times New Roman" w:hAnsi="Times New Roman" w:cs="Times New Roman"/>
          <w:sz w:val="21"/>
          <w:szCs w:val="21"/>
          <w:highlight w:val="yellow"/>
          <w:lang w:val="en-US" w:eastAsia="zh-CN"/>
        </w:rPr>
      </w:pPr>
      <w:r>
        <w:rPr>
          <w:rFonts w:hint="default" w:ascii="Times New Roman" w:hAnsi="Times New Roman" w:cs="Times New Roman"/>
          <w:sz w:val="24"/>
          <w:szCs w:val="24"/>
        </w:rPr>
        <w:drawing>
          <wp:inline distT="0" distB="0" distL="114300" distR="114300">
            <wp:extent cx="2844165" cy="2339975"/>
            <wp:effectExtent l="0" t="0" r="13335" b="3175"/>
            <wp:docPr id="168" name="图片 50"/>
            <wp:cNvGraphicFramePr/>
            <a:graphic xmlns:a="http://schemas.openxmlformats.org/drawingml/2006/main">
              <a:graphicData uri="http://schemas.openxmlformats.org/drawingml/2006/picture">
                <pic:pic xmlns:pic="http://schemas.openxmlformats.org/drawingml/2006/picture">
                  <pic:nvPicPr>
                    <pic:cNvPr id="168" name="图片 50"/>
                    <pic:cNvPicPr/>
                  </pic:nvPicPr>
                  <pic:blipFill>
                    <a:blip r:embed="rId69"/>
                    <a:stretch>
                      <a:fillRect/>
                    </a:stretch>
                  </pic:blipFill>
                  <pic:spPr>
                    <a:xfrm>
                      <a:off x="0" y="0"/>
                      <a:ext cx="2844165" cy="2339975"/>
                    </a:xfrm>
                    <a:prstGeom prst="rect">
                      <a:avLst/>
                    </a:prstGeom>
                    <a:noFill/>
                    <a:ln>
                      <a:noFill/>
                    </a:ln>
                  </pic:spPr>
                </pic:pic>
              </a:graphicData>
            </a:graphic>
          </wp:inline>
        </w:drawing>
      </w:r>
      <w:r>
        <w:rPr>
          <w:rFonts w:hint="default" w:ascii="Times New Roman" w:hAnsi="Times New Roman" w:cs="Times New Roman"/>
          <w:sz w:val="21"/>
          <w:szCs w:val="21"/>
        </w:rPr>
        <w:drawing>
          <wp:inline distT="0" distB="0" distL="114300" distR="114300">
            <wp:extent cx="2844165" cy="2339975"/>
            <wp:effectExtent l="0" t="0" r="13335" b="3175"/>
            <wp:docPr id="169" name="图片 51"/>
            <wp:cNvGraphicFramePr/>
            <a:graphic xmlns:a="http://schemas.openxmlformats.org/drawingml/2006/main">
              <a:graphicData uri="http://schemas.openxmlformats.org/drawingml/2006/picture">
                <pic:pic xmlns:pic="http://schemas.openxmlformats.org/drawingml/2006/picture">
                  <pic:nvPicPr>
                    <pic:cNvPr id="169" name="图片 51"/>
                    <pic:cNvPicPr/>
                  </pic:nvPicPr>
                  <pic:blipFill>
                    <a:blip r:embed="rId70"/>
                    <a:stretch>
                      <a:fillRect/>
                    </a:stretch>
                  </pic:blipFill>
                  <pic:spPr>
                    <a:xfrm>
                      <a:off x="0" y="0"/>
                      <a:ext cx="2844165" cy="2339975"/>
                    </a:xfrm>
                    <a:prstGeom prst="rect">
                      <a:avLst/>
                    </a:prstGeom>
                    <a:noFill/>
                    <a:ln>
                      <a:noFill/>
                    </a:ln>
                  </pic:spPr>
                </pic:pic>
              </a:graphicData>
            </a:graphic>
          </wp:inline>
        </w:drawing>
      </w:r>
    </w:p>
    <w:p w14:paraId="4762640E">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图3.2-2  场底及边坡防渗系统大样图</w:t>
      </w:r>
    </w:p>
    <w:p w14:paraId="28E31141">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3、渗滤液导排工程</w:t>
      </w:r>
    </w:p>
    <w:p w14:paraId="2FD5DBC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（1）渗滤液产生情况</w:t>
      </w:r>
    </w:p>
    <w:p w14:paraId="615AB9C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废渣填埋场渗滤液主要来自外部渗入水（大气降水、地表水、地下水等），废渣自身含水很少。渗滤液的产生主要集中在废渣填埋前期（一般为废渣填埋后6个月内），后续在表面阻隔层无破损的情况下，废渣填埋场的渗滤液产生量不大，且呈逐步减少趋势，一定时间后，渗滤液的产生量会几乎为零。本项目拟建设一座有效容积为30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的渗滤液收集池，渗滤液经一体化废水处理设备处理后，采用防腐、防漏的罐车集中清运至湖南黄金天岳矿业有限公司垂拱洞尾矿库废水处理站进行处理。</w:t>
      </w:r>
    </w:p>
    <w:p w14:paraId="2E2DB2F1">
      <w:pPr>
        <w:bidi w:val="0"/>
        <w:spacing w:line="240" w:lineRule="auto"/>
        <w:ind w:left="0" w:leftChars="0" w:firstLine="0" w:firstLineChars="0"/>
        <w:jc w:val="both"/>
        <w:rPr>
          <w:rFonts w:hint="default" w:ascii="Times New Roman" w:hAnsi="Times New Roman" w:cs="Times New Roman"/>
          <w:sz w:val="21"/>
          <w:szCs w:val="21"/>
          <w:highlight w:val="yellow"/>
          <w:lang w:val="en-US" w:eastAsia="zh-CN"/>
        </w:rPr>
      </w:pPr>
      <w:r>
        <w:rPr>
          <w:rFonts w:hint="default" w:ascii="Times New Roman" w:hAnsi="Times New Roman" w:cs="Times New Roman"/>
          <w:sz w:val="24"/>
          <w:szCs w:val="24"/>
        </w:rPr>
        <w:drawing>
          <wp:inline distT="0" distB="0" distL="114300" distR="114300">
            <wp:extent cx="5755005" cy="3430270"/>
            <wp:effectExtent l="0" t="0" r="17145" b="17780"/>
            <wp:docPr id="17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2"/>
                    <pic:cNvPicPr>
                      <a:picLocks noChangeAspect="1"/>
                    </pic:cNvPicPr>
                  </pic:nvPicPr>
                  <pic:blipFill>
                    <a:blip r:embed="rId71"/>
                    <a:stretch>
                      <a:fillRect/>
                    </a:stretch>
                  </pic:blipFill>
                  <pic:spPr>
                    <a:xfrm>
                      <a:off x="0" y="0"/>
                      <a:ext cx="5755005" cy="3430270"/>
                    </a:xfrm>
                    <a:prstGeom prst="rect">
                      <a:avLst/>
                    </a:prstGeom>
                    <a:noFill/>
                    <a:ln>
                      <a:noFill/>
                    </a:ln>
                  </pic:spPr>
                </pic:pic>
              </a:graphicData>
            </a:graphic>
          </wp:inline>
        </w:drawing>
      </w:r>
    </w:p>
    <w:p w14:paraId="7C63B4F2">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图3.2-3  渗滤液收集池平面图</w:t>
      </w:r>
    </w:p>
    <w:p w14:paraId="2C27DFF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（2）渗滤液导排系统</w:t>
      </w:r>
    </w:p>
    <w:p w14:paraId="7D37C88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本项目场底防渗层能有效地隔断渗滤液对周围土壤及地下水的渗透污染，对被截断于防渗膜表面的渗滤液应尽快将其收集和移出废渣填埋场。本项目渗滤液导排系统分为导排主盲沟和支盲沟。</w:t>
      </w:r>
    </w:p>
    <w:p w14:paraId="1EFAFCE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主盲沟：在库底整形后的沟底设置1道渗滤液导排主盲沟。主盲沟底宽4.8m，高1.0m，顶宽1.8m，两侧边坡1:1.5，盲沟中设置卵石外包600g/m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无纺土工布，卵石内设1根DN300 HDPE花管。</w:t>
      </w:r>
    </w:p>
    <w:p w14:paraId="147F998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支盲沟：沿库底主盲沟与边坡坡脚之间区域设置渗滤液导排支盲沟，间距30.0m，坡降2%，主盲沟和支盲沟连接后形成网状。支盲沟为底宽3.0m，高0.75m，顶宽0.75m，两侧边坡1:1.5，盲沟中设置耐酸卵石外包200g/m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 xml:space="preserve">无纺土工布，卵石内设1根DN200 HDPE花管。 </w:t>
      </w:r>
    </w:p>
    <w:p w14:paraId="12BE9064">
      <w:pPr>
        <w:bidi w:val="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主盲沟穿坝段采用1根DN300 HDPE实壁管通过，然后输送至渗滤液收集池。</w:t>
      </w:r>
    </w:p>
    <w:p w14:paraId="4CF9A155">
      <w:pPr>
        <w:widowControl w:val="0"/>
        <w:topLinePunct w:val="0"/>
        <w:bidi w:val="0"/>
        <w:spacing w:line="240" w:lineRule="auto"/>
        <w:ind w:left="0" w:leftChars="0" w:firstLine="0" w:firstLineChars="0"/>
        <w:jc w:val="center"/>
        <w:rPr>
          <w:rFonts w:hint="default" w:ascii="Times New Roman" w:hAnsi="Times New Roman" w:cs="Times New Roman"/>
          <w:sz w:val="21"/>
          <w:szCs w:val="21"/>
          <w:highlight w:val="yellow"/>
          <w:lang w:val="en-US" w:eastAsia="zh-CN"/>
        </w:rPr>
      </w:pPr>
      <w:r>
        <w:rPr>
          <w:rFonts w:hint="default" w:ascii="Times New Roman" w:hAnsi="Times New Roman" w:cs="Times New Roman"/>
          <w:sz w:val="24"/>
          <w:szCs w:val="24"/>
        </w:rPr>
        <w:drawing>
          <wp:inline distT="0" distB="0" distL="114300" distR="114300">
            <wp:extent cx="5267325" cy="4001135"/>
            <wp:effectExtent l="0" t="0" r="9525" b="18415"/>
            <wp:docPr id="17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3"/>
                    <pic:cNvPicPr>
                      <a:picLocks noChangeAspect="1"/>
                    </pic:cNvPicPr>
                  </pic:nvPicPr>
                  <pic:blipFill>
                    <a:blip r:embed="rId72"/>
                    <a:stretch>
                      <a:fillRect/>
                    </a:stretch>
                  </pic:blipFill>
                  <pic:spPr>
                    <a:xfrm>
                      <a:off x="0" y="0"/>
                      <a:ext cx="5267325" cy="4001135"/>
                    </a:xfrm>
                    <a:prstGeom prst="rect">
                      <a:avLst/>
                    </a:prstGeom>
                    <a:noFill/>
                    <a:ln>
                      <a:noFill/>
                    </a:ln>
                  </pic:spPr>
                </pic:pic>
              </a:graphicData>
            </a:graphic>
          </wp:inline>
        </w:drawing>
      </w:r>
    </w:p>
    <w:p w14:paraId="31CB37EB">
      <w:pPr>
        <w:widowControl w:val="0"/>
        <w:topLinePunct w:val="0"/>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图3.2-4  场底渗滤液防渗结构示意图</w:t>
      </w:r>
    </w:p>
    <w:p w14:paraId="4775376D">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4、地下水导排系统</w:t>
      </w:r>
    </w:p>
    <w:p w14:paraId="51DDD62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本项目地下水导排系统分为导排主盲沟和支盲沟。</w:t>
      </w:r>
    </w:p>
    <w:p w14:paraId="2A153AD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主盲沟：在库底整形后的沟底设置1道地下水导排主盲沟。主盲沟为矩形断面，主盲沟底宽1.0m，深1.0m，盲沟中设置卵石外包600g/m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 xml:space="preserve">无纺土工布，卵石内设1根DN315 HDPE花管。 </w:t>
      </w:r>
    </w:p>
    <w:p w14:paraId="1714484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支盲沟：沿库底主盲沟与边坡坡脚之间区域设置地下水导排支盲沟，间距20.0m，主盲沟和支盲沟连接后形成网状。支盲沟矩形断面，宽1.0m，深1.0m，盲沟中设置碎石外包400g/m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 xml:space="preserve">无纺土工布，卵石内设1根DN200 HDPE花管。 </w:t>
      </w:r>
    </w:p>
    <w:p w14:paraId="2DB713D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主盲沟穿坝段采用1根DN315 HDPE实壁管通过，穿过填埋库区后排出场外。</w:t>
      </w:r>
    </w:p>
    <w:p w14:paraId="7C243FEC">
      <w:pPr>
        <w:bidi w:val="0"/>
        <w:ind w:left="0" w:leftChars="0" w:firstLine="0" w:firstLineChars="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rPr>
        <w:drawing>
          <wp:inline distT="0" distB="0" distL="114300" distR="114300">
            <wp:extent cx="5723890" cy="3208020"/>
            <wp:effectExtent l="0" t="0" r="10160" b="11430"/>
            <wp:docPr id="172" name="图片 54"/>
            <wp:cNvGraphicFramePr/>
            <a:graphic xmlns:a="http://schemas.openxmlformats.org/drawingml/2006/main">
              <a:graphicData uri="http://schemas.openxmlformats.org/drawingml/2006/picture">
                <pic:pic xmlns:pic="http://schemas.openxmlformats.org/drawingml/2006/picture">
                  <pic:nvPicPr>
                    <pic:cNvPr id="172" name="图片 54"/>
                    <pic:cNvPicPr/>
                  </pic:nvPicPr>
                  <pic:blipFill>
                    <a:blip r:embed="rId73"/>
                    <a:stretch>
                      <a:fillRect/>
                    </a:stretch>
                  </pic:blipFill>
                  <pic:spPr>
                    <a:xfrm>
                      <a:off x="0" y="0"/>
                      <a:ext cx="5723890" cy="3208020"/>
                    </a:xfrm>
                    <a:prstGeom prst="rect">
                      <a:avLst/>
                    </a:prstGeom>
                    <a:noFill/>
                    <a:ln>
                      <a:noFill/>
                    </a:ln>
                  </pic:spPr>
                </pic:pic>
              </a:graphicData>
            </a:graphic>
          </wp:inline>
        </w:drawing>
      </w:r>
    </w:p>
    <w:p w14:paraId="610C5A84">
      <w:pPr>
        <w:bidi w:val="0"/>
        <w:spacing w:line="240" w:lineRule="auto"/>
        <w:ind w:left="0" w:leftChars="0" w:firstLine="0" w:firstLineChars="0"/>
        <w:rPr>
          <w:rFonts w:hint="default" w:ascii="Times New Roman" w:hAnsi="Times New Roman" w:cs="Times New Roman"/>
          <w:sz w:val="21"/>
          <w:szCs w:val="21"/>
        </w:rPr>
      </w:pPr>
      <w:r>
        <w:rPr>
          <w:rFonts w:hint="default" w:ascii="Times New Roman" w:hAnsi="Times New Roman" w:cs="Times New Roman"/>
          <w:sz w:val="24"/>
          <w:szCs w:val="24"/>
        </w:rPr>
        <w:drawing>
          <wp:inline distT="0" distB="0" distL="114300" distR="114300">
            <wp:extent cx="5723890" cy="3302635"/>
            <wp:effectExtent l="0" t="0" r="10160" b="12065"/>
            <wp:docPr id="173" name="图片 55"/>
            <wp:cNvGraphicFramePr/>
            <a:graphic xmlns:a="http://schemas.openxmlformats.org/drawingml/2006/main">
              <a:graphicData uri="http://schemas.openxmlformats.org/drawingml/2006/picture">
                <pic:pic xmlns:pic="http://schemas.openxmlformats.org/drawingml/2006/picture">
                  <pic:nvPicPr>
                    <pic:cNvPr id="173" name="图片 55"/>
                    <pic:cNvPicPr/>
                  </pic:nvPicPr>
                  <pic:blipFill>
                    <a:blip r:embed="rId74"/>
                    <a:stretch>
                      <a:fillRect/>
                    </a:stretch>
                  </pic:blipFill>
                  <pic:spPr>
                    <a:xfrm>
                      <a:off x="0" y="0"/>
                      <a:ext cx="5723890" cy="3302635"/>
                    </a:xfrm>
                    <a:prstGeom prst="rect">
                      <a:avLst/>
                    </a:prstGeom>
                    <a:noFill/>
                    <a:ln>
                      <a:noFill/>
                    </a:ln>
                  </pic:spPr>
                </pic:pic>
              </a:graphicData>
            </a:graphic>
          </wp:inline>
        </w:drawing>
      </w:r>
    </w:p>
    <w:p w14:paraId="5CB8DA01">
      <w:pPr>
        <w:bidi w:val="0"/>
        <w:spacing w:line="240" w:lineRule="auto"/>
        <w:ind w:left="0" w:leftChars="0" w:firstLine="0" w:firstLineChars="0"/>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图3.2-5  地下水导排主盲沟及支盲沟断面图</w:t>
      </w:r>
    </w:p>
    <w:p w14:paraId="0E124921">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5、挡渣坝工程</w:t>
      </w:r>
    </w:p>
    <w:p w14:paraId="1F5B497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本项目根据更改填埋场选址地点的现场地形特点、废渣方量，填埋场设计面积为8517.35m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，需要处理的废渣总方量为55999.73m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。因废渣堆积区的废渣需清运至处置区安全填埋，考虑到场地内原始标高及废渣堆积区开挖后标高的高差，填埋场需要修建挡渣坝对其进行稳定。</w:t>
      </w:r>
    </w:p>
    <w:p w14:paraId="3C84630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1）坝型选择</w:t>
      </w:r>
    </w:p>
    <w:p w14:paraId="025159E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目前常用的挡渣坝按照结构可分为重力式挡渣坝、减力板式挡渣坝、悬臂式和扶壁式挡渣坝、锚杆挡渣坝。根据项目实施方案，综合考虑当地建筑材料的分布、储量、石料的开采成形情况、施工条件等因素，本项目的废渣填埋场新建重力式浆砌石挡渣坝对废渣进行稳定。</w:t>
      </w:r>
    </w:p>
    <w:p w14:paraId="78918C6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2）坝体结构设计</w:t>
      </w:r>
    </w:p>
    <w:p w14:paraId="14B25D32">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挡渣坝位于填埋场下游，采用M10浆砌石，顶标高185.0m，底标高180.0m，本项目设置重力式挡墙134.3m，其中H=8m，L=42.2m；H=6m，L=92.1m；上游坡比1:0.75，下游坡比1:0.2</w:t>
      </w:r>
    </w:p>
    <w:p w14:paraId="3DF4C0F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挡渣坝基础采用100mm厚M10水泥砂浆做垫层，顶部采用2cm厚M10砂浆护面，外边坡勾凸缝；挡渣坝每10m设置分缝，缝间插沥青木板，缝宽10mm；</w:t>
      </w:r>
    </w:p>
    <w:p w14:paraId="4E5E5B06">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挡渣坝背后覆30cm厚碎石层，碎石层后覆一层400g/m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土工布，并覆一层1.5mm厚土工膜隔水。土工膜埋入墙后齿墙内，齿墙深30cm，宽50cm。</w:t>
      </w:r>
    </w:p>
    <w:p w14:paraId="7EBD868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浆砌石挡渣坝应坐浆饱满，塞垫稳固；片石应采用新鲜干净岩石，抗压强度不应小于30MPa。</w:t>
      </w:r>
    </w:p>
    <w:p w14:paraId="06BA2230">
      <w:pPr>
        <w:bidi w:val="0"/>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表3.2-1 挡土墙工程量统计表</w:t>
      </w:r>
    </w:p>
    <w:tbl>
      <w:tblPr>
        <w:tblStyle w:val="111"/>
        <w:tblW w:w="504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34"/>
        <w:gridCol w:w="2022"/>
        <w:gridCol w:w="2123"/>
        <w:gridCol w:w="3807"/>
      </w:tblGrid>
      <w:tr w14:paraId="001D3A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3" w:hRule="atLeast"/>
        </w:trPr>
        <w:tc>
          <w:tcPr>
            <w:tcW w:w="671" w:type="pct"/>
            <w:tcBorders>
              <w:tl2br w:val="nil"/>
              <w:tr2bl w:val="nil"/>
            </w:tcBorders>
            <w:noWrap w:val="0"/>
            <w:vAlign w:val="center"/>
          </w:tcPr>
          <w:p w14:paraId="0F27D2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vertAlign w:val="baseline"/>
                <w:lang w:val="en-US" w:eastAsia="en-US"/>
              </w:rPr>
            </w:pPr>
            <w:r>
              <w:rPr>
                <w:rFonts w:hint="eastAsia"/>
                <w:b/>
                <w:bCs/>
                <w:color w:val="auto"/>
                <w:sz w:val="21"/>
                <w:szCs w:val="21"/>
                <w:highlight w:val="none"/>
                <w:u w:val="none"/>
                <w:vertAlign w:val="baseline"/>
                <w:lang w:val="en-US" w:eastAsia="en-US"/>
              </w:rPr>
              <w:t>序号</w:t>
            </w:r>
          </w:p>
        </w:tc>
        <w:tc>
          <w:tcPr>
            <w:tcW w:w="1100" w:type="pct"/>
            <w:tcBorders>
              <w:tl2br w:val="nil"/>
              <w:tr2bl w:val="nil"/>
            </w:tcBorders>
            <w:noWrap w:val="0"/>
            <w:vAlign w:val="center"/>
          </w:tcPr>
          <w:p w14:paraId="6EFF06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vertAlign w:val="baseline"/>
                <w:lang w:val="en-US" w:eastAsia="en-US"/>
              </w:rPr>
            </w:pPr>
            <w:r>
              <w:rPr>
                <w:rFonts w:hint="eastAsia"/>
                <w:b/>
                <w:bCs/>
                <w:color w:val="auto"/>
                <w:sz w:val="21"/>
                <w:szCs w:val="21"/>
                <w:highlight w:val="none"/>
                <w:u w:val="none"/>
                <w:vertAlign w:val="baseline"/>
                <w:lang w:val="en-US" w:eastAsia="en-US"/>
              </w:rPr>
              <w:t>分段</w:t>
            </w:r>
          </w:p>
        </w:tc>
        <w:tc>
          <w:tcPr>
            <w:tcW w:w="1155" w:type="pct"/>
            <w:tcBorders>
              <w:tl2br w:val="nil"/>
              <w:tr2bl w:val="nil"/>
            </w:tcBorders>
            <w:noWrap w:val="0"/>
            <w:vAlign w:val="center"/>
          </w:tcPr>
          <w:p w14:paraId="0AE169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en-US"/>
              </w:rPr>
              <w:t>长度</w:t>
            </w:r>
            <w:r>
              <w:rPr>
                <w:rFonts w:hint="eastAsia"/>
                <w:b/>
                <w:bCs/>
                <w:color w:val="auto"/>
                <w:sz w:val="21"/>
                <w:szCs w:val="21"/>
                <w:highlight w:val="none"/>
                <w:u w:val="none"/>
                <w:vertAlign w:val="baseline"/>
                <w:lang w:val="en-US" w:eastAsia="zh-CN"/>
              </w:rPr>
              <w:t>（</w:t>
            </w:r>
            <w:r>
              <w:rPr>
                <w:rFonts w:hint="eastAsia"/>
                <w:b/>
                <w:bCs/>
                <w:color w:val="auto"/>
                <w:sz w:val="21"/>
                <w:szCs w:val="21"/>
                <w:highlight w:val="none"/>
                <w:u w:val="none"/>
                <w:vertAlign w:val="baseline"/>
                <w:lang w:val="en-US" w:eastAsia="en-US"/>
              </w:rPr>
              <w:t>m</w:t>
            </w:r>
            <w:r>
              <w:rPr>
                <w:rFonts w:hint="eastAsia"/>
                <w:b/>
                <w:bCs/>
                <w:color w:val="auto"/>
                <w:sz w:val="21"/>
                <w:szCs w:val="21"/>
                <w:highlight w:val="none"/>
                <w:u w:val="none"/>
                <w:vertAlign w:val="baseline"/>
                <w:lang w:val="en-US" w:eastAsia="zh-CN"/>
              </w:rPr>
              <w:t>）</w:t>
            </w:r>
          </w:p>
        </w:tc>
        <w:tc>
          <w:tcPr>
            <w:tcW w:w="2071" w:type="pct"/>
            <w:tcBorders>
              <w:tl2br w:val="nil"/>
              <w:tr2bl w:val="nil"/>
            </w:tcBorders>
            <w:noWrap w:val="0"/>
            <w:vAlign w:val="center"/>
          </w:tcPr>
          <w:p w14:paraId="3BC2D5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vertAlign w:val="baseline"/>
                <w:lang w:val="en-US" w:eastAsia="en-US"/>
              </w:rPr>
            </w:pPr>
            <w:r>
              <w:rPr>
                <w:rFonts w:hint="eastAsia"/>
                <w:b/>
                <w:bCs/>
                <w:color w:val="auto"/>
                <w:sz w:val="21"/>
                <w:szCs w:val="21"/>
                <w:highlight w:val="none"/>
                <w:u w:val="none"/>
                <w:vertAlign w:val="baseline"/>
                <w:lang w:val="en-US" w:eastAsia="en-US"/>
              </w:rPr>
              <w:t>挡土墙类型</w:t>
            </w:r>
          </w:p>
        </w:tc>
      </w:tr>
      <w:tr w14:paraId="2FF18D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7" w:hRule="atLeast"/>
        </w:trPr>
        <w:tc>
          <w:tcPr>
            <w:tcW w:w="671" w:type="pct"/>
            <w:tcBorders>
              <w:tl2br w:val="nil"/>
              <w:tr2bl w:val="nil"/>
            </w:tcBorders>
            <w:noWrap w:val="0"/>
            <w:vAlign w:val="center"/>
          </w:tcPr>
          <w:p w14:paraId="7B23BF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1</w:t>
            </w:r>
          </w:p>
        </w:tc>
        <w:tc>
          <w:tcPr>
            <w:tcW w:w="1100" w:type="pct"/>
            <w:tcBorders>
              <w:tl2br w:val="nil"/>
              <w:tr2bl w:val="nil"/>
            </w:tcBorders>
            <w:noWrap w:val="0"/>
            <w:vAlign w:val="center"/>
          </w:tcPr>
          <w:p w14:paraId="43215D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A-B</w:t>
            </w:r>
          </w:p>
        </w:tc>
        <w:tc>
          <w:tcPr>
            <w:tcW w:w="1155" w:type="pct"/>
            <w:tcBorders>
              <w:tl2br w:val="nil"/>
              <w:tr2bl w:val="nil"/>
            </w:tcBorders>
            <w:noWrap w:val="0"/>
            <w:vAlign w:val="center"/>
          </w:tcPr>
          <w:p w14:paraId="1CF090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19.6</w:t>
            </w:r>
          </w:p>
        </w:tc>
        <w:tc>
          <w:tcPr>
            <w:tcW w:w="2071" w:type="pct"/>
            <w:tcBorders>
              <w:tl2br w:val="nil"/>
              <w:tr2bl w:val="nil"/>
            </w:tcBorders>
            <w:noWrap w:val="0"/>
            <w:vAlign w:val="center"/>
          </w:tcPr>
          <w:p w14:paraId="1F9B68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H=6</w:t>
            </w:r>
          </w:p>
        </w:tc>
      </w:tr>
      <w:tr w14:paraId="3D2E91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8" w:hRule="atLeast"/>
        </w:trPr>
        <w:tc>
          <w:tcPr>
            <w:tcW w:w="671" w:type="pct"/>
            <w:tcBorders>
              <w:tl2br w:val="nil"/>
              <w:tr2bl w:val="nil"/>
            </w:tcBorders>
            <w:noWrap w:val="0"/>
            <w:vAlign w:val="center"/>
          </w:tcPr>
          <w:p w14:paraId="524A26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2</w:t>
            </w:r>
          </w:p>
        </w:tc>
        <w:tc>
          <w:tcPr>
            <w:tcW w:w="1100" w:type="pct"/>
            <w:tcBorders>
              <w:tl2br w:val="nil"/>
              <w:tr2bl w:val="nil"/>
            </w:tcBorders>
            <w:noWrap w:val="0"/>
            <w:vAlign w:val="center"/>
          </w:tcPr>
          <w:p w14:paraId="232A99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B-C</w:t>
            </w:r>
          </w:p>
        </w:tc>
        <w:tc>
          <w:tcPr>
            <w:tcW w:w="1155" w:type="pct"/>
            <w:tcBorders>
              <w:tl2br w:val="nil"/>
              <w:tr2bl w:val="nil"/>
            </w:tcBorders>
            <w:noWrap w:val="0"/>
            <w:vAlign w:val="center"/>
          </w:tcPr>
          <w:p w14:paraId="5C7172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42.2</w:t>
            </w:r>
          </w:p>
        </w:tc>
        <w:tc>
          <w:tcPr>
            <w:tcW w:w="2071" w:type="pct"/>
            <w:tcBorders>
              <w:tl2br w:val="nil"/>
              <w:tr2bl w:val="nil"/>
            </w:tcBorders>
            <w:noWrap w:val="0"/>
            <w:vAlign w:val="center"/>
          </w:tcPr>
          <w:p w14:paraId="77294B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H=8</w:t>
            </w:r>
          </w:p>
        </w:tc>
      </w:tr>
      <w:tr w14:paraId="0C87CA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9" w:hRule="atLeast"/>
        </w:trPr>
        <w:tc>
          <w:tcPr>
            <w:tcW w:w="671" w:type="pct"/>
            <w:tcBorders>
              <w:tl2br w:val="nil"/>
              <w:tr2bl w:val="nil"/>
            </w:tcBorders>
            <w:noWrap w:val="0"/>
            <w:vAlign w:val="center"/>
          </w:tcPr>
          <w:p w14:paraId="117304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3</w:t>
            </w:r>
          </w:p>
        </w:tc>
        <w:tc>
          <w:tcPr>
            <w:tcW w:w="1100" w:type="pct"/>
            <w:tcBorders>
              <w:tl2br w:val="nil"/>
              <w:tr2bl w:val="nil"/>
            </w:tcBorders>
            <w:noWrap w:val="0"/>
            <w:vAlign w:val="center"/>
          </w:tcPr>
          <w:p w14:paraId="2C7964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C-D</w:t>
            </w:r>
          </w:p>
        </w:tc>
        <w:tc>
          <w:tcPr>
            <w:tcW w:w="1155" w:type="pct"/>
            <w:tcBorders>
              <w:tl2br w:val="nil"/>
              <w:tr2bl w:val="nil"/>
            </w:tcBorders>
            <w:noWrap w:val="0"/>
            <w:vAlign w:val="center"/>
          </w:tcPr>
          <w:p w14:paraId="1DCF00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18.6</w:t>
            </w:r>
          </w:p>
        </w:tc>
        <w:tc>
          <w:tcPr>
            <w:tcW w:w="2071" w:type="pct"/>
            <w:tcBorders>
              <w:tl2br w:val="nil"/>
              <w:tr2bl w:val="nil"/>
            </w:tcBorders>
            <w:noWrap w:val="0"/>
            <w:vAlign w:val="center"/>
          </w:tcPr>
          <w:p w14:paraId="58DC6C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H=6</w:t>
            </w:r>
          </w:p>
        </w:tc>
      </w:tr>
      <w:tr w14:paraId="0F3E6B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8" w:hRule="atLeast"/>
        </w:trPr>
        <w:tc>
          <w:tcPr>
            <w:tcW w:w="671" w:type="pct"/>
            <w:tcBorders>
              <w:tl2br w:val="nil"/>
              <w:tr2bl w:val="nil"/>
            </w:tcBorders>
            <w:noWrap w:val="0"/>
            <w:vAlign w:val="center"/>
          </w:tcPr>
          <w:p w14:paraId="5E3B1A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4</w:t>
            </w:r>
          </w:p>
        </w:tc>
        <w:tc>
          <w:tcPr>
            <w:tcW w:w="1100" w:type="pct"/>
            <w:tcBorders>
              <w:tl2br w:val="nil"/>
              <w:tr2bl w:val="nil"/>
            </w:tcBorders>
            <w:noWrap w:val="0"/>
            <w:vAlign w:val="center"/>
          </w:tcPr>
          <w:p w14:paraId="5D86AD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D-E</w:t>
            </w:r>
          </w:p>
        </w:tc>
        <w:tc>
          <w:tcPr>
            <w:tcW w:w="1155" w:type="pct"/>
            <w:tcBorders>
              <w:tl2br w:val="nil"/>
              <w:tr2bl w:val="nil"/>
            </w:tcBorders>
            <w:noWrap w:val="0"/>
            <w:vAlign w:val="center"/>
          </w:tcPr>
          <w:p w14:paraId="4FDC38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36.2</w:t>
            </w:r>
          </w:p>
        </w:tc>
        <w:tc>
          <w:tcPr>
            <w:tcW w:w="2071" w:type="pct"/>
            <w:tcBorders>
              <w:tl2br w:val="nil"/>
              <w:tr2bl w:val="nil"/>
            </w:tcBorders>
            <w:noWrap w:val="0"/>
            <w:vAlign w:val="center"/>
          </w:tcPr>
          <w:p w14:paraId="76FD7A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H=6</w:t>
            </w:r>
          </w:p>
        </w:tc>
      </w:tr>
      <w:tr w14:paraId="442BF70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79" w:hRule="atLeast"/>
        </w:trPr>
        <w:tc>
          <w:tcPr>
            <w:tcW w:w="671" w:type="pct"/>
            <w:tcBorders>
              <w:tl2br w:val="nil"/>
              <w:tr2bl w:val="nil"/>
            </w:tcBorders>
            <w:noWrap w:val="0"/>
            <w:vAlign w:val="center"/>
          </w:tcPr>
          <w:p w14:paraId="562A2B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5</w:t>
            </w:r>
          </w:p>
        </w:tc>
        <w:tc>
          <w:tcPr>
            <w:tcW w:w="1100" w:type="pct"/>
            <w:tcBorders>
              <w:tl2br w:val="nil"/>
              <w:tr2bl w:val="nil"/>
            </w:tcBorders>
            <w:noWrap w:val="0"/>
            <w:vAlign w:val="center"/>
          </w:tcPr>
          <w:p w14:paraId="1E485D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E-F</w:t>
            </w:r>
          </w:p>
        </w:tc>
        <w:tc>
          <w:tcPr>
            <w:tcW w:w="1155" w:type="pct"/>
            <w:tcBorders>
              <w:tl2br w:val="nil"/>
              <w:tr2bl w:val="nil"/>
            </w:tcBorders>
            <w:noWrap w:val="0"/>
            <w:vAlign w:val="center"/>
          </w:tcPr>
          <w:p w14:paraId="3F1B7B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17.7</w:t>
            </w:r>
          </w:p>
        </w:tc>
        <w:tc>
          <w:tcPr>
            <w:tcW w:w="2071" w:type="pct"/>
            <w:tcBorders>
              <w:tl2br w:val="nil"/>
              <w:tr2bl w:val="nil"/>
            </w:tcBorders>
            <w:noWrap w:val="0"/>
            <w:vAlign w:val="center"/>
          </w:tcPr>
          <w:p w14:paraId="20303E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r>
              <w:rPr>
                <w:rFonts w:hint="eastAsia"/>
                <w:color w:val="auto"/>
                <w:sz w:val="21"/>
                <w:szCs w:val="21"/>
                <w:highlight w:val="none"/>
                <w:u w:val="none"/>
                <w:vertAlign w:val="baseline"/>
                <w:lang w:val="en-US" w:eastAsia="en-US"/>
              </w:rPr>
              <w:t>H=6</w:t>
            </w:r>
          </w:p>
        </w:tc>
      </w:tr>
      <w:tr w14:paraId="40832B3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3" w:hRule="atLeast"/>
        </w:trPr>
        <w:tc>
          <w:tcPr>
            <w:tcW w:w="671" w:type="pct"/>
            <w:tcBorders>
              <w:tl2br w:val="nil"/>
              <w:tr2bl w:val="nil"/>
            </w:tcBorders>
            <w:noWrap w:val="0"/>
            <w:vAlign w:val="center"/>
          </w:tcPr>
          <w:p w14:paraId="6285DC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vertAlign w:val="baseline"/>
                <w:lang w:val="en-US" w:eastAsia="en-US"/>
              </w:rPr>
            </w:pPr>
            <w:r>
              <w:rPr>
                <w:rFonts w:hint="eastAsia"/>
                <w:b/>
                <w:bCs/>
                <w:color w:val="auto"/>
                <w:sz w:val="21"/>
                <w:szCs w:val="21"/>
                <w:highlight w:val="none"/>
                <w:u w:val="none"/>
                <w:vertAlign w:val="baseline"/>
                <w:lang w:val="en-US" w:eastAsia="en-US"/>
              </w:rPr>
              <w:t>6</w:t>
            </w:r>
          </w:p>
        </w:tc>
        <w:tc>
          <w:tcPr>
            <w:tcW w:w="1100" w:type="pct"/>
            <w:tcBorders>
              <w:tl2br w:val="nil"/>
              <w:tr2bl w:val="nil"/>
            </w:tcBorders>
            <w:noWrap w:val="0"/>
            <w:vAlign w:val="center"/>
          </w:tcPr>
          <w:p w14:paraId="4F99D2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color w:val="auto"/>
                <w:sz w:val="21"/>
                <w:szCs w:val="21"/>
                <w:highlight w:val="none"/>
                <w:u w:val="none"/>
                <w:vertAlign w:val="baseline"/>
                <w:lang w:val="en-US" w:eastAsia="zh-CN"/>
              </w:rPr>
            </w:pPr>
            <w:r>
              <w:rPr>
                <w:rFonts w:hint="eastAsia"/>
                <w:b/>
                <w:bCs/>
                <w:color w:val="auto"/>
                <w:sz w:val="21"/>
                <w:szCs w:val="21"/>
                <w:highlight w:val="none"/>
                <w:u w:val="none"/>
                <w:vertAlign w:val="baseline"/>
                <w:lang w:val="en-US" w:eastAsia="zh-CN"/>
              </w:rPr>
              <w:t>小计</w:t>
            </w:r>
          </w:p>
        </w:tc>
        <w:tc>
          <w:tcPr>
            <w:tcW w:w="1155" w:type="pct"/>
            <w:tcBorders>
              <w:tl2br w:val="nil"/>
              <w:tr2bl w:val="nil"/>
            </w:tcBorders>
            <w:noWrap w:val="0"/>
            <w:vAlign w:val="center"/>
          </w:tcPr>
          <w:p w14:paraId="0B0915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vertAlign w:val="baseline"/>
                <w:lang w:val="en-US" w:eastAsia="en-US"/>
              </w:rPr>
            </w:pPr>
            <w:r>
              <w:rPr>
                <w:rFonts w:hint="eastAsia"/>
                <w:b/>
                <w:bCs/>
                <w:color w:val="auto"/>
                <w:sz w:val="21"/>
                <w:szCs w:val="21"/>
                <w:highlight w:val="none"/>
                <w:u w:val="none"/>
                <w:vertAlign w:val="baseline"/>
                <w:lang w:val="en-US" w:eastAsia="en-US"/>
              </w:rPr>
              <w:t>134.3</w:t>
            </w:r>
          </w:p>
        </w:tc>
        <w:tc>
          <w:tcPr>
            <w:tcW w:w="2071" w:type="pct"/>
            <w:tcBorders>
              <w:tl2br w:val="nil"/>
              <w:tr2bl w:val="nil"/>
            </w:tcBorders>
            <w:noWrap w:val="0"/>
            <w:vAlign w:val="center"/>
          </w:tcPr>
          <w:p w14:paraId="6F5D29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vertAlign w:val="baseline"/>
                <w:lang w:val="en-US" w:eastAsia="en-US"/>
              </w:rPr>
            </w:pPr>
          </w:p>
        </w:tc>
      </w:tr>
    </w:tbl>
    <w:p w14:paraId="719CE37F">
      <w:pPr>
        <w:bidi w:val="0"/>
        <w:spacing w:line="240" w:lineRule="auto"/>
        <w:ind w:left="0" w:leftChars="0" w:firstLine="0" w:firstLineChars="0"/>
        <w:jc w:val="center"/>
        <w:rPr>
          <w:rFonts w:hint="eastAsia"/>
          <w:sz w:val="21"/>
          <w:szCs w:val="21"/>
          <w:highlight w:val="yellow"/>
          <w:lang w:val="en-US" w:eastAsia="zh-CN"/>
        </w:rPr>
      </w:pPr>
      <w:r>
        <w:drawing>
          <wp:inline distT="0" distB="0" distL="114300" distR="114300">
            <wp:extent cx="3895725" cy="2304415"/>
            <wp:effectExtent l="0" t="0" r="9525" b="635"/>
            <wp:docPr id="17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6"/>
                    <pic:cNvPicPr>
                      <a:picLocks noChangeAspect="1"/>
                    </pic:cNvPicPr>
                  </pic:nvPicPr>
                  <pic:blipFill>
                    <a:blip r:embed="rId75"/>
                    <a:stretch>
                      <a:fillRect/>
                    </a:stretch>
                  </pic:blipFill>
                  <pic:spPr>
                    <a:xfrm>
                      <a:off x="0" y="0"/>
                      <a:ext cx="3895725" cy="2304415"/>
                    </a:xfrm>
                    <a:prstGeom prst="rect">
                      <a:avLst/>
                    </a:prstGeom>
                    <a:noFill/>
                    <a:ln>
                      <a:noFill/>
                    </a:ln>
                  </pic:spPr>
                </pic:pic>
              </a:graphicData>
            </a:graphic>
          </wp:inline>
        </w:drawing>
      </w:r>
    </w:p>
    <w:p w14:paraId="0F3FB6D6">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图3.2-6  挡渣坝结构图</w:t>
      </w:r>
    </w:p>
    <w:p w14:paraId="19AA03CF">
      <w:pPr>
        <w:bidi w:val="0"/>
        <w:ind w:firstLine="482" w:firstLineChars="20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6、</w:t>
      </w:r>
      <w:r>
        <w:rPr>
          <w:rFonts w:hint="eastAsia" w:cs="Times New Roman"/>
          <w:b/>
          <w:bCs/>
          <w:sz w:val="24"/>
          <w:szCs w:val="24"/>
          <w:highlight w:val="none"/>
          <w:lang w:val="en-US" w:eastAsia="zh-CN"/>
        </w:rPr>
        <w:t>填埋方案</w:t>
      </w:r>
    </w:p>
    <w:p w14:paraId="5C91C9BB">
      <w:pPr>
        <w:bidi w:val="0"/>
        <w:ind w:firstLine="480" w:firstLineChars="200"/>
        <w:rPr>
          <w:rFonts w:hint="eastAsia"/>
          <w:sz w:val="24"/>
          <w:szCs w:val="24"/>
          <w:highlight w:val="none"/>
        </w:rPr>
      </w:pPr>
      <w:r>
        <w:rPr>
          <w:rFonts w:hint="eastAsia"/>
          <w:sz w:val="24"/>
          <w:szCs w:val="24"/>
          <w:highlight w:val="none"/>
        </w:rPr>
        <w:t>转运至填埋场的废渣</w:t>
      </w:r>
      <w:r>
        <w:rPr>
          <w:rFonts w:hint="eastAsia"/>
          <w:sz w:val="24"/>
          <w:szCs w:val="24"/>
          <w:highlight w:val="none"/>
          <w:lang w:eastAsia="zh-CN"/>
        </w:rPr>
        <w:t>实行</w:t>
      </w:r>
      <w:r>
        <w:rPr>
          <w:rFonts w:hint="eastAsia"/>
          <w:sz w:val="24"/>
          <w:szCs w:val="24"/>
          <w:highlight w:val="none"/>
        </w:rPr>
        <w:t>分区填埋，按统一调度卸入填埋场作业点，然后依次由机械进行摊铺、压实等作业。摊铺和压实作业要求分层进行，每层摊铺厚度为0.4~0.6m，碾压过程一般要求进行3~7个来回，压实系数应大于93%。当填埋物压实厚度达到4m时，进行覆盖，构成一个5.0m厚的填埋单元。一般以一日作业量为一个填埋单元，下雨时对已填埋区域采用0.5mm厚的HDPE膜进行临时覆盖，覆盖材料循环使用。填埋作业时，外坡面1∶1.75放坡。最终堆填达到设计填埋标高后，进行封场覆盖。</w:t>
      </w:r>
    </w:p>
    <w:p w14:paraId="499A7D49">
      <w:pPr>
        <w:bidi w:val="0"/>
        <w:ind w:firstLine="480" w:firstLineChars="200"/>
        <w:rPr>
          <w:rFonts w:hint="eastAsia"/>
          <w:sz w:val="24"/>
          <w:szCs w:val="24"/>
          <w:highlight w:val="none"/>
          <w:lang w:val="en-US" w:eastAsia="zh-CN"/>
        </w:rPr>
      </w:pPr>
      <w:r>
        <w:rPr>
          <w:rFonts w:hint="eastAsia"/>
          <w:sz w:val="24"/>
          <w:szCs w:val="24"/>
          <w:highlight w:val="none"/>
        </w:rPr>
        <w:t>工业固废填埋作业采用分层单元填埋法。作业工序为卸车、推铺、压实、覆盖，每天完成一个填埋单元。</w:t>
      </w:r>
    </w:p>
    <w:p w14:paraId="5056177F">
      <w:pPr>
        <w:bidi w:val="0"/>
        <w:rPr>
          <w:rFonts w:hint="default" w:ascii="Times New Roman" w:hAnsi="Times New Roman" w:cs="Times New Roman"/>
          <w:b/>
          <w:bCs/>
          <w:sz w:val="24"/>
          <w:szCs w:val="24"/>
          <w:highlight w:val="none"/>
          <w:lang w:val="en-US" w:eastAsia="zh-CN"/>
        </w:rPr>
      </w:pPr>
      <w:r>
        <w:rPr>
          <w:rFonts w:hint="eastAsia" w:cs="Times New Roman"/>
          <w:b/>
          <w:bCs/>
          <w:sz w:val="24"/>
          <w:szCs w:val="24"/>
          <w:highlight w:val="none"/>
          <w:lang w:val="en-US" w:eastAsia="zh-CN"/>
        </w:rPr>
        <w:t>7</w:t>
      </w:r>
      <w:r>
        <w:rPr>
          <w:rFonts w:hint="default" w:ascii="Times New Roman" w:hAnsi="Times New Roman" w:cs="Times New Roman"/>
          <w:b/>
          <w:bCs/>
          <w:sz w:val="24"/>
          <w:szCs w:val="24"/>
          <w:highlight w:val="none"/>
          <w:lang w:val="en-US" w:eastAsia="zh-CN"/>
        </w:rPr>
        <w:t>、废渣封场防渗工程</w:t>
      </w:r>
    </w:p>
    <w:p w14:paraId="013E21F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根据《平江县三阳乡万古村万古水库周边历史遗留重金属废渣污染状况调查报告》分析结果可知：废渣为第</w:t>
      </w:r>
      <w:r>
        <w:rPr>
          <w:rFonts w:hint="default" w:ascii="Times New Roman" w:hAnsi="Times New Roman" w:eastAsia="宋体" w:cs="Times New Roman"/>
          <w:sz w:val="24"/>
          <w:szCs w:val="24"/>
          <w:highlight w:val="none"/>
          <w:lang w:val="en-US" w:eastAsia="zh-CN"/>
        </w:rPr>
        <w:t>Ⅰ类</w:t>
      </w:r>
      <w:r>
        <w:rPr>
          <w:rFonts w:hint="default" w:ascii="Times New Roman" w:hAnsi="Times New Roman" w:cs="Times New Roman"/>
          <w:sz w:val="24"/>
          <w:szCs w:val="24"/>
          <w:highlight w:val="none"/>
          <w:lang w:val="en-US" w:eastAsia="zh-CN"/>
        </w:rPr>
        <w:t>一般工业固体废物</w:t>
      </w:r>
      <w:r>
        <w:rPr>
          <w:rFonts w:hint="default" w:ascii="Times New Roman" w:hAnsi="Times New Roman" w:eastAsia="宋体" w:cs="Times New Roman"/>
          <w:sz w:val="24"/>
          <w:szCs w:val="24"/>
          <w:highlight w:val="none"/>
          <w:lang w:val="en-US" w:eastAsia="zh-CN"/>
        </w:rPr>
        <w:t>和第Ⅱ</w:t>
      </w:r>
      <w:r>
        <w:rPr>
          <w:rFonts w:hint="default" w:ascii="Times New Roman" w:hAnsi="Times New Roman" w:cs="Times New Roman"/>
          <w:sz w:val="24"/>
          <w:szCs w:val="24"/>
          <w:highlight w:val="none"/>
          <w:lang w:val="en-US" w:eastAsia="zh-CN"/>
        </w:rPr>
        <w:t>类一般工业固体废物，封场严格按照《一般工业固体废物贮存和填埋污染控制标准》（GB18599-2020）的标准，铺设HDPE土工膜，更好地防止雨水渗入堆体内。</w:t>
      </w:r>
    </w:p>
    <w:p w14:paraId="5E995ABD">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一般工业固体废物贮存和填埋污染控制标准》（GB18599-2020）的要求，关闭或封场时，表面坡度一般不超过33%。标高每升高3~5m，须建造一个台阶，台阶应有不小于1m宽度、2~3%坡度和能够经受暴雨冲刷的强度。</w:t>
      </w:r>
    </w:p>
    <w:p w14:paraId="3498CD1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填埋场设计封场边坡为1∶3。从挡渣墙开始，随标高的逐渐升高，标高每升高 1m，在边坡设置平台，宽度为0.5~1m。一直达到场顶，在场顶由中间向四周保持一定的排水坡度，坡度为2%。分级平台处设排水沟，砖砌结构；坡面纵向每间隔10m设置一道排水沟，断面尺寸B×H=0.3×0.3m，排向场周锚固沟和平台底排水沟，坡度为2%，合计356m。同时，锚固沟在分级平台处设跌水台。</w:t>
      </w:r>
    </w:p>
    <w:p w14:paraId="2086193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封场覆盖系统包括顶部隔断层、表土覆盖植被等。</w:t>
      </w:r>
    </w:p>
    <w:p w14:paraId="1D3F491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在隔断层表面铺设土工复合排水网格作疏水层，地表水入渗至隔断层后，在疏水层内沿场顶坡度流进四周截洪沟。</w:t>
      </w:r>
    </w:p>
    <w:p w14:paraId="767495B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为防止雨水冲刷，表层覆盖营养土壤并铺设草皮进行绿化。绿化时应选择种植选择根系较浅、对水分等要求中等及具有较好吸附作用和抗性的植物种类。</w:t>
      </w:r>
    </w:p>
    <w:p w14:paraId="38DB19E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库顶平整后压实，自上而下布设依次为：500mm厚素土层+5mm厚复合土工排水网+1.5mm厚光面HDPE土工膜+6.3mmGCL膨润土+200g/m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轻质有纺土工布。</w:t>
      </w:r>
    </w:p>
    <w:p w14:paraId="17E7A547">
      <w:pPr>
        <w:bidi w:val="0"/>
        <w:spacing w:line="240" w:lineRule="auto"/>
        <w:ind w:left="0" w:leftChars="0" w:firstLine="0" w:firstLineChars="0"/>
        <w:jc w:val="center"/>
        <w:rPr>
          <w:rFonts w:hint="default" w:ascii="Times New Roman" w:hAnsi="Times New Roman" w:cs="Times New Roman"/>
          <w:sz w:val="21"/>
          <w:szCs w:val="21"/>
          <w:highlight w:val="yellow"/>
          <w:lang w:val="en-US" w:eastAsia="zh-CN"/>
        </w:rPr>
      </w:pPr>
      <w:r>
        <w:rPr>
          <w:rFonts w:hint="default" w:ascii="Times New Roman" w:hAnsi="Times New Roman" w:cs="Times New Roman"/>
          <w:sz w:val="24"/>
          <w:szCs w:val="24"/>
        </w:rPr>
        <w:drawing>
          <wp:inline distT="0" distB="0" distL="114300" distR="114300">
            <wp:extent cx="3882390" cy="2262505"/>
            <wp:effectExtent l="0" t="0" r="3810" b="4445"/>
            <wp:docPr id="17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7"/>
                    <pic:cNvPicPr>
                      <a:picLocks noChangeAspect="1"/>
                    </pic:cNvPicPr>
                  </pic:nvPicPr>
                  <pic:blipFill>
                    <a:blip r:embed="rId76"/>
                    <a:stretch>
                      <a:fillRect/>
                    </a:stretch>
                  </pic:blipFill>
                  <pic:spPr>
                    <a:xfrm>
                      <a:off x="0" y="0"/>
                      <a:ext cx="3882390" cy="2262505"/>
                    </a:xfrm>
                    <a:prstGeom prst="rect">
                      <a:avLst/>
                    </a:prstGeom>
                    <a:noFill/>
                    <a:ln>
                      <a:noFill/>
                    </a:ln>
                  </pic:spPr>
                </pic:pic>
              </a:graphicData>
            </a:graphic>
          </wp:inline>
        </w:drawing>
      </w:r>
    </w:p>
    <w:p w14:paraId="5414EE9E">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图3.2-7  封场结构大样图</w:t>
      </w:r>
    </w:p>
    <w:p w14:paraId="6F6037AF">
      <w:pPr>
        <w:bidi w:val="0"/>
        <w:rPr>
          <w:rFonts w:hint="default" w:ascii="Times New Roman" w:hAnsi="Times New Roman" w:cs="Times New Roman"/>
          <w:b/>
          <w:bCs/>
          <w:sz w:val="24"/>
          <w:szCs w:val="24"/>
          <w:highlight w:val="none"/>
          <w:u w:val="none"/>
          <w:lang w:val="en-US" w:eastAsia="zh-CN"/>
        </w:rPr>
      </w:pPr>
      <w:r>
        <w:rPr>
          <w:rFonts w:hint="eastAsia" w:cs="Times New Roman"/>
          <w:b/>
          <w:bCs/>
          <w:sz w:val="24"/>
          <w:szCs w:val="24"/>
          <w:highlight w:val="none"/>
          <w:u w:val="none"/>
          <w:lang w:val="en-US" w:eastAsia="zh-CN"/>
        </w:rPr>
        <w:t>8</w:t>
      </w:r>
      <w:r>
        <w:rPr>
          <w:rFonts w:hint="default" w:ascii="Times New Roman" w:hAnsi="Times New Roman" w:cs="Times New Roman"/>
          <w:b/>
          <w:bCs/>
          <w:sz w:val="24"/>
          <w:szCs w:val="24"/>
          <w:highlight w:val="none"/>
          <w:u w:val="none"/>
          <w:lang w:val="en-US" w:eastAsia="zh-CN"/>
        </w:rPr>
        <w:t>、截排水系统工程</w:t>
      </w:r>
    </w:p>
    <w:p w14:paraId="5ECF4DF6">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截排水系统工程设计包括环场排水和坡面平台排水，平台的排水通过排水沟流到截洪沟，避免了地表径流在地面的集中和流速的增加，减轻地表的水土流失。</w:t>
      </w:r>
    </w:p>
    <w:p w14:paraId="66F62C40">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（1）截洪沟</w:t>
      </w:r>
    </w:p>
    <w:p w14:paraId="14F0F102">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设置截洪沟是为了实行清污分流，将进入场地内未污染或轻微污染的地表水导出场外。本项目沿封场后的场地修建净尺寸为0.8m×0.8m，环场截水沟1403m，排水沟576m。</w:t>
      </w:r>
    </w:p>
    <w:p w14:paraId="0E2A5FB5">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截洪沟采用浆砌石结构，矩形断面，底宽0.8m，深0.8m，截洪沟侧墙及底板厚均为0.3m，左侧截洪沟分成2段，左侧截洪沟1段以不小于1.0%的坡度坡向挡渣坝，右侧截洪沟2段以不小于1.0%的坡度坡向挡渣坝。截洪沟每隔20m设置一道沉降缝，缝宽1cm，缝应通顺平整，缝内用沥青麻丝填塞。截洪沟设计洪水按P=2%（50年一遇）计算。</w:t>
      </w:r>
    </w:p>
    <w:p w14:paraId="5F7D49B2">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（2）排水沟</w:t>
      </w:r>
    </w:p>
    <w:p w14:paraId="1925CFD5">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在每级2.0m宽平台内侧施工坝坡排水沟。坝坡排水沟采用浆砌石结构，断面为矩形，尺寸为0.3m×0.3m，侧墙及底板厚均为0.2m，坝坡排水沟接入两侧环场截水沟中。</w:t>
      </w:r>
    </w:p>
    <w:p w14:paraId="489CD5AA">
      <w:pPr>
        <w:bidi w:val="0"/>
        <w:spacing w:line="240" w:lineRule="auto"/>
        <w:ind w:left="0" w:leftChars="0" w:firstLine="0" w:firstLineChars="0"/>
        <w:jc w:val="center"/>
        <w:rPr>
          <w:rFonts w:hint="default" w:ascii="Times New Roman" w:hAnsi="Times New Roman" w:cs="Times New Roman"/>
          <w:sz w:val="21"/>
          <w:szCs w:val="21"/>
          <w:highlight w:val="yellow"/>
          <w:u w:val="none"/>
          <w:lang w:val="en-US" w:eastAsia="zh-CN"/>
        </w:rPr>
      </w:pPr>
      <w:r>
        <w:rPr>
          <w:rFonts w:hint="default" w:ascii="Times New Roman" w:hAnsi="Times New Roman" w:cs="Times New Roman"/>
          <w:sz w:val="24"/>
          <w:szCs w:val="24"/>
        </w:rPr>
        <w:drawing>
          <wp:inline distT="0" distB="0" distL="114300" distR="114300">
            <wp:extent cx="4478655" cy="4192270"/>
            <wp:effectExtent l="0" t="0" r="17145" b="17780"/>
            <wp:docPr id="17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8"/>
                    <pic:cNvPicPr>
                      <a:picLocks noChangeAspect="1"/>
                    </pic:cNvPicPr>
                  </pic:nvPicPr>
                  <pic:blipFill>
                    <a:blip r:embed="rId77"/>
                    <a:stretch>
                      <a:fillRect/>
                    </a:stretch>
                  </pic:blipFill>
                  <pic:spPr>
                    <a:xfrm>
                      <a:off x="0" y="0"/>
                      <a:ext cx="4478655" cy="4192270"/>
                    </a:xfrm>
                    <a:prstGeom prst="rect">
                      <a:avLst/>
                    </a:prstGeom>
                    <a:noFill/>
                    <a:ln>
                      <a:noFill/>
                    </a:ln>
                  </pic:spPr>
                </pic:pic>
              </a:graphicData>
            </a:graphic>
          </wp:inline>
        </w:drawing>
      </w:r>
    </w:p>
    <w:p w14:paraId="28B08E8B">
      <w:pPr>
        <w:bidi w:val="0"/>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图3.2-8  截洪沟、排水沟结构图</w:t>
      </w:r>
    </w:p>
    <w:p w14:paraId="6B9770ED">
      <w:pPr>
        <w:bidi w:val="0"/>
        <w:rPr>
          <w:rFonts w:hint="default" w:ascii="Times New Roman" w:hAnsi="Times New Roman" w:cs="Times New Roman"/>
          <w:b/>
          <w:bCs/>
          <w:sz w:val="24"/>
          <w:szCs w:val="24"/>
          <w:highlight w:val="none"/>
          <w:lang w:val="en-US" w:eastAsia="zh-CN"/>
        </w:rPr>
      </w:pPr>
      <w:r>
        <w:rPr>
          <w:rFonts w:hint="eastAsia" w:cs="Times New Roman"/>
          <w:b/>
          <w:bCs/>
          <w:sz w:val="24"/>
          <w:szCs w:val="24"/>
          <w:highlight w:val="none"/>
          <w:lang w:val="en-US" w:eastAsia="zh-CN"/>
        </w:rPr>
        <w:t>9</w:t>
      </w:r>
      <w:r>
        <w:rPr>
          <w:rFonts w:hint="default" w:ascii="Times New Roman" w:hAnsi="Times New Roman" w:cs="Times New Roman"/>
          <w:b/>
          <w:bCs/>
          <w:sz w:val="24"/>
          <w:szCs w:val="24"/>
          <w:highlight w:val="none"/>
          <w:lang w:val="en-US" w:eastAsia="zh-CN"/>
        </w:rPr>
        <w:t>、生态修复工程</w:t>
      </w:r>
    </w:p>
    <w:p w14:paraId="0D210A5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（1）生态修复工程方案</w:t>
      </w:r>
    </w:p>
    <w:p w14:paraId="775AB9D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本项目废渣堆积区、临时道路、废渣填埋场封场后及取土场等都需进行植被生态绿化恢复，生态恢复面积合计约为24023.59</w:t>
      </w:r>
      <w:r>
        <w:rPr>
          <w:rFonts w:hint="default" w:ascii="Times New Roman" w:hAnsi="Times New Roman" w:cs="Times New Roman"/>
          <w:sz w:val="24"/>
          <w:szCs w:val="24"/>
          <w:highlight w:val="none"/>
        </w:rPr>
        <w:t>m</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（废渣治理区</w:t>
      </w:r>
      <w:r>
        <w:rPr>
          <w:rFonts w:hint="default" w:ascii="Times New Roman" w:hAnsi="Times New Roman" w:cs="Times New Roman"/>
          <w:sz w:val="24"/>
          <w:szCs w:val="24"/>
          <w:highlight w:val="none"/>
          <w:lang w:val="en-US" w:eastAsia="zh-CN"/>
        </w:rPr>
        <w:t>13047m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w:t>
      </w:r>
      <w:r>
        <w:rPr>
          <w:rFonts w:hint="default" w:ascii="Times New Roman" w:hAnsi="Times New Roman" w:cs="Times New Roman"/>
          <w:sz w:val="24"/>
          <w:szCs w:val="24"/>
          <w:highlight w:val="none"/>
        </w:rPr>
        <w:t>废渣填埋场</w:t>
      </w:r>
      <w:r>
        <w:rPr>
          <w:rFonts w:hint="default" w:ascii="Times New Roman" w:hAnsi="Times New Roman" w:cs="Times New Roman"/>
          <w:sz w:val="24"/>
          <w:szCs w:val="24"/>
          <w:highlight w:val="none"/>
          <w:lang w:val="en-US" w:eastAsia="zh-CN"/>
        </w:rPr>
        <w:t>8517.35</w:t>
      </w:r>
      <w:r>
        <w:rPr>
          <w:rFonts w:hint="default" w:ascii="Times New Roman" w:hAnsi="Times New Roman" w:cs="Times New Roman"/>
          <w:sz w:val="24"/>
          <w:szCs w:val="24"/>
          <w:highlight w:val="none"/>
        </w:rPr>
        <w:t>m</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、取土场</w:t>
      </w:r>
      <w:r>
        <w:rPr>
          <w:rFonts w:hint="default" w:ascii="Times New Roman" w:hAnsi="Times New Roman" w:cs="Times New Roman"/>
          <w:sz w:val="24"/>
          <w:szCs w:val="24"/>
          <w:highlight w:val="none"/>
          <w:lang w:val="en-US" w:eastAsia="zh-CN"/>
        </w:rPr>
        <w:t>2459.24</w:t>
      </w:r>
      <w:r>
        <w:rPr>
          <w:rFonts w:hint="default" w:ascii="Times New Roman" w:hAnsi="Times New Roman" w:cs="Times New Roman"/>
          <w:sz w:val="24"/>
          <w:szCs w:val="24"/>
          <w:highlight w:val="none"/>
        </w:rPr>
        <w:t>m</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。根据平江县三阳乡自然资源所出具证明《地块用地性质证明》（附件</w:t>
      </w:r>
      <w:r>
        <w:rPr>
          <w:rFonts w:hint="eastAsia" w:cs="Times New Roman"/>
          <w:sz w:val="24"/>
          <w:szCs w:val="24"/>
          <w:highlight w:val="none"/>
          <w:lang w:val="en-US" w:eastAsia="zh-CN"/>
        </w:rPr>
        <w:t>10</w:t>
      </w:r>
      <w:r>
        <w:rPr>
          <w:rFonts w:hint="default" w:ascii="Times New Roman" w:hAnsi="Times New Roman" w:cs="Times New Roman"/>
          <w:sz w:val="24"/>
          <w:szCs w:val="24"/>
          <w:highlight w:val="none"/>
          <w:lang w:val="en-US" w:eastAsia="zh-CN"/>
        </w:rPr>
        <w:t>），该项目地块后续规划为林业用地，恢复林地用途。本项目植物恢复采取恢复成林地的方案。</w:t>
      </w:r>
    </w:p>
    <w:p w14:paraId="7A171DCD">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本项目共需29866.58m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的客土，设置取土场1处，具体位置详见表3.2-2和附图</w:t>
      </w:r>
      <w:r>
        <w:rPr>
          <w:rFonts w:hint="eastAsia" w:cs="Times New Roman"/>
          <w:sz w:val="24"/>
          <w:szCs w:val="24"/>
          <w:highlight w:val="none"/>
          <w:u w:val="none"/>
          <w:lang w:val="en-US" w:eastAsia="zh-CN"/>
        </w:rPr>
        <w:t>2</w:t>
      </w:r>
      <w:r>
        <w:rPr>
          <w:rFonts w:hint="default" w:ascii="Times New Roman" w:hAnsi="Times New Roman" w:cs="Times New Roman"/>
          <w:sz w:val="24"/>
          <w:szCs w:val="24"/>
          <w:highlight w:val="none"/>
          <w:u w:val="none"/>
          <w:lang w:val="en-US" w:eastAsia="zh-CN"/>
        </w:rPr>
        <w:t>。</w:t>
      </w:r>
    </w:p>
    <w:p w14:paraId="71B19FF1">
      <w:pPr>
        <w:bidi w:val="0"/>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表3.2-2  取土场基本情况表</w:t>
      </w:r>
    </w:p>
    <w:tbl>
      <w:tblPr>
        <w:tblStyle w:val="46"/>
        <w:tblW w:w="51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133"/>
        <w:gridCol w:w="2271"/>
        <w:gridCol w:w="1192"/>
        <w:gridCol w:w="1102"/>
        <w:gridCol w:w="1066"/>
        <w:gridCol w:w="2130"/>
      </w:tblGrid>
      <w:tr w14:paraId="372FB5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291" w:type="pct"/>
            <w:noWrap w:val="0"/>
            <w:tcMar>
              <w:left w:w="28" w:type="dxa"/>
              <w:right w:w="28" w:type="dxa"/>
            </w:tcMar>
            <w:vAlign w:val="center"/>
          </w:tcPr>
          <w:p w14:paraId="19D9F7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名称</w:t>
            </w:r>
          </w:p>
        </w:tc>
        <w:tc>
          <w:tcPr>
            <w:tcW w:w="599" w:type="pct"/>
            <w:noWrap w:val="0"/>
            <w:vAlign w:val="center"/>
          </w:tcPr>
          <w:p w14:paraId="5E4A0C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服务区域</w:t>
            </w:r>
          </w:p>
        </w:tc>
        <w:tc>
          <w:tcPr>
            <w:tcW w:w="1202" w:type="pct"/>
            <w:noWrap w:val="0"/>
            <w:vAlign w:val="center"/>
          </w:tcPr>
          <w:p w14:paraId="3D5706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位置</w:t>
            </w:r>
          </w:p>
        </w:tc>
        <w:tc>
          <w:tcPr>
            <w:tcW w:w="631" w:type="pct"/>
            <w:noWrap w:val="0"/>
            <w:vAlign w:val="center"/>
          </w:tcPr>
          <w:p w14:paraId="1F9BB5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面积</w:t>
            </w:r>
          </w:p>
        </w:tc>
        <w:tc>
          <w:tcPr>
            <w:tcW w:w="583" w:type="pct"/>
            <w:noWrap w:val="0"/>
            <w:vAlign w:val="center"/>
          </w:tcPr>
          <w:p w14:paraId="7AB91C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取土深度</w:t>
            </w:r>
          </w:p>
        </w:tc>
        <w:tc>
          <w:tcPr>
            <w:tcW w:w="564" w:type="pct"/>
            <w:noWrap w:val="0"/>
            <w:vAlign w:val="center"/>
          </w:tcPr>
          <w:p w14:paraId="6D73D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取土量</w:t>
            </w:r>
          </w:p>
        </w:tc>
        <w:tc>
          <w:tcPr>
            <w:tcW w:w="1127" w:type="pct"/>
            <w:noWrap w:val="0"/>
            <w:vAlign w:val="center"/>
          </w:tcPr>
          <w:p w14:paraId="0F104A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土壤质量</w:t>
            </w:r>
          </w:p>
        </w:tc>
      </w:tr>
      <w:tr w14:paraId="3995B8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noWrap w:val="0"/>
            <w:tcMar>
              <w:left w:w="28" w:type="dxa"/>
              <w:right w:w="28" w:type="dxa"/>
            </w:tcMar>
            <w:vAlign w:val="center"/>
          </w:tcPr>
          <w:p w14:paraId="7C9D9C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取土场</w:t>
            </w:r>
          </w:p>
        </w:tc>
        <w:tc>
          <w:tcPr>
            <w:tcW w:w="599" w:type="pct"/>
            <w:noWrap w:val="0"/>
            <w:vAlign w:val="center"/>
          </w:tcPr>
          <w:p w14:paraId="27AA56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修复场地和填埋场</w:t>
            </w:r>
          </w:p>
        </w:tc>
        <w:tc>
          <w:tcPr>
            <w:tcW w:w="1202" w:type="pct"/>
            <w:noWrap w:val="0"/>
            <w:vAlign w:val="center"/>
          </w:tcPr>
          <w:p w14:paraId="18CEED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项目</w:t>
            </w:r>
            <w:r>
              <w:rPr>
                <w:rFonts w:hint="eastAsia" w:cs="Times New Roman"/>
                <w:sz w:val="21"/>
                <w:szCs w:val="21"/>
                <w:highlight w:val="none"/>
                <w:u w:val="none"/>
                <w:lang w:val="en-US" w:eastAsia="zh-CN"/>
              </w:rPr>
              <w:t>填埋场南</w:t>
            </w:r>
            <w:r>
              <w:rPr>
                <w:rFonts w:hint="eastAsia" w:ascii="Times New Roman" w:hAnsi="Times New Roman" w:cs="Times New Roman"/>
                <w:sz w:val="21"/>
                <w:szCs w:val="21"/>
                <w:highlight w:val="none"/>
                <w:u w:val="none"/>
                <w:lang w:val="en-US" w:eastAsia="zh-CN"/>
              </w:rPr>
              <w:t>侧</w:t>
            </w:r>
            <w:r>
              <w:rPr>
                <w:rFonts w:hint="eastAsia" w:cs="Times New Roman"/>
                <w:sz w:val="21"/>
                <w:szCs w:val="21"/>
                <w:highlight w:val="none"/>
                <w:u w:val="none"/>
                <w:lang w:val="en-US" w:eastAsia="zh-CN"/>
              </w:rPr>
              <w:t>12</w:t>
            </w:r>
            <w:r>
              <w:rPr>
                <w:rFonts w:hint="eastAsia" w:cs="Times New Roman"/>
                <w:color w:val="auto"/>
                <w:sz w:val="21"/>
                <w:szCs w:val="21"/>
                <w:highlight w:val="none"/>
                <w:u w:val="none"/>
                <w:lang w:val="en-US" w:eastAsia="zh-CN"/>
              </w:rPr>
              <w:t>0m</w:t>
            </w:r>
            <w:r>
              <w:rPr>
                <w:rFonts w:hint="default" w:ascii="Times New Roman" w:hAnsi="Times New Roman" w:cs="Times New Roman"/>
                <w:color w:val="auto"/>
                <w:sz w:val="21"/>
                <w:szCs w:val="21"/>
                <w:highlight w:val="none"/>
                <w:u w:val="none"/>
                <w:lang w:val="en-US" w:eastAsia="zh-CN"/>
              </w:rPr>
              <w:t>（</w:t>
            </w:r>
            <w:r>
              <w:rPr>
                <w:rFonts w:hint="eastAsia" w:ascii="Times New Roman" w:hAnsi="Times New Roman" w:cs="Times New Roman"/>
                <w:color w:val="auto"/>
                <w:sz w:val="21"/>
                <w:szCs w:val="21"/>
                <w:highlight w:val="none"/>
                <w:u w:val="none"/>
                <w:lang w:val="en-US" w:eastAsia="zh-CN"/>
              </w:rPr>
              <w:t>E</w:t>
            </w:r>
            <w:r>
              <w:rPr>
                <w:rFonts w:hint="default" w:ascii="Times New Roman" w:hAnsi="Times New Roman" w:cs="Times New Roman"/>
                <w:color w:val="auto"/>
                <w:sz w:val="21"/>
                <w:szCs w:val="21"/>
                <w:highlight w:val="none"/>
                <w:u w:val="none"/>
                <w:vertAlign w:val="baseline"/>
                <w:lang w:val="en-US" w:eastAsia="zh-CN"/>
              </w:rPr>
              <w:t>113°34′14.370″</w:t>
            </w:r>
            <w:r>
              <w:rPr>
                <w:rFonts w:hint="eastAsia" w:ascii="Times New Roman" w:hAnsi="Times New Roman" w:cs="Times New Roman"/>
                <w:color w:val="auto"/>
                <w:sz w:val="21"/>
                <w:szCs w:val="21"/>
                <w:highlight w:val="none"/>
                <w:u w:val="none"/>
                <w:lang w:val="en-US" w:eastAsia="zh-CN"/>
              </w:rPr>
              <w:t>；N</w:t>
            </w:r>
            <w:r>
              <w:rPr>
                <w:rFonts w:hint="default" w:ascii="Times New Roman" w:hAnsi="Times New Roman" w:cs="Times New Roman"/>
                <w:color w:val="auto"/>
                <w:sz w:val="21"/>
                <w:szCs w:val="21"/>
                <w:highlight w:val="none"/>
                <w:u w:val="none"/>
                <w:vertAlign w:val="baseline"/>
                <w:lang w:val="en-US" w:eastAsia="zh-CN"/>
              </w:rPr>
              <w:t>28°37′45.563″</w:t>
            </w:r>
            <w:r>
              <w:rPr>
                <w:rFonts w:hint="default" w:ascii="Times New Roman" w:hAnsi="Times New Roman" w:cs="Times New Roman"/>
                <w:color w:val="auto"/>
                <w:sz w:val="21"/>
                <w:szCs w:val="21"/>
                <w:highlight w:val="none"/>
                <w:u w:val="none"/>
                <w:lang w:val="en-US" w:eastAsia="zh-CN"/>
              </w:rPr>
              <w:t>）</w:t>
            </w:r>
          </w:p>
        </w:tc>
        <w:tc>
          <w:tcPr>
            <w:tcW w:w="631" w:type="pct"/>
            <w:noWrap w:val="0"/>
            <w:vAlign w:val="center"/>
          </w:tcPr>
          <w:p w14:paraId="6090E0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2459.24m</w:t>
            </w:r>
            <w:r>
              <w:rPr>
                <w:rFonts w:hint="eastAsia"/>
                <w:sz w:val="21"/>
                <w:szCs w:val="21"/>
                <w:highlight w:val="none"/>
                <w:u w:val="none"/>
                <w:vertAlign w:val="superscript"/>
                <w:lang w:val="en-US" w:eastAsia="zh-CN"/>
              </w:rPr>
              <w:t>2</w:t>
            </w:r>
          </w:p>
        </w:tc>
        <w:tc>
          <w:tcPr>
            <w:tcW w:w="583" w:type="pct"/>
            <w:noWrap w:val="0"/>
            <w:vAlign w:val="center"/>
          </w:tcPr>
          <w:p w14:paraId="53949D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1~4m</w:t>
            </w:r>
          </w:p>
        </w:tc>
        <w:tc>
          <w:tcPr>
            <w:tcW w:w="564" w:type="pct"/>
            <w:noWrap w:val="0"/>
            <w:vAlign w:val="center"/>
          </w:tcPr>
          <w:p w14:paraId="468508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29866.58m</w:t>
            </w:r>
            <w:r>
              <w:rPr>
                <w:rFonts w:hint="eastAsia"/>
                <w:sz w:val="21"/>
                <w:szCs w:val="21"/>
                <w:highlight w:val="none"/>
                <w:u w:val="none"/>
                <w:vertAlign w:val="superscript"/>
                <w:lang w:val="en-US" w:eastAsia="zh-CN"/>
              </w:rPr>
              <w:t>3</w:t>
            </w:r>
          </w:p>
        </w:tc>
        <w:tc>
          <w:tcPr>
            <w:tcW w:w="1127" w:type="pct"/>
            <w:noWrap w:val="0"/>
            <w:vAlign w:val="center"/>
          </w:tcPr>
          <w:p w14:paraId="3F7374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《土壤环境质量  建设用地土壤污染风险管控标准（试行）》（GB36600-2018）</w:t>
            </w:r>
          </w:p>
        </w:tc>
      </w:tr>
    </w:tbl>
    <w:p w14:paraId="207B5C55">
      <w:pPr>
        <w:bidi w:val="0"/>
        <w:rPr>
          <w:rFonts w:hint="eastAsia"/>
          <w:sz w:val="24"/>
          <w:szCs w:val="24"/>
          <w:highlight w:val="none"/>
          <w:lang w:val="en-US" w:eastAsia="zh-CN"/>
        </w:rPr>
      </w:pPr>
      <w:r>
        <w:rPr>
          <w:rFonts w:hint="eastAsia"/>
          <w:sz w:val="24"/>
          <w:szCs w:val="24"/>
          <w:highlight w:val="none"/>
          <w:lang w:val="en-US" w:eastAsia="zh-CN"/>
        </w:rPr>
        <w:t>（2）生态修复工程实施方案</w:t>
      </w:r>
    </w:p>
    <w:p w14:paraId="04655EE1">
      <w:pPr>
        <w:bidi w:val="0"/>
        <w:rPr>
          <w:rFonts w:hint="eastAsia"/>
          <w:sz w:val="24"/>
          <w:szCs w:val="24"/>
          <w:highlight w:val="none"/>
          <w:lang w:val="en-US" w:eastAsia="zh-CN"/>
        </w:rPr>
      </w:pPr>
      <w:r>
        <w:rPr>
          <w:rFonts w:hint="eastAsia"/>
          <w:sz w:val="24"/>
          <w:szCs w:val="24"/>
          <w:highlight w:val="none"/>
          <w:lang w:val="en-US" w:eastAsia="zh-CN"/>
        </w:rPr>
        <w:t>为保护土壤形成稳定的生态体系，对覆土后的取土场、废渣堆积区及废渣填埋场进行植被绿化，植被采用当地植被，适应性强，存活率高，与当地环境相适应。</w:t>
      </w:r>
    </w:p>
    <w:p w14:paraId="3A778B41">
      <w:pPr>
        <w:bidi w:val="0"/>
        <w:rPr>
          <w:rFonts w:hint="eastAsia"/>
          <w:sz w:val="24"/>
          <w:szCs w:val="24"/>
          <w:highlight w:val="none"/>
          <w:lang w:val="en-US" w:eastAsia="zh-CN"/>
        </w:rPr>
      </w:pPr>
      <w:r>
        <w:rPr>
          <w:rFonts w:hint="eastAsia"/>
          <w:sz w:val="24"/>
          <w:szCs w:val="24"/>
          <w:highlight w:val="none"/>
          <w:lang w:val="en-US" w:eastAsia="zh-CN"/>
        </w:rPr>
        <w:t>对覆土封场后的废渣填埋场进行植被恢复。根据《水土保持综合治理技术规范》，平整后应采取适当措施恢复植被，进行生态保护。黏土层上覆盖50cm厚的回填植被土层，为防止雨水冲刷。绿化时应选择种植根系较浅，对水分要求中等、耐沙，且对重金属有较好的吸收、固化、吸附、抗性作用的植被。</w:t>
      </w:r>
    </w:p>
    <w:p w14:paraId="54A09E83">
      <w:pPr>
        <w:bidi w:val="0"/>
        <w:rPr>
          <w:rFonts w:hint="eastAsia"/>
          <w:sz w:val="24"/>
          <w:szCs w:val="24"/>
          <w:highlight w:val="none"/>
          <w:lang w:val="en-US" w:eastAsia="zh-CN"/>
        </w:rPr>
      </w:pPr>
      <w:r>
        <w:rPr>
          <w:rFonts w:hint="eastAsia"/>
          <w:sz w:val="24"/>
          <w:szCs w:val="24"/>
          <w:highlight w:val="none"/>
          <w:lang w:val="en-US" w:eastAsia="zh-CN"/>
        </w:rPr>
        <w:t>根据填埋场的自然环境、气候和土壤条件，植被筛选应着眼于植被品种的近期表现，兼顾其长期优势。选择适宜生长且具有本地优势的植物，使堆场封场后能形成良好的生态环境，与周边原有自然环境相协调。</w:t>
      </w:r>
    </w:p>
    <w:p w14:paraId="6A7CAB42">
      <w:pPr>
        <w:bidi w:val="0"/>
        <w:rPr>
          <w:rFonts w:hint="eastAsia"/>
          <w:sz w:val="24"/>
          <w:szCs w:val="24"/>
          <w:highlight w:val="none"/>
          <w:lang w:val="en-US" w:eastAsia="zh-CN"/>
        </w:rPr>
      </w:pPr>
      <w:r>
        <w:rPr>
          <w:rFonts w:hint="eastAsia"/>
          <w:sz w:val="24"/>
          <w:szCs w:val="24"/>
          <w:highlight w:val="none"/>
          <w:lang w:val="en-US" w:eastAsia="zh-CN"/>
        </w:rPr>
        <w:t>1）植物的选择</w:t>
      </w:r>
    </w:p>
    <w:p w14:paraId="662AA249">
      <w:pPr>
        <w:bidi w:val="0"/>
        <w:rPr>
          <w:rFonts w:hint="eastAsia"/>
          <w:sz w:val="24"/>
          <w:szCs w:val="24"/>
          <w:highlight w:val="none"/>
          <w:lang w:val="en-US" w:eastAsia="zh-CN"/>
        </w:rPr>
      </w:pPr>
      <w:r>
        <w:rPr>
          <w:rFonts w:hint="eastAsia"/>
          <w:sz w:val="24"/>
          <w:szCs w:val="24"/>
          <w:highlight w:val="none"/>
          <w:lang w:val="en-US" w:eastAsia="zh-CN"/>
        </w:rPr>
        <w:t>根据所处区域的自然环境特点，结合植被的生物学特性和生态学特征，首选抗逆性强、耐瘠薄、抗干旱，生物量大、生长迅速、对土壤要求不高的优良乡土植被。其次考虑选择病虫害少、吸收有害气体能力强、滞滤粉尘、净化空气、吸收有毒气体的抗污染植被。考虑到植物的栽种要与周边整体环境相容、恢复土地用途，本项目废渣治理区与取土场拟采用种植玉竹灌丛、五节芒灌草丛恢复为林地，填埋场拟种植根系较浅植被，拟采用种植毛竹林、樟木林、狗牙根灌草丛等，主要植物种类有毛竹、棕榈、石楠、雾水葛、狗牙根、爵床、狗尾巴草、鸡眼草等恢复为林地，种植前后株距为2m，胸径5cm、株高2~3m。填埋场内及周边近距离禁止种植根系发达的高大乔木。</w:t>
      </w:r>
    </w:p>
    <w:p w14:paraId="1E98092D">
      <w:pPr>
        <w:bidi w:val="0"/>
        <w:rPr>
          <w:rFonts w:hint="eastAsia"/>
          <w:sz w:val="24"/>
          <w:szCs w:val="24"/>
          <w:highlight w:val="none"/>
          <w:lang w:val="en-US" w:eastAsia="zh-CN"/>
        </w:rPr>
      </w:pPr>
      <w:r>
        <w:rPr>
          <w:rFonts w:hint="eastAsia"/>
          <w:sz w:val="24"/>
          <w:szCs w:val="24"/>
          <w:highlight w:val="none"/>
          <w:lang w:val="en-US" w:eastAsia="zh-CN"/>
        </w:rPr>
        <w:t>2）技术措施</w:t>
      </w:r>
    </w:p>
    <w:p w14:paraId="3CB1F3AF">
      <w:pPr>
        <w:bidi w:val="0"/>
        <w:rPr>
          <w:rFonts w:hint="eastAsia"/>
          <w:sz w:val="24"/>
          <w:szCs w:val="24"/>
          <w:highlight w:val="none"/>
          <w:lang w:val="en-US" w:eastAsia="zh-CN"/>
        </w:rPr>
      </w:pPr>
      <w:r>
        <w:rPr>
          <w:rFonts w:hint="eastAsia"/>
          <w:sz w:val="24"/>
          <w:szCs w:val="24"/>
          <w:highlight w:val="none"/>
          <w:lang w:val="en-US" w:eastAsia="zh-CN"/>
        </w:rPr>
        <w:t>根据实际地形以及景观效益，对绿化区域进行全面绿化还绿。贫瘠土壤应施基肥，优先使用农家肥，在农家肥不能满足要求的情况下，考虑使用由10%的有机肥、20%的化肥、70%的表土均匀拌和而成的混合肥料。</w:t>
      </w:r>
    </w:p>
    <w:p w14:paraId="5C39040D">
      <w:pPr>
        <w:bidi w:val="0"/>
        <w:rPr>
          <w:rFonts w:hint="eastAsia"/>
          <w:sz w:val="24"/>
          <w:szCs w:val="24"/>
          <w:highlight w:val="none"/>
          <w:lang w:val="en-US" w:eastAsia="zh-CN"/>
        </w:rPr>
      </w:pPr>
      <w:r>
        <w:rPr>
          <w:rFonts w:hint="eastAsia"/>
          <w:sz w:val="24"/>
          <w:szCs w:val="24"/>
          <w:highlight w:val="none"/>
          <w:lang w:val="en-US" w:eastAsia="zh-CN"/>
        </w:rPr>
        <w:t>3）管理措施</w:t>
      </w:r>
    </w:p>
    <w:p w14:paraId="687BB52B">
      <w:pPr>
        <w:bidi w:val="0"/>
        <w:rPr>
          <w:rFonts w:hint="eastAsia"/>
          <w:sz w:val="24"/>
          <w:szCs w:val="24"/>
          <w:highlight w:val="none"/>
          <w:lang w:val="en-US" w:eastAsia="zh-CN"/>
        </w:rPr>
      </w:pPr>
      <w:r>
        <w:rPr>
          <w:rFonts w:hint="eastAsia"/>
          <w:sz w:val="24"/>
          <w:szCs w:val="24"/>
          <w:highlight w:val="none"/>
          <w:lang w:val="en-US" w:eastAsia="zh-CN"/>
        </w:rPr>
        <w:t>由于造林的立地条件恶劣，其栽植后的成活保养和保存保养的任务是相当大的，因此一定要做好绿化管护工作。</w:t>
      </w:r>
    </w:p>
    <w:p w14:paraId="7ED232DE">
      <w:pPr>
        <w:bidi w:val="0"/>
        <w:rPr>
          <w:rFonts w:hint="eastAsia"/>
          <w:sz w:val="24"/>
          <w:szCs w:val="24"/>
          <w:highlight w:val="none"/>
          <w:lang w:val="en-US" w:eastAsia="zh-CN"/>
        </w:rPr>
      </w:pPr>
      <w:r>
        <w:rPr>
          <w:rFonts w:hint="eastAsia"/>
          <w:sz w:val="24"/>
          <w:szCs w:val="24"/>
          <w:highlight w:val="none"/>
          <w:lang w:val="en-US" w:eastAsia="zh-CN"/>
        </w:rPr>
        <w:t>每年在植物病虫害易发季节要勤观察，坚持“预防为主”的方针。要尽量不栽或少栽易发生虫害植物，同时要定期用一定浓度的农药喷洒，预防可能发生的病虫害，但必须坚持“安全第一”的原则，一旦发生病虫害，要及时防治，并观察其发展情况，决不能任其蔓延。</w:t>
      </w:r>
    </w:p>
    <w:p w14:paraId="3618023A">
      <w:pPr>
        <w:bidi w:val="0"/>
        <w:rPr>
          <w:rFonts w:hint="default"/>
          <w:b/>
          <w:bCs/>
          <w:sz w:val="24"/>
          <w:szCs w:val="24"/>
          <w:highlight w:val="none"/>
          <w:lang w:val="en-US" w:eastAsia="zh-CN"/>
        </w:rPr>
      </w:pPr>
      <w:r>
        <w:rPr>
          <w:rFonts w:hint="eastAsia"/>
          <w:b/>
          <w:bCs/>
          <w:sz w:val="24"/>
          <w:szCs w:val="24"/>
          <w:highlight w:val="none"/>
          <w:lang w:val="en-US" w:eastAsia="zh-CN"/>
        </w:rPr>
        <w:t>10、观测系统</w:t>
      </w:r>
    </w:p>
    <w:p w14:paraId="574EDB49">
      <w:pPr>
        <w:bidi w:val="0"/>
        <w:rPr>
          <w:rFonts w:hint="default"/>
          <w:sz w:val="24"/>
          <w:szCs w:val="24"/>
          <w:highlight w:val="none"/>
          <w:lang w:val="en-US" w:eastAsia="zh-CN"/>
        </w:rPr>
      </w:pPr>
      <w:r>
        <w:rPr>
          <w:rFonts w:hint="eastAsia"/>
          <w:sz w:val="24"/>
          <w:szCs w:val="24"/>
          <w:highlight w:val="none"/>
          <w:lang w:val="en-US" w:eastAsia="zh-CN"/>
        </w:rPr>
        <w:t>（1）水质观测设施</w:t>
      </w:r>
    </w:p>
    <w:p w14:paraId="20794191">
      <w:pPr>
        <w:bidi w:val="0"/>
        <w:rPr>
          <w:rFonts w:hint="eastAsia"/>
          <w:sz w:val="24"/>
          <w:szCs w:val="24"/>
          <w:highlight w:val="none"/>
          <w:lang w:val="en-US" w:eastAsia="zh-CN"/>
        </w:rPr>
      </w:pPr>
      <w:r>
        <w:rPr>
          <w:rFonts w:hint="eastAsia"/>
          <w:sz w:val="24"/>
          <w:szCs w:val="24"/>
          <w:highlight w:val="none"/>
          <w:lang w:val="en-US" w:eastAsia="zh-CN"/>
        </w:rPr>
        <w:t>根据《平江县三阳乡万古村万古水库周边历史遗留重金属废渣整治项目详细勘察报告》，项目填埋场所在区域地下水流向大体为从西北往东南流向。根据《一般工业固体废物贮存和填埋污染控制标准》（GB18599-2020）等相关要求，结合项目废渣安全填埋场区域地下水流向、工程与环境特点，确定废渣安全填埋场监测井布置方案，现场封场后，监控系统应继续维持正常运转，直到稳定，监测井布置情况如下：</w:t>
      </w:r>
    </w:p>
    <w:p w14:paraId="7044391E">
      <w:pPr>
        <w:bidi w:val="0"/>
        <w:rPr>
          <w:rFonts w:hint="eastAsia"/>
          <w:sz w:val="24"/>
          <w:szCs w:val="24"/>
          <w:highlight w:val="none"/>
          <w:lang w:val="en-US" w:eastAsia="zh-CN"/>
        </w:rPr>
      </w:pPr>
      <w:r>
        <w:rPr>
          <w:rFonts w:hint="eastAsia"/>
          <w:sz w:val="24"/>
          <w:szCs w:val="24"/>
          <w:highlight w:val="none"/>
          <w:lang w:val="en-US" w:eastAsia="zh-CN"/>
        </w:rPr>
        <w:t>1）监测布点：</w:t>
      </w:r>
    </w:p>
    <w:p w14:paraId="60958559">
      <w:pPr>
        <w:bidi w:val="0"/>
        <w:rPr>
          <w:rFonts w:hint="eastAsia"/>
          <w:sz w:val="24"/>
          <w:szCs w:val="24"/>
          <w:highlight w:val="none"/>
          <w:lang w:val="en-US" w:eastAsia="zh-CN"/>
        </w:rPr>
      </w:pPr>
      <w:r>
        <w:rPr>
          <w:rFonts w:hint="eastAsia"/>
          <w:sz w:val="24"/>
          <w:szCs w:val="24"/>
          <w:highlight w:val="none"/>
          <w:lang w:val="en-US" w:eastAsia="zh-CN"/>
        </w:rPr>
        <w:t>本底井1口：设在填埋场的上游（北侧）1#30~50m处，用于提供未受场地影响的地下水水质数据作为对照。</w:t>
      </w:r>
    </w:p>
    <w:p w14:paraId="753200DA">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污染扩散井3口：设在填埋场的南侧（地下水下游）4#、西侧可能出现污染扩散的区域2#、3#30~50m，用于提供直接受场地影响的地下水水质数据。</w:t>
      </w:r>
    </w:p>
    <w:p w14:paraId="6F07A9F7">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污染监测井4口：设在万古村1#渣堆、2#渣堆、万古水库3A/3B渣堆区域地下水流向的下游30~50m处，用于提供场地受影响的地下水水质数据结果证明。</w:t>
      </w:r>
    </w:p>
    <w:p w14:paraId="5DE85FEE">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2）监测井构造说明：</w:t>
      </w:r>
    </w:p>
    <w:p w14:paraId="56ADC6E5">
      <w:pPr>
        <w:bidi w:val="0"/>
        <w:rPr>
          <w:rFonts w:hint="default"/>
          <w:sz w:val="24"/>
          <w:szCs w:val="24"/>
          <w:highlight w:val="none"/>
          <w:lang w:val="en-US" w:eastAsia="zh-CN"/>
        </w:rPr>
      </w:pPr>
      <w:r>
        <w:rPr>
          <w:rFonts w:hint="eastAsia"/>
          <w:sz w:val="24"/>
          <w:szCs w:val="24"/>
          <w:highlight w:val="none"/>
          <w:lang w:val="en-US" w:eastAsia="zh-CN"/>
        </w:rPr>
        <w:t>根据现场实际情况，地下水监测井一般设8眼，包括本底井1眼，污染监测井3眼，污染扩散井4眼；监测井位置应根据现场实际情况确定；监测井使用的HDPE管可以由不锈钢管代替，但不锈钢管需做加强防腐处理；监测井深度由现场抽水试验确定，确定监测井能取地下水。</w:t>
      </w:r>
    </w:p>
    <w:p w14:paraId="6A3D6114">
      <w:pPr>
        <w:bidi w:val="0"/>
        <w:spacing w:line="240" w:lineRule="auto"/>
        <w:ind w:left="0" w:leftChars="0" w:firstLine="0" w:firstLineChars="0"/>
        <w:rPr>
          <w:rFonts w:hint="eastAsia"/>
          <w:sz w:val="21"/>
          <w:szCs w:val="21"/>
          <w:highlight w:val="yellow"/>
          <w:lang w:val="en-US" w:eastAsia="zh-CN"/>
        </w:rPr>
      </w:pPr>
      <w:r>
        <w:rPr>
          <w:sz w:val="21"/>
          <w:szCs w:val="21"/>
        </w:rPr>
        <w:drawing>
          <wp:inline distT="0" distB="0" distL="114300" distR="114300">
            <wp:extent cx="5759450" cy="2963545"/>
            <wp:effectExtent l="0" t="0" r="12700" b="8255"/>
            <wp:docPr id="17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9"/>
                    <pic:cNvPicPr>
                      <a:picLocks noChangeAspect="1"/>
                    </pic:cNvPicPr>
                  </pic:nvPicPr>
                  <pic:blipFill>
                    <a:blip r:embed="rId78"/>
                    <a:stretch>
                      <a:fillRect/>
                    </a:stretch>
                  </pic:blipFill>
                  <pic:spPr>
                    <a:xfrm>
                      <a:off x="0" y="0"/>
                      <a:ext cx="5759450" cy="2963545"/>
                    </a:xfrm>
                    <a:prstGeom prst="rect">
                      <a:avLst/>
                    </a:prstGeom>
                    <a:noFill/>
                    <a:ln>
                      <a:noFill/>
                    </a:ln>
                  </pic:spPr>
                </pic:pic>
              </a:graphicData>
            </a:graphic>
          </wp:inline>
        </w:drawing>
      </w:r>
    </w:p>
    <w:p w14:paraId="5A122600">
      <w:pPr>
        <w:bidi w:val="0"/>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图3.2-9  地下水监测井结构图</w:t>
      </w:r>
    </w:p>
    <w:p w14:paraId="4C3ED9B6">
      <w:pPr>
        <w:bidi w:val="0"/>
        <w:rPr>
          <w:rFonts w:hint="eastAsia"/>
          <w:sz w:val="24"/>
          <w:szCs w:val="24"/>
          <w:lang w:val="en-US" w:eastAsia="zh-CN"/>
        </w:rPr>
      </w:pPr>
      <w:r>
        <w:rPr>
          <w:rFonts w:hint="eastAsia"/>
          <w:sz w:val="24"/>
          <w:szCs w:val="24"/>
          <w:lang w:val="en-US" w:eastAsia="zh-CN"/>
        </w:rPr>
        <w:t>（2）标识标牌</w:t>
      </w:r>
    </w:p>
    <w:p w14:paraId="4038124D">
      <w:pPr>
        <w:bidi w:val="0"/>
        <w:rPr>
          <w:rFonts w:hint="eastAsia"/>
          <w:sz w:val="24"/>
          <w:szCs w:val="24"/>
          <w:lang w:val="en-US" w:eastAsia="zh-CN"/>
        </w:rPr>
      </w:pPr>
      <w:r>
        <w:rPr>
          <w:rFonts w:hint="eastAsia"/>
          <w:sz w:val="24"/>
          <w:szCs w:val="24"/>
          <w:lang w:val="en-US" w:eastAsia="zh-CN"/>
        </w:rPr>
        <w:t>在治理工程完成后，应在原场地与填埋场入口处分别设置1个标识标牌，合计4个，标明项目名称、责任主体、工程内容及注意事项，防止对地块污染土壤的挖掘破坏。</w:t>
      </w:r>
    </w:p>
    <w:p w14:paraId="24A18DB9">
      <w:pPr>
        <w:bidi w:val="0"/>
        <w:spacing w:line="240" w:lineRule="auto"/>
        <w:ind w:left="0" w:leftChars="0" w:firstLine="0" w:firstLineChars="0"/>
        <w:jc w:val="center"/>
        <w:rPr>
          <w:rFonts w:hint="eastAsia"/>
          <w:b/>
          <w:bCs/>
          <w:sz w:val="21"/>
          <w:szCs w:val="21"/>
          <w:lang w:val="en-US" w:eastAsia="zh-CN"/>
        </w:rPr>
      </w:pPr>
      <w:r>
        <w:rPr>
          <w:sz w:val="21"/>
          <w:szCs w:val="21"/>
        </w:rPr>
        <w:drawing>
          <wp:inline distT="0" distB="0" distL="114300" distR="114300">
            <wp:extent cx="3465195" cy="2731770"/>
            <wp:effectExtent l="0" t="0" r="1905" b="11430"/>
            <wp:docPr id="17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0"/>
                    <pic:cNvPicPr>
                      <a:picLocks noChangeAspect="1"/>
                    </pic:cNvPicPr>
                  </pic:nvPicPr>
                  <pic:blipFill>
                    <a:blip r:embed="rId79"/>
                    <a:stretch>
                      <a:fillRect/>
                    </a:stretch>
                  </pic:blipFill>
                  <pic:spPr>
                    <a:xfrm>
                      <a:off x="0" y="0"/>
                      <a:ext cx="3465195" cy="2731770"/>
                    </a:xfrm>
                    <a:prstGeom prst="rect">
                      <a:avLst/>
                    </a:prstGeom>
                    <a:noFill/>
                    <a:ln>
                      <a:noFill/>
                    </a:ln>
                  </pic:spPr>
                </pic:pic>
              </a:graphicData>
            </a:graphic>
          </wp:inline>
        </w:drawing>
      </w:r>
    </w:p>
    <w:p w14:paraId="0F0D782B">
      <w:pPr>
        <w:bidi w:val="0"/>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图3.2-10  标识标牌大样图</w:t>
      </w:r>
    </w:p>
    <w:p w14:paraId="75DDDD2B">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3.2.2工艺流程及产污环节图</w:t>
      </w:r>
    </w:p>
    <w:p w14:paraId="7773BEDE">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3.2.2.1</w:t>
      </w:r>
      <w:r>
        <w:rPr>
          <w:rFonts w:hint="default" w:ascii="Times New Roman" w:hAnsi="Times New Roman" w:cs="Times New Roman"/>
          <w:sz w:val="24"/>
          <w:szCs w:val="24"/>
          <w:u w:val="none"/>
          <w:lang w:val="en-US" w:eastAsia="zh-CN"/>
        </w:rPr>
        <w:t>施工期工艺流程以及产污环节图</w:t>
      </w:r>
    </w:p>
    <w:p w14:paraId="12ABB942">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施工期工艺流程及产污环节见图3.2-11。</w:t>
      </w:r>
    </w:p>
    <w:p w14:paraId="4CF648C1">
      <w:pPr>
        <w:spacing w:line="240" w:lineRule="auto"/>
        <w:ind w:left="0" w:leftChars="0" w:firstLine="0" w:firstLineChars="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object>
          <v:shape id="_x0000_i1028" o:spt="75" type="#_x0000_t75" style="height:201.4pt;width:453.4pt;" o:ole="t" filled="f" o:preferrelative="t" stroked="f" coordsize="21600,21600">
            <v:path/>
            <v:fill on="f" focussize="0,0"/>
            <v:stroke on="f"/>
            <v:imagedata r:id="rId81" o:title=""/>
            <o:lock v:ext="edit" aspectratio="f"/>
            <w10:wrap type="none"/>
            <w10:anchorlock/>
          </v:shape>
          <o:OLEObject Type="Embed" ProgID="Visio.Drawing.15" ShapeID="_x0000_i1028" DrawAspect="Content" ObjectID="_1468075728" r:id="rId80">
            <o:LockedField>false</o:LockedField>
          </o:OLEObject>
        </w:object>
      </w:r>
    </w:p>
    <w:p w14:paraId="623A2410">
      <w:pPr>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图3.2-11  施工期工艺流程及产污环节图</w:t>
      </w:r>
    </w:p>
    <w:p w14:paraId="0322AEAB">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3.2.2.2</w:t>
      </w:r>
      <w:r>
        <w:rPr>
          <w:rFonts w:hint="default" w:ascii="Times New Roman" w:hAnsi="Times New Roman" w:cs="Times New Roman"/>
          <w:sz w:val="24"/>
          <w:szCs w:val="24"/>
          <w:u w:val="none"/>
          <w:lang w:val="en-US" w:eastAsia="zh-CN"/>
        </w:rPr>
        <w:t>封场后工艺流程以及产污环节图</w:t>
      </w:r>
    </w:p>
    <w:p w14:paraId="206B0BF7">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项目施工过程完成封场，营运期即为封场期，无废气、噪声污染源，后续需继续植被维护以及渗滤液收集、处理，封场期的工艺流程及产污环节见图3.2-12。</w:t>
      </w:r>
    </w:p>
    <w:p w14:paraId="624F184E">
      <w:pPr>
        <w:spacing w:line="240" w:lineRule="auto"/>
        <w:ind w:left="0" w:leftChars="0" w:firstLine="0" w:firstLineChars="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object>
          <v:shape id="_x0000_i1029" o:spt="75" type="#_x0000_t75" style="height:78.05pt;width:452.6pt;" o:ole="t" filled="f" o:preferrelative="t" stroked="f" coordsize="21600,21600">
            <v:path/>
            <v:fill on="f" focussize="0,0"/>
            <v:stroke on="f"/>
            <v:imagedata r:id="rId83" o:title=""/>
            <o:lock v:ext="edit" aspectratio="f"/>
            <w10:wrap type="none"/>
            <w10:anchorlock/>
          </v:shape>
          <o:OLEObject Type="Embed" ProgID="Visio.Drawing.11" ShapeID="_x0000_i1029" DrawAspect="Content" ObjectID="_1468075729" r:id="rId82">
            <o:LockedField>false</o:LockedField>
          </o:OLEObject>
        </w:object>
      </w:r>
    </w:p>
    <w:p w14:paraId="69DF54A6">
      <w:pPr>
        <w:spacing w:line="240" w:lineRule="auto"/>
        <w:ind w:left="0" w:leftChars="0" w:firstLine="0" w:firstLineChars="0"/>
        <w:jc w:val="center"/>
        <w:rPr>
          <w:rFonts w:hint="default" w:ascii="Times New Roman" w:hAnsi="Times New Roman" w:cs="Times New Roman"/>
          <w:sz w:val="21"/>
          <w:szCs w:val="21"/>
          <w:highlight w:val="yellow"/>
          <w:u w:val="none"/>
          <w:lang w:val="en-US" w:eastAsia="zh-CN"/>
        </w:rPr>
      </w:pPr>
      <w:r>
        <w:rPr>
          <w:rFonts w:hint="default" w:ascii="Times New Roman" w:hAnsi="Times New Roman" w:cs="Times New Roman"/>
          <w:b/>
          <w:bCs/>
          <w:sz w:val="21"/>
          <w:szCs w:val="21"/>
          <w:highlight w:val="none"/>
          <w:u w:val="none"/>
          <w:lang w:val="en-US" w:eastAsia="zh-CN"/>
        </w:rPr>
        <w:t>图3.2-12  封场后工艺流程及产污环节图</w:t>
      </w:r>
    </w:p>
    <w:p w14:paraId="0F97DBCF">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3.2.3施工期污染源分析</w:t>
      </w:r>
    </w:p>
    <w:p w14:paraId="198C99E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项目属于环境综合治理工程，施工期主要为填埋场建设、施工场地截排水沟建设、废渣开挖运至填埋区填埋等，施工期会产生扬尘、噪声、废水、固废等污染，对生态环境也有一定的影响。</w:t>
      </w:r>
    </w:p>
    <w:p w14:paraId="131C6A90">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3.2.3.1</w:t>
      </w:r>
      <w:r>
        <w:rPr>
          <w:rFonts w:hint="default" w:ascii="Times New Roman" w:hAnsi="Times New Roman" w:cs="Times New Roman"/>
          <w:sz w:val="24"/>
          <w:szCs w:val="24"/>
          <w:u w:val="none"/>
          <w:lang w:val="en-US" w:eastAsia="zh-CN"/>
        </w:rPr>
        <w:t>废气</w:t>
      </w:r>
    </w:p>
    <w:p w14:paraId="42816B21">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本项目填埋固废主要为金矿开采遗留重金属废渣，自然条件下不会释放废气，不考虑恶臭气体。项目废气主要为废渣清挖和填埋扬尘、装卸料扬尘、车辆运输扬尘、车辆和机械燃油尾气。</w:t>
      </w:r>
    </w:p>
    <w:p w14:paraId="007D78B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（1）装卸料扬尘</w:t>
      </w:r>
    </w:p>
    <w:p w14:paraId="3089C63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本项目废渣在装卸料过</w:t>
      </w:r>
      <w:r>
        <w:rPr>
          <w:rFonts w:hint="eastAsia" w:cs="Times New Roman"/>
          <w:sz w:val="24"/>
          <w:szCs w:val="24"/>
          <w:highlight w:val="none"/>
          <w:u w:val="none"/>
          <w:lang w:val="en-US" w:eastAsia="zh-CN"/>
        </w:rPr>
        <w:t>程中</w:t>
      </w:r>
      <w:r>
        <w:rPr>
          <w:rFonts w:hint="default" w:ascii="Times New Roman" w:hAnsi="Times New Roman" w:cs="Times New Roman"/>
          <w:sz w:val="24"/>
          <w:szCs w:val="24"/>
          <w:highlight w:val="none"/>
          <w:u w:val="none"/>
          <w:lang w:val="en-US" w:eastAsia="zh-CN"/>
        </w:rPr>
        <w:t>会产生一定的粉尘，其粉尘产生量采用参照《大气环境影响评价实用技术》（中国标准出版社，2010.9）一书中给出山西环保科研所、武汉水运工程学院提出的经验公式估算，经验公式为：</w:t>
      </w:r>
    </w:p>
    <w:p w14:paraId="319DAC86">
      <w:pPr>
        <w:bidi w:val="0"/>
        <w:ind w:left="0" w:leftChars="0" w:firstLine="0" w:firstLineChars="0"/>
        <w:jc w:val="center"/>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u w:val="none"/>
        </w:rPr>
        <w:drawing>
          <wp:inline distT="0" distB="0" distL="114300" distR="114300">
            <wp:extent cx="1295400" cy="487045"/>
            <wp:effectExtent l="0" t="0" r="0" b="8255"/>
            <wp:docPr id="17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3"/>
                    <pic:cNvPicPr>
                      <a:picLocks noChangeAspect="1"/>
                    </pic:cNvPicPr>
                  </pic:nvPicPr>
                  <pic:blipFill>
                    <a:blip r:embed="rId84">
                      <a:lum contrast="6000"/>
                    </a:blip>
                    <a:stretch>
                      <a:fillRect/>
                    </a:stretch>
                  </pic:blipFill>
                  <pic:spPr>
                    <a:xfrm>
                      <a:off x="0" y="0"/>
                      <a:ext cx="1295400" cy="487045"/>
                    </a:xfrm>
                    <a:prstGeom prst="rect">
                      <a:avLst/>
                    </a:prstGeom>
                    <a:noFill/>
                    <a:ln>
                      <a:noFill/>
                    </a:ln>
                  </pic:spPr>
                </pic:pic>
              </a:graphicData>
            </a:graphic>
          </wp:inline>
        </w:drawing>
      </w:r>
    </w:p>
    <w:p w14:paraId="01EB3BDB">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式中：Q——自卸汽车装卸料起尘量，g/次；</w:t>
      </w:r>
    </w:p>
    <w:p w14:paraId="6FF035CE">
      <w:pPr>
        <w:bidi w:val="0"/>
        <w:ind w:firstLine="1200" w:firstLineChars="50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u——平均风速，m/s，项目所在地多年平均风速为1.4m/s；</w:t>
      </w:r>
    </w:p>
    <w:p w14:paraId="5EEF2B9F">
      <w:pPr>
        <w:bidi w:val="0"/>
        <w:ind w:firstLine="1200" w:firstLineChars="50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M——汽车卸料量，t，取20t。</w:t>
      </w:r>
    </w:p>
    <w:p w14:paraId="5825E647">
      <w:pPr>
        <w:bidi w:val="0"/>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highlight w:val="none"/>
          <w:u w:val="none"/>
          <w:lang w:val="en-US" w:eastAsia="zh-CN"/>
        </w:rPr>
        <w:t>根据公式计算，装卸料扬尘产生系数为3.44g/次。废渣运输量为55999.73m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，按20t（1.8t/m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）每车，装卸次数约为5040次。覆土量为29866.58m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装卸次数约为2688次。项目填埋及覆土过程施工期为300天，每天工作时间按8h计，根据公式计算得出装卸粉尘产生量为26.584kg（产生速率为0.011kg/h）。由于项目卸料时会进行洒水降尘，根据《扬尘源颗粒物排放清单编制技术指南（试行）》中表12，通过洒水降尘后，TSP的控制效率为74%，项目装卸粉尘排放量为6.91kg（排放速率为0.00286kg/h）。</w:t>
      </w:r>
    </w:p>
    <w:p w14:paraId="7CF2028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项目废渣装卸料扬尘计算详见下表。</w:t>
      </w:r>
    </w:p>
    <w:p w14:paraId="276AC6DD">
      <w:pPr>
        <w:bidi w:val="0"/>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表3.2-3  填埋装卸产尘情况</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122"/>
        <w:gridCol w:w="1223"/>
        <w:gridCol w:w="1202"/>
        <w:gridCol w:w="1295"/>
        <w:gridCol w:w="899"/>
        <w:gridCol w:w="1713"/>
        <w:gridCol w:w="864"/>
        <w:gridCol w:w="963"/>
      </w:tblGrid>
      <w:tr w14:paraId="4C56CAA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04" w:type="pct"/>
            <w:noWrap/>
            <w:vAlign w:val="center"/>
          </w:tcPr>
          <w:p w14:paraId="0B5999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场地名称</w:t>
            </w:r>
          </w:p>
        </w:tc>
        <w:tc>
          <w:tcPr>
            <w:tcW w:w="658" w:type="pct"/>
            <w:noWrap w:val="0"/>
            <w:vAlign w:val="center"/>
          </w:tcPr>
          <w:p w14:paraId="640738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运输量（m</w:t>
            </w:r>
            <w:r>
              <w:rPr>
                <w:rFonts w:hint="eastAsia"/>
                <w:b/>
                <w:bCs/>
                <w:sz w:val="21"/>
                <w:szCs w:val="21"/>
                <w:highlight w:val="none"/>
                <w:u w:val="none"/>
                <w:vertAlign w:val="superscript"/>
                <w:lang w:val="en-US" w:eastAsia="zh-CN"/>
              </w:rPr>
              <w:t>3</w:t>
            </w:r>
            <w:r>
              <w:rPr>
                <w:rFonts w:hint="eastAsia"/>
                <w:b/>
                <w:bCs/>
                <w:sz w:val="21"/>
                <w:szCs w:val="21"/>
                <w:highlight w:val="none"/>
                <w:u w:val="none"/>
                <w:lang w:val="en-US" w:eastAsia="zh-CN"/>
              </w:rPr>
              <w:t>）</w:t>
            </w:r>
          </w:p>
        </w:tc>
        <w:tc>
          <w:tcPr>
            <w:tcW w:w="647" w:type="pct"/>
            <w:noWrap w:val="0"/>
            <w:vAlign w:val="center"/>
          </w:tcPr>
          <w:p w14:paraId="2EDFE2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产生系数</w:t>
            </w:r>
          </w:p>
          <w:p w14:paraId="4BF6ED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（g/次）</w:t>
            </w:r>
          </w:p>
        </w:tc>
        <w:tc>
          <w:tcPr>
            <w:tcW w:w="697" w:type="pct"/>
            <w:noWrap w:val="0"/>
            <w:vAlign w:val="center"/>
          </w:tcPr>
          <w:p w14:paraId="7DA4CD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卸货次数</w:t>
            </w:r>
          </w:p>
        </w:tc>
        <w:tc>
          <w:tcPr>
            <w:tcW w:w="484" w:type="pct"/>
            <w:noWrap w:val="0"/>
            <w:vAlign w:val="center"/>
          </w:tcPr>
          <w:p w14:paraId="384A3A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产生量（kg）</w:t>
            </w:r>
          </w:p>
        </w:tc>
        <w:tc>
          <w:tcPr>
            <w:tcW w:w="922" w:type="pct"/>
            <w:noWrap w:val="0"/>
            <w:vAlign w:val="center"/>
          </w:tcPr>
          <w:p w14:paraId="533489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防治措施及效率</w:t>
            </w:r>
          </w:p>
        </w:tc>
        <w:tc>
          <w:tcPr>
            <w:tcW w:w="465" w:type="pct"/>
            <w:noWrap w:val="0"/>
            <w:vAlign w:val="center"/>
          </w:tcPr>
          <w:p w14:paraId="34E42A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排放量（kg）</w:t>
            </w:r>
          </w:p>
        </w:tc>
        <w:tc>
          <w:tcPr>
            <w:tcW w:w="518" w:type="pct"/>
            <w:noWrap w:val="0"/>
            <w:vAlign w:val="center"/>
          </w:tcPr>
          <w:p w14:paraId="7F1FD4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排放</w:t>
            </w:r>
          </w:p>
          <w:p w14:paraId="3889F9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lang w:val="en-US" w:eastAsia="zh-CN"/>
              </w:rPr>
            </w:pPr>
            <w:r>
              <w:rPr>
                <w:rFonts w:hint="eastAsia"/>
                <w:b/>
                <w:bCs/>
                <w:sz w:val="21"/>
                <w:szCs w:val="21"/>
                <w:highlight w:val="none"/>
                <w:u w:val="none"/>
                <w:lang w:val="en-US" w:eastAsia="zh-CN"/>
              </w:rPr>
              <w:t>方式</w:t>
            </w:r>
          </w:p>
        </w:tc>
      </w:tr>
      <w:tr w14:paraId="5715E73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604" w:type="pct"/>
            <w:noWrap w:val="0"/>
            <w:vAlign w:val="center"/>
          </w:tcPr>
          <w:p w14:paraId="618AE8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填埋区</w:t>
            </w:r>
          </w:p>
        </w:tc>
        <w:tc>
          <w:tcPr>
            <w:tcW w:w="658" w:type="pct"/>
            <w:noWrap w:val="0"/>
            <w:vAlign w:val="center"/>
          </w:tcPr>
          <w:p w14:paraId="4D8372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85866.31</w:t>
            </w:r>
          </w:p>
        </w:tc>
        <w:tc>
          <w:tcPr>
            <w:tcW w:w="647" w:type="pct"/>
            <w:noWrap w:val="0"/>
            <w:vAlign w:val="center"/>
          </w:tcPr>
          <w:p w14:paraId="7FA0DB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3.44</w:t>
            </w:r>
          </w:p>
        </w:tc>
        <w:tc>
          <w:tcPr>
            <w:tcW w:w="697" w:type="pct"/>
            <w:noWrap w:val="0"/>
            <w:vAlign w:val="center"/>
          </w:tcPr>
          <w:p w14:paraId="6D5A54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7728</w:t>
            </w:r>
          </w:p>
        </w:tc>
        <w:tc>
          <w:tcPr>
            <w:tcW w:w="484" w:type="pct"/>
            <w:noWrap w:val="0"/>
            <w:vAlign w:val="center"/>
          </w:tcPr>
          <w:p w14:paraId="1D3AED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26.584</w:t>
            </w:r>
          </w:p>
        </w:tc>
        <w:tc>
          <w:tcPr>
            <w:tcW w:w="922" w:type="pct"/>
            <w:noWrap w:val="0"/>
            <w:vAlign w:val="center"/>
          </w:tcPr>
          <w:p w14:paraId="4B57AD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洒水抑尘74%</w:t>
            </w:r>
          </w:p>
        </w:tc>
        <w:tc>
          <w:tcPr>
            <w:tcW w:w="465" w:type="pct"/>
            <w:noWrap w:val="0"/>
            <w:vAlign w:val="center"/>
          </w:tcPr>
          <w:p w14:paraId="12E8F4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6.91</w:t>
            </w:r>
          </w:p>
        </w:tc>
        <w:tc>
          <w:tcPr>
            <w:tcW w:w="518" w:type="pct"/>
            <w:noWrap w:val="0"/>
            <w:vAlign w:val="center"/>
          </w:tcPr>
          <w:p w14:paraId="6B82FB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无组织排放</w:t>
            </w:r>
          </w:p>
        </w:tc>
      </w:tr>
    </w:tbl>
    <w:p w14:paraId="291BB985">
      <w:pPr>
        <w:bidi w:val="0"/>
        <w:rPr>
          <w:rFonts w:hint="eastAsia"/>
          <w:sz w:val="24"/>
          <w:szCs w:val="24"/>
          <w:highlight w:val="none"/>
          <w:u w:val="none"/>
          <w:lang w:val="en-US" w:eastAsia="zh-CN"/>
        </w:rPr>
      </w:pPr>
      <w:r>
        <w:rPr>
          <w:rFonts w:hint="eastAsia"/>
          <w:sz w:val="24"/>
          <w:szCs w:val="24"/>
          <w:highlight w:val="none"/>
          <w:u w:val="none"/>
          <w:lang w:val="en-US" w:eastAsia="zh-CN"/>
        </w:rPr>
        <w:t>（2）废渣开挖及填埋摊铺等作业扬尘</w:t>
      </w:r>
    </w:p>
    <w:p w14:paraId="681D7153">
      <w:pPr>
        <w:bidi w:val="0"/>
        <w:rPr>
          <w:rFonts w:hint="eastAsia"/>
          <w:sz w:val="24"/>
          <w:szCs w:val="24"/>
          <w:highlight w:val="none"/>
          <w:u w:val="none"/>
          <w:lang w:val="en-US" w:eastAsia="zh-CN"/>
        </w:rPr>
      </w:pPr>
      <w:r>
        <w:rPr>
          <w:rFonts w:hint="eastAsia"/>
          <w:sz w:val="24"/>
          <w:szCs w:val="24"/>
          <w:highlight w:val="none"/>
          <w:u w:val="none"/>
          <w:lang w:val="en-US" w:eastAsia="zh-CN"/>
        </w:rPr>
        <w:t>废渣开挖及填埋场采用分层摊铺、往返碾压、分单元覆土的作业方式，渣场清渣、土地平整以及填埋作业过程中会有扬尘产生。根据施工方案，同时作业扰动面积约为300m</w:t>
      </w:r>
      <w:r>
        <w:rPr>
          <w:rFonts w:hint="eastAsia"/>
          <w:sz w:val="24"/>
          <w:szCs w:val="24"/>
          <w:highlight w:val="none"/>
          <w:u w:val="none"/>
          <w:vertAlign w:val="superscript"/>
          <w:lang w:val="en-US" w:eastAsia="zh-CN"/>
        </w:rPr>
        <w:t>2</w:t>
      </w:r>
      <w:r>
        <w:rPr>
          <w:rFonts w:hint="eastAsia"/>
          <w:sz w:val="24"/>
          <w:szCs w:val="24"/>
          <w:highlight w:val="none"/>
          <w:u w:val="none"/>
          <w:lang w:val="en-US" w:eastAsia="zh-CN"/>
        </w:rPr>
        <w:t>。扬尘排放量按照西安冶金建筑学院起尘量推荐公式计算：</w:t>
      </w:r>
    </w:p>
    <w:p w14:paraId="793FA0DE">
      <w:pPr>
        <w:bidi w:val="0"/>
        <w:ind w:left="0" w:leftChars="0" w:firstLine="0" w:firstLineChars="0"/>
        <w:jc w:val="center"/>
        <w:rPr>
          <w:rFonts w:hint="eastAsia"/>
          <w:sz w:val="24"/>
          <w:szCs w:val="24"/>
          <w:highlight w:val="yellow"/>
          <w:u w:val="none"/>
          <w:lang w:val="en-US" w:eastAsia="zh-CN"/>
        </w:rPr>
      </w:pPr>
      <w:r>
        <w:rPr>
          <w:rFonts w:hint="eastAsia"/>
          <w:sz w:val="24"/>
          <w:szCs w:val="24"/>
          <w:highlight w:val="none"/>
          <w:u w:val="none"/>
          <w:lang w:val="en-US" w:eastAsia="zh-CN"/>
        </w:rPr>
        <w:drawing>
          <wp:inline distT="0" distB="0" distL="114300" distR="114300">
            <wp:extent cx="1990725" cy="363220"/>
            <wp:effectExtent l="0" t="0" r="9525" b="17780"/>
            <wp:docPr id="18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4"/>
                    <pic:cNvPicPr>
                      <a:picLocks noChangeAspect="1"/>
                    </pic:cNvPicPr>
                  </pic:nvPicPr>
                  <pic:blipFill>
                    <a:blip r:embed="rId85">
                      <a:lum contrast="6000"/>
                    </a:blip>
                    <a:stretch>
                      <a:fillRect/>
                    </a:stretch>
                  </pic:blipFill>
                  <pic:spPr>
                    <a:xfrm>
                      <a:off x="0" y="0"/>
                      <a:ext cx="1990725" cy="363220"/>
                    </a:xfrm>
                    <a:prstGeom prst="rect">
                      <a:avLst/>
                    </a:prstGeom>
                    <a:noFill/>
                    <a:ln>
                      <a:noFill/>
                    </a:ln>
                  </pic:spPr>
                </pic:pic>
              </a:graphicData>
            </a:graphic>
          </wp:inline>
        </w:drawing>
      </w:r>
    </w:p>
    <w:p w14:paraId="1C7FC344">
      <w:pPr>
        <w:bidi w:val="0"/>
        <w:rPr>
          <w:rFonts w:hint="eastAsia"/>
          <w:sz w:val="24"/>
          <w:szCs w:val="24"/>
          <w:highlight w:val="none"/>
          <w:u w:val="none"/>
          <w:lang w:val="en-US" w:eastAsia="zh-CN"/>
        </w:rPr>
      </w:pPr>
      <w:r>
        <w:rPr>
          <w:rFonts w:hint="eastAsia"/>
          <w:sz w:val="24"/>
          <w:szCs w:val="24"/>
          <w:highlight w:val="none"/>
          <w:u w:val="none"/>
          <w:lang w:val="en-US" w:eastAsia="zh-CN"/>
        </w:rPr>
        <w:t>式中：Q——起尘量，mg/s；</w:t>
      </w:r>
    </w:p>
    <w:p w14:paraId="4CDAACA8">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U——平均风速，m/s，项目所在地多年平均风速为1.4m/s；</w:t>
      </w:r>
    </w:p>
    <w:p w14:paraId="35C8A46A">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A</w:t>
      </w:r>
      <w:r>
        <w:rPr>
          <w:rFonts w:hint="eastAsia"/>
          <w:sz w:val="24"/>
          <w:szCs w:val="24"/>
          <w:highlight w:val="none"/>
          <w:u w:val="none"/>
          <w:vertAlign w:val="subscript"/>
          <w:lang w:val="en-US" w:eastAsia="zh-CN"/>
        </w:rPr>
        <w:t>P</w:t>
      </w:r>
      <w:r>
        <w:rPr>
          <w:rFonts w:hint="eastAsia"/>
          <w:sz w:val="24"/>
          <w:szCs w:val="24"/>
          <w:highlight w:val="none"/>
          <w:u w:val="none"/>
          <w:lang w:val="en-US" w:eastAsia="zh-CN"/>
        </w:rPr>
        <w:t>——起尘面积，m</w:t>
      </w:r>
      <w:r>
        <w:rPr>
          <w:rFonts w:hint="eastAsia"/>
          <w:sz w:val="24"/>
          <w:szCs w:val="24"/>
          <w:highlight w:val="none"/>
          <w:u w:val="none"/>
          <w:vertAlign w:val="superscript"/>
          <w:lang w:val="en-US" w:eastAsia="zh-CN"/>
        </w:rPr>
        <w:t>2</w:t>
      </w:r>
      <w:r>
        <w:rPr>
          <w:rFonts w:hint="eastAsia"/>
          <w:sz w:val="24"/>
          <w:szCs w:val="24"/>
          <w:highlight w:val="none"/>
          <w:u w:val="none"/>
          <w:lang w:val="en-US" w:eastAsia="zh-CN"/>
        </w:rPr>
        <w:t>。</w:t>
      </w:r>
    </w:p>
    <w:p w14:paraId="59B468A1">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根据公式计算，开挖等作业扬尘产生系数为0.66mg/s，项目填埋过程施工期为300天，每天工作时间按8h计，项目产生系数为0.0024kg/h，作业扬尘为5.70kg。</w:t>
      </w:r>
    </w:p>
    <w:p w14:paraId="2812EB7C">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根据《扬尘源颗粒物排放清单编制技术指南（试行）》表12，通过洒水降尘后，TSP的控制效率为74%，项目作业扬尘排放量为0.89kg（排放速率0.0006kg/h）。</w:t>
      </w:r>
    </w:p>
    <w:p w14:paraId="3D0FB2BC">
      <w:pPr>
        <w:keepNext w:val="0"/>
        <w:keepLines w:val="0"/>
        <w:pageBreakBefore w:val="0"/>
        <w:widowControl w:val="0"/>
        <w:tabs>
          <w:tab w:val="center" w:pos="4508"/>
        </w:tabs>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项目开挖等作业扬尘计算详见下表。</w:t>
      </w:r>
    </w:p>
    <w:p w14:paraId="454EEF65">
      <w:pPr>
        <w:bidi w:val="0"/>
        <w:spacing w:line="24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表3.2-4  开挖等作业扬尘产排情况</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1206"/>
        <w:gridCol w:w="1458"/>
        <w:gridCol w:w="977"/>
        <w:gridCol w:w="1726"/>
        <w:gridCol w:w="1027"/>
        <w:gridCol w:w="1358"/>
      </w:tblGrid>
      <w:tr w14:paraId="4F3B5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pct"/>
            <w:noWrap/>
            <w:vAlign w:val="center"/>
          </w:tcPr>
          <w:p w14:paraId="0202E5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产生环节</w:t>
            </w:r>
          </w:p>
        </w:tc>
        <w:tc>
          <w:tcPr>
            <w:tcW w:w="649" w:type="pct"/>
            <w:noWrap w:val="0"/>
            <w:vAlign w:val="center"/>
          </w:tcPr>
          <w:p w14:paraId="41A5E0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作业面积（m</w:t>
            </w:r>
            <w:r>
              <w:rPr>
                <w:rFonts w:hint="eastAsia"/>
                <w:b/>
                <w:bCs/>
                <w:sz w:val="21"/>
                <w:szCs w:val="21"/>
                <w:highlight w:val="none"/>
                <w:u w:val="none"/>
                <w:vertAlign w:val="superscript"/>
                <w:lang w:val="en-US" w:eastAsia="zh-CN"/>
              </w:rPr>
              <w:t>2</w:t>
            </w:r>
            <w:r>
              <w:rPr>
                <w:rFonts w:hint="eastAsia"/>
                <w:b/>
                <w:bCs/>
                <w:sz w:val="21"/>
                <w:szCs w:val="21"/>
                <w:highlight w:val="none"/>
                <w:u w:val="none"/>
                <w:lang w:val="en-US" w:eastAsia="zh-CN"/>
              </w:rPr>
              <w:t>）</w:t>
            </w:r>
          </w:p>
        </w:tc>
        <w:tc>
          <w:tcPr>
            <w:tcW w:w="785" w:type="pct"/>
            <w:noWrap w:val="0"/>
            <w:vAlign w:val="center"/>
          </w:tcPr>
          <w:p w14:paraId="3F7E9F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产生系数（mg/s）</w:t>
            </w:r>
          </w:p>
        </w:tc>
        <w:tc>
          <w:tcPr>
            <w:tcW w:w="526" w:type="pct"/>
            <w:noWrap w:val="0"/>
            <w:vAlign w:val="center"/>
          </w:tcPr>
          <w:p w14:paraId="5294DA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产生量（kg）</w:t>
            </w:r>
          </w:p>
        </w:tc>
        <w:tc>
          <w:tcPr>
            <w:tcW w:w="929" w:type="pct"/>
            <w:noWrap w:val="0"/>
            <w:vAlign w:val="center"/>
          </w:tcPr>
          <w:p w14:paraId="3C91F1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防治措施及效率</w:t>
            </w:r>
          </w:p>
        </w:tc>
        <w:tc>
          <w:tcPr>
            <w:tcW w:w="553" w:type="pct"/>
            <w:noWrap w:val="0"/>
            <w:vAlign w:val="center"/>
          </w:tcPr>
          <w:p w14:paraId="388A0A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排放量（kg）</w:t>
            </w:r>
          </w:p>
        </w:tc>
        <w:tc>
          <w:tcPr>
            <w:tcW w:w="731" w:type="pct"/>
            <w:noWrap w:val="0"/>
            <w:vAlign w:val="center"/>
          </w:tcPr>
          <w:p w14:paraId="54F013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lang w:val="en-US" w:eastAsia="zh-CN"/>
              </w:rPr>
            </w:pPr>
            <w:r>
              <w:rPr>
                <w:rFonts w:hint="eastAsia"/>
                <w:b/>
                <w:bCs/>
                <w:sz w:val="21"/>
                <w:szCs w:val="21"/>
                <w:highlight w:val="none"/>
                <w:u w:val="none"/>
                <w:lang w:val="en-US" w:eastAsia="zh-CN"/>
              </w:rPr>
              <w:t>排放方式</w:t>
            </w:r>
          </w:p>
        </w:tc>
      </w:tr>
      <w:tr w14:paraId="48F819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pct"/>
            <w:noWrap w:val="0"/>
            <w:vAlign w:val="center"/>
          </w:tcPr>
          <w:p w14:paraId="791C35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废渣开挖及填埋摊铺</w:t>
            </w:r>
          </w:p>
        </w:tc>
        <w:tc>
          <w:tcPr>
            <w:tcW w:w="649" w:type="pct"/>
            <w:noWrap w:val="0"/>
            <w:vAlign w:val="center"/>
          </w:tcPr>
          <w:p w14:paraId="1A9B1D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300</w:t>
            </w:r>
          </w:p>
        </w:tc>
        <w:tc>
          <w:tcPr>
            <w:tcW w:w="785" w:type="pct"/>
            <w:noWrap w:val="0"/>
            <w:vAlign w:val="center"/>
          </w:tcPr>
          <w:p w14:paraId="4A3C91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0.66</w:t>
            </w:r>
          </w:p>
        </w:tc>
        <w:tc>
          <w:tcPr>
            <w:tcW w:w="526" w:type="pct"/>
            <w:noWrap w:val="0"/>
            <w:vAlign w:val="center"/>
          </w:tcPr>
          <w:p w14:paraId="290E5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5.70</w:t>
            </w:r>
          </w:p>
        </w:tc>
        <w:tc>
          <w:tcPr>
            <w:tcW w:w="929" w:type="pct"/>
            <w:noWrap w:val="0"/>
            <w:vAlign w:val="center"/>
          </w:tcPr>
          <w:p w14:paraId="70886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洒水抑尘74%</w:t>
            </w:r>
          </w:p>
        </w:tc>
        <w:tc>
          <w:tcPr>
            <w:tcW w:w="553" w:type="pct"/>
            <w:noWrap w:val="0"/>
            <w:vAlign w:val="center"/>
          </w:tcPr>
          <w:p w14:paraId="777AE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1.482</w:t>
            </w:r>
          </w:p>
        </w:tc>
        <w:tc>
          <w:tcPr>
            <w:tcW w:w="731" w:type="pct"/>
            <w:noWrap w:val="0"/>
            <w:vAlign w:val="center"/>
          </w:tcPr>
          <w:p w14:paraId="608A72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无组织排放</w:t>
            </w:r>
          </w:p>
        </w:tc>
      </w:tr>
    </w:tbl>
    <w:p w14:paraId="456BF882">
      <w:pPr>
        <w:bidi w:val="0"/>
        <w:rPr>
          <w:rFonts w:hint="eastAsia"/>
          <w:sz w:val="24"/>
          <w:szCs w:val="24"/>
          <w:highlight w:val="none"/>
          <w:u w:val="none"/>
          <w:lang w:val="en-US" w:eastAsia="zh-CN"/>
        </w:rPr>
      </w:pPr>
      <w:r>
        <w:rPr>
          <w:rFonts w:hint="eastAsia"/>
          <w:sz w:val="24"/>
          <w:szCs w:val="24"/>
          <w:highlight w:val="none"/>
          <w:u w:val="none"/>
          <w:lang w:val="en-US" w:eastAsia="zh-CN"/>
        </w:rPr>
        <w:t>（3）取土场扬尘</w:t>
      </w:r>
    </w:p>
    <w:p w14:paraId="4761488A">
      <w:pPr>
        <w:bidi w:val="0"/>
        <w:rPr>
          <w:rFonts w:hint="eastAsia"/>
          <w:sz w:val="24"/>
          <w:szCs w:val="24"/>
          <w:highlight w:val="none"/>
          <w:u w:val="none"/>
          <w:lang w:val="en-US" w:eastAsia="zh-CN"/>
        </w:rPr>
      </w:pPr>
      <w:r>
        <w:rPr>
          <w:rFonts w:hint="eastAsia"/>
          <w:sz w:val="24"/>
          <w:szCs w:val="24"/>
          <w:highlight w:val="none"/>
          <w:u w:val="none"/>
          <w:lang w:val="en-US" w:eastAsia="zh-CN"/>
        </w:rPr>
        <w:t>项目取土场开挖作业过程中会有扬尘产生。根据施工方案，取土场作业扰动面积约为100m</w:t>
      </w:r>
      <w:r>
        <w:rPr>
          <w:rFonts w:hint="eastAsia"/>
          <w:sz w:val="24"/>
          <w:szCs w:val="24"/>
          <w:highlight w:val="none"/>
          <w:u w:val="none"/>
          <w:vertAlign w:val="superscript"/>
          <w:lang w:val="en-US" w:eastAsia="zh-CN"/>
        </w:rPr>
        <w:t>2</w:t>
      </w:r>
      <w:r>
        <w:rPr>
          <w:rFonts w:hint="eastAsia"/>
          <w:sz w:val="24"/>
          <w:szCs w:val="24"/>
          <w:highlight w:val="none"/>
          <w:u w:val="none"/>
          <w:lang w:val="en-US" w:eastAsia="zh-CN"/>
        </w:rPr>
        <w:t>，其余未开挖场地采取遮盖或洒水抑尘措施减少扬尘产生量。扬尘排放量按照西安冶金建筑学院起尘量推荐公式计算：</w:t>
      </w:r>
    </w:p>
    <w:p w14:paraId="5E440567">
      <w:pPr>
        <w:bidi w:val="0"/>
        <w:ind w:left="0" w:leftChars="0" w:firstLine="0" w:firstLineChars="0"/>
        <w:jc w:val="center"/>
        <w:rPr>
          <w:rFonts w:hint="eastAsia"/>
          <w:sz w:val="24"/>
          <w:szCs w:val="24"/>
          <w:highlight w:val="yellow"/>
          <w:u w:val="none"/>
          <w:lang w:val="en-US" w:eastAsia="zh-CN"/>
        </w:rPr>
      </w:pPr>
      <w:r>
        <w:rPr>
          <w:rFonts w:hint="eastAsia"/>
          <w:sz w:val="24"/>
          <w:szCs w:val="24"/>
          <w:highlight w:val="none"/>
          <w:u w:val="none"/>
          <w:lang w:val="en-US" w:eastAsia="zh-CN"/>
        </w:rPr>
        <w:drawing>
          <wp:inline distT="0" distB="0" distL="114300" distR="114300">
            <wp:extent cx="1990725" cy="363220"/>
            <wp:effectExtent l="0" t="0" r="9525" b="17780"/>
            <wp:docPr id="18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5"/>
                    <pic:cNvPicPr>
                      <a:picLocks noChangeAspect="1"/>
                    </pic:cNvPicPr>
                  </pic:nvPicPr>
                  <pic:blipFill>
                    <a:blip r:embed="rId85">
                      <a:lum contrast="6000"/>
                    </a:blip>
                    <a:stretch>
                      <a:fillRect/>
                    </a:stretch>
                  </pic:blipFill>
                  <pic:spPr>
                    <a:xfrm>
                      <a:off x="0" y="0"/>
                      <a:ext cx="1990725" cy="363220"/>
                    </a:xfrm>
                    <a:prstGeom prst="rect">
                      <a:avLst/>
                    </a:prstGeom>
                    <a:noFill/>
                    <a:ln>
                      <a:noFill/>
                    </a:ln>
                  </pic:spPr>
                </pic:pic>
              </a:graphicData>
            </a:graphic>
          </wp:inline>
        </w:drawing>
      </w:r>
    </w:p>
    <w:p w14:paraId="0AB937D2">
      <w:pPr>
        <w:bidi w:val="0"/>
        <w:rPr>
          <w:rFonts w:hint="eastAsia"/>
          <w:sz w:val="24"/>
          <w:szCs w:val="24"/>
          <w:highlight w:val="none"/>
          <w:u w:val="none"/>
          <w:lang w:val="en-US" w:eastAsia="zh-CN"/>
        </w:rPr>
      </w:pPr>
      <w:r>
        <w:rPr>
          <w:rFonts w:hint="eastAsia"/>
          <w:sz w:val="24"/>
          <w:szCs w:val="24"/>
          <w:highlight w:val="none"/>
          <w:u w:val="none"/>
          <w:lang w:val="en-US" w:eastAsia="zh-CN"/>
        </w:rPr>
        <w:t>式中：Q——起尘量，mg/s；</w:t>
      </w:r>
    </w:p>
    <w:p w14:paraId="35E1CC08">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U——平均风速，m/s，项目所在地多年平均风速为1.4m/s；</w:t>
      </w:r>
    </w:p>
    <w:p w14:paraId="7DBED75B">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A</w:t>
      </w:r>
      <w:r>
        <w:rPr>
          <w:rFonts w:hint="eastAsia"/>
          <w:sz w:val="24"/>
          <w:szCs w:val="24"/>
          <w:highlight w:val="none"/>
          <w:u w:val="none"/>
          <w:vertAlign w:val="subscript"/>
          <w:lang w:val="en-US" w:eastAsia="zh-CN"/>
        </w:rPr>
        <w:t>P</w:t>
      </w:r>
      <w:r>
        <w:rPr>
          <w:rFonts w:hint="eastAsia"/>
          <w:sz w:val="24"/>
          <w:szCs w:val="24"/>
          <w:highlight w:val="none"/>
          <w:u w:val="none"/>
          <w:lang w:val="en-US" w:eastAsia="zh-CN"/>
        </w:rPr>
        <w:t>——起尘面积，m</w:t>
      </w:r>
      <w:r>
        <w:rPr>
          <w:rFonts w:hint="eastAsia"/>
          <w:sz w:val="24"/>
          <w:szCs w:val="24"/>
          <w:highlight w:val="none"/>
          <w:u w:val="none"/>
          <w:vertAlign w:val="superscript"/>
          <w:lang w:val="en-US" w:eastAsia="zh-CN"/>
        </w:rPr>
        <w:t>2</w:t>
      </w:r>
      <w:r>
        <w:rPr>
          <w:rFonts w:hint="eastAsia"/>
          <w:sz w:val="24"/>
          <w:szCs w:val="24"/>
          <w:highlight w:val="none"/>
          <w:u w:val="none"/>
          <w:lang w:val="en-US" w:eastAsia="zh-CN"/>
        </w:rPr>
        <w:t>。</w:t>
      </w:r>
    </w:p>
    <w:p w14:paraId="30C08141">
      <w:pPr>
        <w:bidi w:val="0"/>
        <w:rPr>
          <w:rFonts w:hint="eastAsia"/>
          <w:sz w:val="24"/>
          <w:szCs w:val="24"/>
          <w:highlight w:val="none"/>
          <w:u w:val="none"/>
          <w:lang w:val="en-US" w:eastAsia="zh-CN"/>
        </w:rPr>
      </w:pPr>
      <w:r>
        <w:rPr>
          <w:rFonts w:hint="eastAsia"/>
          <w:sz w:val="24"/>
          <w:szCs w:val="24"/>
          <w:highlight w:val="none"/>
          <w:u w:val="none"/>
          <w:lang w:val="en-US" w:eastAsia="zh-CN"/>
        </w:rPr>
        <w:t>根据公式计算，开挖等作业扬尘产生系数为0.22mg/s，项目取土场开挖过程施工期为60天，每天工作时间按8h计，项目产生系数为0.00079kg/h，作业扬尘为0.38kg。</w:t>
      </w:r>
    </w:p>
    <w:p w14:paraId="3272BE1B">
      <w:pPr>
        <w:bidi w:val="0"/>
        <w:rPr>
          <w:rFonts w:hint="eastAsia"/>
          <w:sz w:val="24"/>
          <w:szCs w:val="24"/>
          <w:highlight w:val="none"/>
          <w:u w:val="none"/>
          <w:lang w:val="en-US" w:eastAsia="zh-CN"/>
        </w:rPr>
      </w:pPr>
      <w:r>
        <w:rPr>
          <w:rFonts w:hint="eastAsia"/>
          <w:sz w:val="24"/>
          <w:szCs w:val="24"/>
          <w:highlight w:val="none"/>
          <w:u w:val="none"/>
          <w:lang w:val="en-US" w:eastAsia="zh-CN"/>
        </w:rPr>
        <w:t>根据《扬尘源颗粒物排放清单编制技术指南（试行）》表12，通过洒水降尘后，TSP的控制效率为74%，项目作业扬尘排放量为0.065kg（排放速率0.0001kg/h）。</w:t>
      </w:r>
    </w:p>
    <w:p w14:paraId="6B5E4C13">
      <w:pPr>
        <w:tabs>
          <w:tab w:val="center" w:pos="4508"/>
        </w:tabs>
        <w:bidi w:val="0"/>
        <w:rPr>
          <w:rFonts w:hint="eastAsia"/>
          <w:sz w:val="24"/>
          <w:szCs w:val="24"/>
          <w:highlight w:val="none"/>
          <w:u w:val="none"/>
          <w:lang w:val="en-US" w:eastAsia="zh-CN"/>
        </w:rPr>
      </w:pPr>
      <w:r>
        <w:rPr>
          <w:rFonts w:hint="eastAsia"/>
          <w:sz w:val="24"/>
          <w:szCs w:val="24"/>
          <w:highlight w:val="none"/>
          <w:u w:val="none"/>
          <w:lang w:val="en-US" w:eastAsia="zh-CN"/>
        </w:rPr>
        <w:t>项目开挖等作业扬尘计算详见下表。</w:t>
      </w:r>
    </w:p>
    <w:p w14:paraId="098B9518">
      <w:pPr>
        <w:bidi w:val="0"/>
        <w:spacing w:line="24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表3.2-5  开挖等作业扬尘产排情况</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1206"/>
        <w:gridCol w:w="1458"/>
        <w:gridCol w:w="1404"/>
        <w:gridCol w:w="1146"/>
        <w:gridCol w:w="1181"/>
        <w:gridCol w:w="1357"/>
      </w:tblGrid>
      <w:tr w14:paraId="76EE2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pct"/>
            <w:noWrap/>
            <w:vAlign w:val="center"/>
          </w:tcPr>
          <w:p w14:paraId="64F400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产生环节</w:t>
            </w:r>
          </w:p>
        </w:tc>
        <w:tc>
          <w:tcPr>
            <w:tcW w:w="649" w:type="pct"/>
            <w:noWrap w:val="0"/>
            <w:vAlign w:val="center"/>
          </w:tcPr>
          <w:p w14:paraId="0BD86B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作业面积（m</w:t>
            </w:r>
            <w:r>
              <w:rPr>
                <w:rFonts w:hint="eastAsia"/>
                <w:b/>
                <w:bCs/>
                <w:sz w:val="21"/>
                <w:szCs w:val="21"/>
                <w:highlight w:val="none"/>
                <w:u w:val="none"/>
                <w:vertAlign w:val="superscript"/>
                <w:lang w:val="en-US" w:eastAsia="zh-CN"/>
              </w:rPr>
              <w:t>2</w:t>
            </w:r>
            <w:r>
              <w:rPr>
                <w:rFonts w:hint="eastAsia"/>
                <w:b/>
                <w:bCs/>
                <w:sz w:val="21"/>
                <w:szCs w:val="21"/>
                <w:highlight w:val="none"/>
                <w:u w:val="none"/>
                <w:lang w:val="en-US" w:eastAsia="zh-CN"/>
              </w:rPr>
              <w:t>）</w:t>
            </w:r>
          </w:p>
        </w:tc>
        <w:tc>
          <w:tcPr>
            <w:tcW w:w="785" w:type="pct"/>
            <w:noWrap w:val="0"/>
            <w:vAlign w:val="center"/>
          </w:tcPr>
          <w:p w14:paraId="694C95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产生系数（mg/s）</w:t>
            </w:r>
          </w:p>
        </w:tc>
        <w:tc>
          <w:tcPr>
            <w:tcW w:w="756" w:type="pct"/>
            <w:noWrap w:val="0"/>
            <w:vAlign w:val="center"/>
          </w:tcPr>
          <w:p w14:paraId="426A0F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产生量（kg）</w:t>
            </w:r>
          </w:p>
        </w:tc>
        <w:tc>
          <w:tcPr>
            <w:tcW w:w="617" w:type="pct"/>
            <w:noWrap w:val="0"/>
            <w:vAlign w:val="center"/>
          </w:tcPr>
          <w:p w14:paraId="2293B6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防治措施及效率</w:t>
            </w:r>
          </w:p>
        </w:tc>
        <w:tc>
          <w:tcPr>
            <w:tcW w:w="636" w:type="pct"/>
            <w:noWrap w:val="0"/>
            <w:vAlign w:val="center"/>
          </w:tcPr>
          <w:p w14:paraId="29AC84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排放量（kg）</w:t>
            </w:r>
          </w:p>
        </w:tc>
        <w:tc>
          <w:tcPr>
            <w:tcW w:w="730" w:type="pct"/>
            <w:noWrap w:val="0"/>
            <w:vAlign w:val="center"/>
          </w:tcPr>
          <w:p w14:paraId="360541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lang w:val="en-US" w:eastAsia="zh-CN"/>
              </w:rPr>
            </w:pPr>
            <w:r>
              <w:rPr>
                <w:rFonts w:hint="eastAsia"/>
                <w:b/>
                <w:bCs/>
                <w:sz w:val="21"/>
                <w:szCs w:val="21"/>
                <w:highlight w:val="none"/>
                <w:u w:val="none"/>
                <w:lang w:val="en-US" w:eastAsia="zh-CN"/>
              </w:rPr>
              <w:t>排放方式</w:t>
            </w:r>
          </w:p>
        </w:tc>
      </w:tr>
      <w:tr w14:paraId="00510E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pct"/>
            <w:noWrap w:val="0"/>
            <w:vAlign w:val="center"/>
          </w:tcPr>
          <w:p w14:paraId="0BD9CF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取土场开挖</w:t>
            </w:r>
          </w:p>
        </w:tc>
        <w:tc>
          <w:tcPr>
            <w:tcW w:w="649" w:type="pct"/>
            <w:noWrap w:val="0"/>
            <w:vAlign w:val="center"/>
          </w:tcPr>
          <w:p w14:paraId="588D5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100</w:t>
            </w:r>
          </w:p>
        </w:tc>
        <w:tc>
          <w:tcPr>
            <w:tcW w:w="785" w:type="pct"/>
            <w:noWrap w:val="0"/>
            <w:vAlign w:val="center"/>
          </w:tcPr>
          <w:p w14:paraId="51BCF0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0.22</w:t>
            </w:r>
          </w:p>
        </w:tc>
        <w:tc>
          <w:tcPr>
            <w:tcW w:w="756" w:type="pct"/>
            <w:noWrap w:val="0"/>
            <w:vAlign w:val="center"/>
          </w:tcPr>
          <w:p w14:paraId="61B2CF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0.38</w:t>
            </w:r>
          </w:p>
        </w:tc>
        <w:tc>
          <w:tcPr>
            <w:tcW w:w="617" w:type="pct"/>
            <w:noWrap w:val="0"/>
            <w:vAlign w:val="center"/>
          </w:tcPr>
          <w:p w14:paraId="75EE06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洒水抑尘74%</w:t>
            </w:r>
          </w:p>
        </w:tc>
        <w:tc>
          <w:tcPr>
            <w:tcW w:w="636" w:type="pct"/>
            <w:noWrap w:val="0"/>
            <w:vAlign w:val="center"/>
          </w:tcPr>
          <w:p w14:paraId="3E29C8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0.1</w:t>
            </w:r>
          </w:p>
        </w:tc>
        <w:tc>
          <w:tcPr>
            <w:tcW w:w="730" w:type="pct"/>
            <w:noWrap w:val="0"/>
            <w:vAlign w:val="center"/>
          </w:tcPr>
          <w:p w14:paraId="5270DB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无组织排放</w:t>
            </w:r>
          </w:p>
        </w:tc>
      </w:tr>
    </w:tbl>
    <w:p w14:paraId="3BA0B66C">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（4）车辆运输扬尘</w:t>
      </w:r>
    </w:p>
    <w:p w14:paraId="53C3EC16">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车辆运输扬尘主要指车辆在场内运输产生的扬尘，出场时对车辆进行冲洗，场外运输产生扬尘量很小。本项目废渣填埋场内运输平均距离以100m计。根据《大气环境影响评价实用技术手册》（中国标准出版社，2010.9）项目车辆运输扬尘可按如下经验公式估算：</w:t>
      </w:r>
    </w:p>
    <w:p w14:paraId="610597DE">
      <w:pPr>
        <w:bidi w:val="0"/>
        <w:ind w:left="0" w:leftChars="0" w:firstLine="0" w:firstLineChars="0"/>
        <w:jc w:val="center"/>
        <w:rPr>
          <w:rFonts w:hint="eastAsia"/>
          <w:sz w:val="24"/>
          <w:szCs w:val="24"/>
          <w:highlight w:val="yellow"/>
          <w:u w:val="none"/>
          <w:lang w:val="en-US" w:eastAsia="zh-CN"/>
        </w:rPr>
      </w:pPr>
      <w:r>
        <w:rPr>
          <w:rFonts w:hint="eastAsia"/>
          <w:sz w:val="24"/>
          <w:szCs w:val="24"/>
          <w:highlight w:val="none"/>
          <w:u w:val="none"/>
          <w:lang w:val="en-US" w:eastAsia="zh-CN"/>
        </w:rPr>
        <w:drawing>
          <wp:inline distT="0" distB="0" distL="114300" distR="114300">
            <wp:extent cx="2537460" cy="351790"/>
            <wp:effectExtent l="0" t="0" r="15240" b="10160"/>
            <wp:docPr id="18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6"/>
                    <pic:cNvPicPr>
                      <a:picLocks noChangeAspect="1"/>
                    </pic:cNvPicPr>
                  </pic:nvPicPr>
                  <pic:blipFill>
                    <a:blip r:embed="rId86"/>
                    <a:srcRect r="1431"/>
                    <a:stretch>
                      <a:fillRect/>
                    </a:stretch>
                  </pic:blipFill>
                  <pic:spPr>
                    <a:xfrm>
                      <a:off x="0" y="0"/>
                      <a:ext cx="2537460" cy="351790"/>
                    </a:xfrm>
                    <a:prstGeom prst="rect">
                      <a:avLst/>
                    </a:prstGeom>
                    <a:noFill/>
                    <a:ln>
                      <a:noFill/>
                    </a:ln>
                  </pic:spPr>
                </pic:pic>
              </a:graphicData>
            </a:graphic>
          </wp:inline>
        </w:drawing>
      </w:r>
    </w:p>
    <w:p w14:paraId="1A74860A">
      <w:pPr>
        <w:bidi w:val="0"/>
        <w:rPr>
          <w:rFonts w:hint="eastAsia"/>
          <w:sz w:val="24"/>
          <w:szCs w:val="24"/>
          <w:highlight w:val="none"/>
          <w:u w:val="none"/>
          <w:lang w:val="en-US" w:eastAsia="zh-CN"/>
        </w:rPr>
      </w:pPr>
      <w:r>
        <w:rPr>
          <w:rFonts w:hint="eastAsia"/>
          <w:sz w:val="24"/>
          <w:szCs w:val="24"/>
          <w:highlight w:val="none"/>
          <w:u w:val="none"/>
          <w:lang w:val="en-US" w:eastAsia="zh-CN"/>
        </w:rPr>
        <w:t>式中：Q</w:t>
      </w:r>
      <w:r>
        <w:rPr>
          <w:rFonts w:hint="eastAsia"/>
          <w:sz w:val="24"/>
          <w:szCs w:val="24"/>
          <w:highlight w:val="none"/>
          <w:u w:val="none"/>
          <w:vertAlign w:val="subscript"/>
          <w:lang w:val="en-US" w:eastAsia="zh-CN"/>
        </w:rPr>
        <w:t>i</w:t>
      </w:r>
      <w:r>
        <w:rPr>
          <w:rFonts w:hint="eastAsia"/>
          <w:sz w:val="24"/>
          <w:szCs w:val="24"/>
          <w:highlight w:val="none"/>
          <w:u w:val="none"/>
          <w:lang w:val="en-US" w:eastAsia="zh-CN"/>
        </w:rPr>
        <w:t>——每辆汽车行驶扬尘（kg/km</w:t>
      </w:r>
      <w:r>
        <w:rPr>
          <w:rFonts w:hint="default" w:ascii="Times New Roman" w:hAnsi="Times New Roman" w:cs="Times New Roman"/>
          <w:sz w:val="24"/>
          <w:szCs w:val="24"/>
          <w:highlight w:val="none"/>
          <w:u w:val="none"/>
          <w:lang w:val="en-US" w:eastAsia="zh-CN"/>
        </w:rPr>
        <w:t>·</w:t>
      </w:r>
      <w:r>
        <w:rPr>
          <w:rFonts w:hint="eastAsia"/>
          <w:sz w:val="24"/>
          <w:szCs w:val="24"/>
          <w:highlight w:val="none"/>
          <w:u w:val="none"/>
          <w:lang w:val="en-US" w:eastAsia="zh-CN"/>
        </w:rPr>
        <w:t>辆）；</w:t>
      </w:r>
    </w:p>
    <w:p w14:paraId="58196024">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V——汽车速度（km/h），项目取15km/h；</w:t>
      </w:r>
    </w:p>
    <w:p w14:paraId="2CA8179A">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W——汽车重量（t），项目汽车空载为5t，载重时总重为25t；</w:t>
      </w:r>
    </w:p>
    <w:p w14:paraId="600FF60A">
      <w:pPr>
        <w:bidi w:val="0"/>
        <w:ind w:firstLine="1200" w:firstLineChars="500"/>
        <w:rPr>
          <w:rFonts w:hint="eastAsia"/>
          <w:sz w:val="24"/>
          <w:szCs w:val="24"/>
          <w:highlight w:val="none"/>
          <w:u w:val="none"/>
          <w:lang w:val="en-US" w:eastAsia="zh-CN"/>
        </w:rPr>
      </w:pPr>
      <w:r>
        <w:rPr>
          <w:rFonts w:hint="eastAsia"/>
          <w:sz w:val="24"/>
          <w:szCs w:val="24"/>
          <w:highlight w:val="none"/>
          <w:u w:val="none"/>
          <w:lang w:val="en-US" w:eastAsia="zh-CN"/>
        </w:rPr>
        <w:t>P——道路表面粉尘量（kg/m</w:t>
      </w:r>
      <w:r>
        <w:rPr>
          <w:rFonts w:hint="eastAsia"/>
          <w:sz w:val="24"/>
          <w:szCs w:val="24"/>
          <w:highlight w:val="none"/>
          <w:u w:val="none"/>
          <w:vertAlign w:val="superscript"/>
          <w:lang w:val="en-US" w:eastAsia="zh-CN"/>
        </w:rPr>
        <w:t>2</w:t>
      </w:r>
      <w:r>
        <w:rPr>
          <w:rFonts w:hint="eastAsia"/>
          <w:sz w:val="24"/>
          <w:szCs w:val="24"/>
          <w:highlight w:val="none"/>
          <w:u w:val="none"/>
          <w:lang w:val="en-US" w:eastAsia="zh-CN"/>
        </w:rPr>
        <w:t>），本项目道路取0.2（连接道路定期清扫）。</w:t>
      </w:r>
    </w:p>
    <w:p w14:paraId="695B40C1">
      <w:pPr>
        <w:bidi w:val="0"/>
        <w:rPr>
          <w:rFonts w:hint="eastAsia"/>
          <w:sz w:val="24"/>
          <w:szCs w:val="24"/>
          <w:highlight w:val="none"/>
          <w:u w:val="none"/>
          <w:lang w:val="en-US" w:eastAsia="zh-CN"/>
        </w:rPr>
      </w:pPr>
      <w:r>
        <w:rPr>
          <w:rFonts w:hint="eastAsia"/>
          <w:sz w:val="24"/>
          <w:szCs w:val="24"/>
          <w:highlight w:val="none"/>
          <w:u w:val="none"/>
          <w:lang w:val="en-US" w:eastAsia="zh-CN"/>
        </w:rPr>
        <w:t>则Q</w:t>
      </w:r>
      <w:r>
        <w:rPr>
          <w:rFonts w:hint="eastAsia"/>
          <w:sz w:val="24"/>
          <w:szCs w:val="24"/>
          <w:highlight w:val="none"/>
          <w:u w:val="none"/>
          <w:vertAlign w:val="subscript"/>
          <w:lang w:val="en-US" w:eastAsia="zh-CN"/>
        </w:rPr>
        <w:t>i</w:t>
      </w:r>
      <w:r>
        <w:rPr>
          <w:rFonts w:hint="eastAsia"/>
          <w:sz w:val="24"/>
          <w:szCs w:val="24"/>
          <w:highlight w:val="none"/>
          <w:u w:val="none"/>
          <w:lang w:val="en-US" w:eastAsia="zh-CN"/>
        </w:rPr>
        <w:t>载重=0.574kg/km</w:t>
      </w:r>
      <w:r>
        <w:rPr>
          <w:rFonts w:hint="default" w:ascii="Times New Roman" w:hAnsi="Times New Roman" w:cs="Times New Roman"/>
          <w:sz w:val="24"/>
          <w:szCs w:val="24"/>
          <w:highlight w:val="none"/>
          <w:u w:val="none"/>
          <w:lang w:val="en-US" w:eastAsia="zh-CN"/>
        </w:rPr>
        <w:t>·</w:t>
      </w:r>
      <w:r>
        <w:rPr>
          <w:rFonts w:hint="eastAsia"/>
          <w:sz w:val="24"/>
          <w:szCs w:val="24"/>
          <w:highlight w:val="none"/>
          <w:u w:val="none"/>
          <w:lang w:val="en-US" w:eastAsia="zh-CN"/>
        </w:rPr>
        <w:t>辆，Q</w:t>
      </w:r>
      <w:r>
        <w:rPr>
          <w:rFonts w:hint="eastAsia"/>
          <w:sz w:val="24"/>
          <w:szCs w:val="24"/>
          <w:highlight w:val="none"/>
          <w:u w:val="none"/>
          <w:vertAlign w:val="subscript"/>
          <w:lang w:val="en-US" w:eastAsia="zh-CN"/>
        </w:rPr>
        <w:t>i</w:t>
      </w:r>
      <w:r>
        <w:rPr>
          <w:rFonts w:hint="eastAsia"/>
          <w:sz w:val="24"/>
          <w:szCs w:val="24"/>
          <w:highlight w:val="none"/>
          <w:u w:val="none"/>
          <w:lang w:val="en-US" w:eastAsia="zh-CN"/>
        </w:rPr>
        <w:t>空载=0.146kg/km</w:t>
      </w:r>
      <w:r>
        <w:rPr>
          <w:rFonts w:hint="default" w:ascii="Times New Roman" w:hAnsi="Times New Roman" w:cs="Times New Roman"/>
          <w:sz w:val="24"/>
          <w:szCs w:val="24"/>
          <w:highlight w:val="none"/>
          <w:u w:val="none"/>
          <w:lang w:val="en-US" w:eastAsia="zh-CN"/>
        </w:rPr>
        <w:t>·</w:t>
      </w:r>
      <w:r>
        <w:rPr>
          <w:rFonts w:hint="eastAsia"/>
          <w:sz w:val="24"/>
          <w:szCs w:val="24"/>
          <w:highlight w:val="none"/>
          <w:u w:val="none"/>
          <w:lang w:val="en-US" w:eastAsia="zh-CN"/>
        </w:rPr>
        <w:t>辆。本项目平均运输距离取100m，运输量为85866.31m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，则载重交通次数为7728次，空载交通次数为7728次，载重运输扬尘为443.59kg，空载运输扬尘为112.83kg，项目车辆运输道路扬尘总产生量为556.42kg。</w:t>
      </w:r>
    </w:p>
    <w:p w14:paraId="254FEB9C">
      <w:pPr>
        <w:bidi w:val="0"/>
        <w:rPr>
          <w:rFonts w:hint="eastAsia"/>
          <w:sz w:val="24"/>
          <w:szCs w:val="24"/>
          <w:highlight w:val="yellow"/>
          <w:u w:val="none"/>
          <w:lang w:val="en-US" w:eastAsia="zh-CN"/>
        </w:rPr>
      </w:pPr>
      <w:r>
        <w:rPr>
          <w:rFonts w:hint="eastAsia"/>
          <w:sz w:val="24"/>
          <w:szCs w:val="24"/>
          <w:highlight w:val="none"/>
          <w:u w:val="none"/>
          <w:lang w:val="en-US" w:eastAsia="zh-CN"/>
        </w:rPr>
        <w:t>本项目定时对车辆进行清洗，严格控制车速措施，加强路面维护及清理，运输车辆采取密闭运输，配备洒水车辆及时对运输道路洒水，在采取上述措施后预计粉尘量可降低74%左右，则项目运输扬尘排放量为144.67kg。</w:t>
      </w:r>
    </w:p>
    <w:p w14:paraId="5C36AF42">
      <w:pPr>
        <w:bidi w:val="0"/>
        <w:rPr>
          <w:rFonts w:hint="eastAsia"/>
          <w:sz w:val="24"/>
          <w:szCs w:val="24"/>
          <w:highlight w:val="none"/>
          <w:u w:val="none"/>
          <w:lang w:val="en-US" w:eastAsia="zh-CN"/>
        </w:rPr>
      </w:pPr>
      <w:r>
        <w:rPr>
          <w:rFonts w:hint="eastAsia"/>
          <w:sz w:val="24"/>
          <w:szCs w:val="24"/>
          <w:highlight w:val="none"/>
          <w:u w:val="none"/>
          <w:lang w:val="en-US" w:eastAsia="zh-CN"/>
        </w:rPr>
        <w:t>（5）车辆、机械燃油尾气</w:t>
      </w:r>
    </w:p>
    <w:p w14:paraId="590B49EB">
      <w:pPr>
        <w:bidi w:val="0"/>
        <w:rPr>
          <w:rFonts w:hint="eastAsia"/>
          <w:sz w:val="24"/>
          <w:szCs w:val="24"/>
          <w:highlight w:val="none"/>
          <w:u w:val="none"/>
          <w:lang w:val="en-US" w:eastAsia="zh-CN"/>
        </w:rPr>
      </w:pPr>
      <w:r>
        <w:rPr>
          <w:rFonts w:hint="eastAsia"/>
          <w:sz w:val="24"/>
          <w:szCs w:val="24"/>
          <w:highlight w:val="none"/>
          <w:u w:val="none"/>
          <w:lang w:val="en-US" w:eastAsia="zh-CN"/>
        </w:rPr>
        <w:t>项目施工机械主要有挖掘机、推土机、装载机等燃油机械，它们排放的污染物主要有CO、NO</w:t>
      </w:r>
      <w:r>
        <w:rPr>
          <w:rFonts w:hint="eastAsia"/>
          <w:sz w:val="24"/>
          <w:szCs w:val="24"/>
          <w:highlight w:val="none"/>
          <w:u w:val="none"/>
          <w:vertAlign w:val="subscript"/>
          <w:lang w:val="en-US" w:eastAsia="zh-CN"/>
        </w:rPr>
        <w:t>2</w:t>
      </w:r>
      <w:r>
        <w:rPr>
          <w:rFonts w:hint="eastAsia"/>
          <w:sz w:val="24"/>
          <w:szCs w:val="24"/>
          <w:highlight w:val="none"/>
          <w:u w:val="none"/>
          <w:lang w:val="en-US" w:eastAsia="zh-CN"/>
        </w:rPr>
        <w:t>、THC。由于施工机械多为大型机械，单车排放系数较大，使局部范围的CO、NO</w:t>
      </w:r>
      <w:r>
        <w:rPr>
          <w:rFonts w:hint="eastAsia"/>
          <w:sz w:val="24"/>
          <w:szCs w:val="24"/>
          <w:highlight w:val="none"/>
          <w:u w:val="none"/>
          <w:vertAlign w:val="subscript"/>
          <w:lang w:val="en-US" w:eastAsia="zh-CN"/>
        </w:rPr>
        <w:t>2</w:t>
      </w:r>
      <w:r>
        <w:rPr>
          <w:rFonts w:hint="eastAsia"/>
          <w:sz w:val="24"/>
          <w:szCs w:val="24"/>
          <w:highlight w:val="none"/>
          <w:u w:val="none"/>
          <w:lang w:val="en-US" w:eastAsia="zh-CN"/>
        </w:rPr>
        <w:t>、THC等浓度有所增加。但施工机械数量少且较分散，其污染程度相对较轻。</w:t>
      </w:r>
    </w:p>
    <w:p w14:paraId="2D6EDE69">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3.2.3.2废水</w:t>
      </w:r>
    </w:p>
    <w:p w14:paraId="38218CA9">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项目废水污染源主要为清挖过程中雨季产生的淋溶水、渗滤液、车辆冲洗废水以及生活污水。</w:t>
      </w:r>
    </w:p>
    <w:p w14:paraId="7B3243F1">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（1）清挖过程中雨季产生的淋溶水</w:t>
      </w:r>
    </w:p>
    <w:p w14:paraId="20AA24C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本项目</w:t>
      </w:r>
      <w:r>
        <w:rPr>
          <w:rFonts w:hint="eastAsia" w:cs="Times New Roman"/>
          <w:sz w:val="24"/>
          <w:szCs w:val="24"/>
          <w:highlight w:val="none"/>
          <w:lang w:val="en-US" w:eastAsia="zh-CN"/>
        </w:rPr>
        <w:t>废渣区场地</w:t>
      </w:r>
      <w:r>
        <w:rPr>
          <w:rFonts w:hint="default" w:ascii="Times New Roman" w:hAnsi="Times New Roman" w:cs="Times New Roman"/>
          <w:sz w:val="24"/>
          <w:szCs w:val="24"/>
          <w:highlight w:val="none"/>
          <w:lang w:val="en-US" w:eastAsia="zh-CN"/>
        </w:rPr>
        <w:t>开挖前应关注气象条件，尽可能地避开雨季，同时应尽可能控制废渣开挖作业区面积，如在废渣开挖过程中遇到下雨情况，应采取紧急措施，应对废渣开挖作业区进行临时覆盖。各废渣堆开挖前在四周设置雨水截排沟，开挖场地低洼处设置集水坑收集清挖过程中雨季产生的淋溶水，集水坑做防渗处理</w:t>
      </w:r>
      <w:r>
        <w:rPr>
          <w:rFonts w:hint="eastAsia" w:cs="Times New Roman"/>
          <w:sz w:val="24"/>
          <w:szCs w:val="24"/>
          <w:highlight w:val="none"/>
          <w:lang w:val="en-US" w:eastAsia="zh-CN"/>
        </w:rPr>
        <w:t>；取土场、填埋区设置临时截洪沟；</w:t>
      </w:r>
      <w:r>
        <w:rPr>
          <w:rFonts w:hint="default" w:ascii="Times New Roman" w:hAnsi="Times New Roman" w:cs="Times New Roman"/>
          <w:sz w:val="24"/>
          <w:szCs w:val="24"/>
          <w:highlight w:val="none"/>
          <w:lang w:val="en-US" w:eastAsia="zh-CN"/>
        </w:rPr>
        <w:t>根据项目可研及初步设计资料，项目</w:t>
      </w:r>
      <w:r>
        <w:rPr>
          <w:rFonts w:hint="eastAsia" w:cs="Times New Roman"/>
          <w:sz w:val="24"/>
          <w:szCs w:val="24"/>
          <w:highlight w:val="none"/>
          <w:lang w:val="en-US" w:eastAsia="zh-CN"/>
        </w:rPr>
        <w:t>废渣区、取土场、填埋区采用分区作业，</w:t>
      </w:r>
      <w:r>
        <w:rPr>
          <w:rFonts w:hint="default" w:ascii="Times New Roman" w:hAnsi="Times New Roman" w:cs="Times New Roman"/>
          <w:sz w:val="24"/>
          <w:szCs w:val="24"/>
          <w:highlight w:val="none"/>
          <w:lang w:val="en-US" w:eastAsia="zh-CN"/>
        </w:rPr>
        <w:t>场地开挖</w:t>
      </w:r>
      <w:r>
        <w:rPr>
          <w:rFonts w:hint="eastAsia" w:cs="Times New Roman"/>
          <w:sz w:val="24"/>
          <w:szCs w:val="24"/>
          <w:highlight w:val="none"/>
          <w:lang w:val="en-US" w:eastAsia="zh-CN"/>
        </w:rPr>
        <w:t>或清表</w:t>
      </w:r>
      <w:r>
        <w:rPr>
          <w:rFonts w:hint="default" w:ascii="Times New Roman" w:hAnsi="Times New Roman" w:cs="Times New Roman"/>
          <w:sz w:val="24"/>
          <w:szCs w:val="24"/>
          <w:highlight w:val="none"/>
          <w:lang w:val="en-US" w:eastAsia="zh-CN"/>
        </w:rPr>
        <w:t>产生的淋溶水产生量约为4m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vertAlign w:val="baseline"/>
          <w:lang w:val="en-US" w:eastAsia="zh-CN"/>
        </w:rPr>
        <w:t>/d</w:t>
      </w:r>
      <w:r>
        <w:rPr>
          <w:rFonts w:hint="default" w:ascii="Times New Roman" w:hAnsi="Times New Roman" w:cs="Times New Roman"/>
          <w:sz w:val="24"/>
          <w:szCs w:val="24"/>
          <w:highlight w:val="none"/>
          <w:lang w:val="en-US" w:eastAsia="zh-CN"/>
        </w:rPr>
        <w:t>。淋溶水水质类比《平江县三阳乡万古村万古水库周边历史遗留重金属废渣污染状况调查报告》（湖南安博检测有限公司，2022年8月）各废渣点位水浸监测结果最大值。清挖过程中雨季产生的淋溶水收集后采用重金属一体化废水处理设备进行处理后由槽罐车托运至湖南黄金天岳矿业有限公司垂拱洞尾矿库废水处理站进行处理，重金属一体化设备主要工艺为石灰-铝盐两级絮凝沉淀+过滤，重金属离子去除效率达到60%以上。淋溶水污染物产排情况具体见下表。</w:t>
      </w:r>
    </w:p>
    <w:p w14:paraId="26711199">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表3.2-6  项目淋溶水主要污染物产排情况一览表</w:t>
      </w:r>
    </w:p>
    <w:tbl>
      <w:tblPr>
        <w:tblStyle w:val="4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578"/>
        <w:gridCol w:w="1724"/>
        <w:gridCol w:w="1650"/>
        <w:gridCol w:w="1650"/>
        <w:gridCol w:w="1666"/>
      </w:tblGrid>
      <w:tr w14:paraId="7CED7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46" w:type="pct"/>
            <w:noWrap w:val="0"/>
            <w:vAlign w:val="center"/>
          </w:tcPr>
          <w:p w14:paraId="23AA8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污染物</w:t>
            </w:r>
          </w:p>
        </w:tc>
        <w:tc>
          <w:tcPr>
            <w:tcW w:w="850" w:type="pct"/>
            <w:noWrap w:val="0"/>
            <w:vAlign w:val="center"/>
          </w:tcPr>
          <w:p w14:paraId="24FFE2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产生浓度（mg/L）</w:t>
            </w:r>
          </w:p>
        </w:tc>
        <w:tc>
          <w:tcPr>
            <w:tcW w:w="929" w:type="pct"/>
            <w:noWrap w:val="0"/>
            <w:vAlign w:val="center"/>
          </w:tcPr>
          <w:p w14:paraId="1D9BEE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产生量（kg/d）</w:t>
            </w:r>
          </w:p>
        </w:tc>
        <w:tc>
          <w:tcPr>
            <w:tcW w:w="889" w:type="pct"/>
            <w:noWrap w:val="0"/>
            <w:vAlign w:val="center"/>
          </w:tcPr>
          <w:p w14:paraId="04D2F3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处理效率（%）</w:t>
            </w:r>
          </w:p>
        </w:tc>
        <w:tc>
          <w:tcPr>
            <w:tcW w:w="889" w:type="pct"/>
            <w:noWrap w:val="0"/>
            <w:vAlign w:val="center"/>
          </w:tcPr>
          <w:p w14:paraId="6785D9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处理后浓度（mg/L）</w:t>
            </w:r>
          </w:p>
        </w:tc>
        <w:tc>
          <w:tcPr>
            <w:tcW w:w="894" w:type="pct"/>
            <w:noWrap w:val="0"/>
            <w:vAlign w:val="center"/>
          </w:tcPr>
          <w:p w14:paraId="79CAA0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排放量（kg/d）</w:t>
            </w:r>
          </w:p>
        </w:tc>
      </w:tr>
      <w:tr w14:paraId="31BC52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229C7B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总铬</w:t>
            </w:r>
          </w:p>
        </w:tc>
        <w:tc>
          <w:tcPr>
            <w:tcW w:w="850" w:type="pct"/>
            <w:noWrap w:val="0"/>
            <w:vAlign w:val="center"/>
          </w:tcPr>
          <w:p w14:paraId="2A379B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0.02</w:t>
            </w:r>
          </w:p>
        </w:tc>
        <w:tc>
          <w:tcPr>
            <w:tcW w:w="929" w:type="pct"/>
            <w:noWrap w:val="0"/>
            <w:vAlign w:val="center"/>
          </w:tcPr>
          <w:p w14:paraId="4D9E9C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0.00008</w:t>
            </w:r>
          </w:p>
        </w:tc>
        <w:tc>
          <w:tcPr>
            <w:tcW w:w="889" w:type="pct"/>
            <w:noWrap w:val="0"/>
            <w:vAlign w:val="center"/>
          </w:tcPr>
          <w:p w14:paraId="22DA31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027479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0.008</w:t>
            </w:r>
          </w:p>
        </w:tc>
        <w:tc>
          <w:tcPr>
            <w:tcW w:w="894" w:type="pct"/>
            <w:noWrap w:val="0"/>
            <w:vAlign w:val="top"/>
          </w:tcPr>
          <w:p w14:paraId="1C10CC2D">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0.000032</w:t>
            </w:r>
          </w:p>
        </w:tc>
      </w:tr>
      <w:tr w14:paraId="7B2079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3B1601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总镍</w:t>
            </w:r>
          </w:p>
        </w:tc>
        <w:tc>
          <w:tcPr>
            <w:tcW w:w="850" w:type="pct"/>
            <w:noWrap w:val="0"/>
            <w:vAlign w:val="center"/>
          </w:tcPr>
          <w:p w14:paraId="1F6C0D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0.02</w:t>
            </w:r>
          </w:p>
        </w:tc>
        <w:tc>
          <w:tcPr>
            <w:tcW w:w="929" w:type="pct"/>
            <w:noWrap w:val="0"/>
            <w:vAlign w:val="center"/>
          </w:tcPr>
          <w:p w14:paraId="386347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0.00008</w:t>
            </w:r>
          </w:p>
        </w:tc>
        <w:tc>
          <w:tcPr>
            <w:tcW w:w="889" w:type="pct"/>
            <w:noWrap w:val="0"/>
            <w:vAlign w:val="center"/>
          </w:tcPr>
          <w:p w14:paraId="37E49B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0BEA2C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0.008</w:t>
            </w:r>
          </w:p>
        </w:tc>
        <w:tc>
          <w:tcPr>
            <w:tcW w:w="894" w:type="pct"/>
            <w:noWrap w:val="0"/>
            <w:vAlign w:val="top"/>
          </w:tcPr>
          <w:p w14:paraId="5D20FC35">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0.000032</w:t>
            </w:r>
          </w:p>
        </w:tc>
      </w:tr>
      <w:tr w14:paraId="5F751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71E8B7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总铜</w:t>
            </w:r>
          </w:p>
        </w:tc>
        <w:tc>
          <w:tcPr>
            <w:tcW w:w="850" w:type="pct"/>
            <w:noWrap w:val="0"/>
            <w:vAlign w:val="center"/>
          </w:tcPr>
          <w:p w14:paraId="459279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0.09</w:t>
            </w:r>
          </w:p>
        </w:tc>
        <w:tc>
          <w:tcPr>
            <w:tcW w:w="929" w:type="pct"/>
            <w:noWrap w:val="0"/>
            <w:vAlign w:val="center"/>
          </w:tcPr>
          <w:p w14:paraId="4B13AE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0.00036</w:t>
            </w:r>
          </w:p>
        </w:tc>
        <w:tc>
          <w:tcPr>
            <w:tcW w:w="889" w:type="pct"/>
            <w:noWrap w:val="0"/>
            <w:vAlign w:val="center"/>
          </w:tcPr>
          <w:p w14:paraId="467635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747D32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0.036</w:t>
            </w:r>
          </w:p>
        </w:tc>
        <w:tc>
          <w:tcPr>
            <w:tcW w:w="894" w:type="pct"/>
            <w:noWrap w:val="0"/>
            <w:vAlign w:val="top"/>
          </w:tcPr>
          <w:p w14:paraId="5F20CD37">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0.000144</w:t>
            </w:r>
          </w:p>
        </w:tc>
      </w:tr>
      <w:tr w14:paraId="32FD1E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40CDE0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总锌</w:t>
            </w:r>
          </w:p>
        </w:tc>
        <w:tc>
          <w:tcPr>
            <w:tcW w:w="850" w:type="pct"/>
            <w:noWrap w:val="0"/>
            <w:vAlign w:val="center"/>
          </w:tcPr>
          <w:p w14:paraId="161DEE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0.34</w:t>
            </w:r>
          </w:p>
        </w:tc>
        <w:tc>
          <w:tcPr>
            <w:tcW w:w="929" w:type="pct"/>
            <w:noWrap w:val="0"/>
            <w:vAlign w:val="center"/>
          </w:tcPr>
          <w:p w14:paraId="7C2ED3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0.00136</w:t>
            </w:r>
          </w:p>
        </w:tc>
        <w:tc>
          <w:tcPr>
            <w:tcW w:w="889" w:type="pct"/>
            <w:noWrap w:val="0"/>
            <w:vAlign w:val="center"/>
          </w:tcPr>
          <w:p w14:paraId="376875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0D9871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0.136</w:t>
            </w:r>
          </w:p>
        </w:tc>
        <w:tc>
          <w:tcPr>
            <w:tcW w:w="894" w:type="pct"/>
            <w:noWrap w:val="0"/>
            <w:vAlign w:val="top"/>
          </w:tcPr>
          <w:p w14:paraId="2BD5F51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0.000544</w:t>
            </w:r>
          </w:p>
        </w:tc>
      </w:tr>
      <w:tr w14:paraId="14E7B4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2E31BC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总砷</w:t>
            </w:r>
          </w:p>
        </w:tc>
        <w:tc>
          <w:tcPr>
            <w:tcW w:w="850" w:type="pct"/>
            <w:noWrap w:val="0"/>
            <w:vAlign w:val="center"/>
          </w:tcPr>
          <w:p w14:paraId="12A5FD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1.84</w:t>
            </w:r>
          </w:p>
        </w:tc>
        <w:tc>
          <w:tcPr>
            <w:tcW w:w="929" w:type="pct"/>
            <w:noWrap w:val="0"/>
            <w:vAlign w:val="center"/>
          </w:tcPr>
          <w:p w14:paraId="2C952F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0.00736</w:t>
            </w:r>
          </w:p>
        </w:tc>
        <w:tc>
          <w:tcPr>
            <w:tcW w:w="889" w:type="pct"/>
            <w:noWrap w:val="0"/>
            <w:vAlign w:val="center"/>
          </w:tcPr>
          <w:p w14:paraId="420480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726DAF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0.736</w:t>
            </w:r>
          </w:p>
        </w:tc>
        <w:tc>
          <w:tcPr>
            <w:tcW w:w="894" w:type="pct"/>
            <w:noWrap w:val="0"/>
            <w:vAlign w:val="top"/>
          </w:tcPr>
          <w:p w14:paraId="6B36A956">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0.002944</w:t>
            </w:r>
          </w:p>
        </w:tc>
      </w:tr>
      <w:tr w14:paraId="2380EB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0C0B99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总镉</w:t>
            </w:r>
          </w:p>
        </w:tc>
        <w:tc>
          <w:tcPr>
            <w:tcW w:w="850" w:type="pct"/>
            <w:noWrap w:val="0"/>
            <w:vAlign w:val="center"/>
          </w:tcPr>
          <w:p w14:paraId="604067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0.0012</w:t>
            </w:r>
          </w:p>
        </w:tc>
        <w:tc>
          <w:tcPr>
            <w:tcW w:w="929" w:type="pct"/>
            <w:noWrap w:val="0"/>
            <w:vAlign w:val="center"/>
          </w:tcPr>
          <w:p w14:paraId="202C6D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0.0000048</w:t>
            </w:r>
          </w:p>
        </w:tc>
        <w:tc>
          <w:tcPr>
            <w:tcW w:w="889" w:type="pct"/>
            <w:noWrap w:val="0"/>
            <w:vAlign w:val="center"/>
          </w:tcPr>
          <w:p w14:paraId="0C3DE0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1B0D0A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0.00048</w:t>
            </w:r>
          </w:p>
        </w:tc>
        <w:tc>
          <w:tcPr>
            <w:tcW w:w="894" w:type="pct"/>
            <w:noWrap w:val="0"/>
            <w:vAlign w:val="top"/>
          </w:tcPr>
          <w:p w14:paraId="05E5EA3B">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0.00000192</w:t>
            </w:r>
          </w:p>
        </w:tc>
      </w:tr>
      <w:tr w14:paraId="38A74A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5570AF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总铅</w:t>
            </w:r>
          </w:p>
        </w:tc>
        <w:tc>
          <w:tcPr>
            <w:tcW w:w="850" w:type="pct"/>
            <w:noWrap w:val="0"/>
            <w:vAlign w:val="center"/>
          </w:tcPr>
          <w:p w14:paraId="5EFA16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0.0042</w:t>
            </w:r>
          </w:p>
        </w:tc>
        <w:tc>
          <w:tcPr>
            <w:tcW w:w="929" w:type="pct"/>
            <w:noWrap w:val="0"/>
            <w:vAlign w:val="center"/>
          </w:tcPr>
          <w:p w14:paraId="764332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w:t>
            </w:r>
            <w:r>
              <w:rPr>
                <w:rFonts w:hint="eastAsia" w:cs="Times New Roman"/>
                <w:sz w:val="21"/>
                <w:szCs w:val="21"/>
                <w:highlight w:val="none"/>
                <w:vertAlign w:val="baseline"/>
                <w:lang w:val="en-US" w:eastAsia="zh-CN"/>
              </w:rPr>
              <w:t>00168</w:t>
            </w:r>
          </w:p>
        </w:tc>
        <w:tc>
          <w:tcPr>
            <w:tcW w:w="889" w:type="pct"/>
            <w:noWrap w:val="0"/>
            <w:vAlign w:val="center"/>
          </w:tcPr>
          <w:p w14:paraId="00538F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131289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0.00168</w:t>
            </w:r>
          </w:p>
        </w:tc>
        <w:tc>
          <w:tcPr>
            <w:tcW w:w="894" w:type="pct"/>
            <w:noWrap w:val="0"/>
            <w:vAlign w:val="top"/>
          </w:tcPr>
          <w:p w14:paraId="2E20F34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0.00000672</w:t>
            </w:r>
          </w:p>
        </w:tc>
      </w:tr>
      <w:tr w14:paraId="372B38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4275AF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总汞</w:t>
            </w:r>
          </w:p>
        </w:tc>
        <w:tc>
          <w:tcPr>
            <w:tcW w:w="850" w:type="pct"/>
            <w:noWrap w:val="0"/>
            <w:vAlign w:val="center"/>
          </w:tcPr>
          <w:p w14:paraId="5B5065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0.00002</w:t>
            </w:r>
          </w:p>
        </w:tc>
        <w:tc>
          <w:tcPr>
            <w:tcW w:w="929" w:type="pct"/>
            <w:noWrap w:val="0"/>
            <w:vAlign w:val="center"/>
          </w:tcPr>
          <w:p w14:paraId="15AFAA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0.00000008</w:t>
            </w:r>
          </w:p>
        </w:tc>
        <w:tc>
          <w:tcPr>
            <w:tcW w:w="889" w:type="pct"/>
            <w:noWrap w:val="0"/>
            <w:vAlign w:val="center"/>
          </w:tcPr>
          <w:p w14:paraId="59437A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421661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0.000008</w:t>
            </w:r>
          </w:p>
        </w:tc>
        <w:tc>
          <w:tcPr>
            <w:tcW w:w="894" w:type="pct"/>
            <w:noWrap w:val="0"/>
            <w:vAlign w:val="top"/>
          </w:tcPr>
          <w:p w14:paraId="05CABCE7">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0.000000032</w:t>
            </w:r>
          </w:p>
        </w:tc>
      </w:tr>
      <w:tr w14:paraId="64E481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0AE3AA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六价铬</w:t>
            </w:r>
          </w:p>
        </w:tc>
        <w:tc>
          <w:tcPr>
            <w:tcW w:w="850" w:type="pct"/>
            <w:noWrap w:val="0"/>
            <w:vAlign w:val="center"/>
          </w:tcPr>
          <w:p w14:paraId="3D4574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0.004</w:t>
            </w:r>
          </w:p>
        </w:tc>
        <w:tc>
          <w:tcPr>
            <w:tcW w:w="929" w:type="pct"/>
            <w:noWrap w:val="0"/>
            <w:vAlign w:val="center"/>
          </w:tcPr>
          <w:p w14:paraId="713E11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0.000016</w:t>
            </w:r>
          </w:p>
        </w:tc>
        <w:tc>
          <w:tcPr>
            <w:tcW w:w="889" w:type="pct"/>
            <w:noWrap w:val="0"/>
            <w:vAlign w:val="center"/>
          </w:tcPr>
          <w:p w14:paraId="4B8346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465F4C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0.0016</w:t>
            </w:r>
          </w:p>
        </w:tc>
        <w:tc>
          <w:tcPr>
            <w:tcW w:w="894" w:type="pct"/>
            <w:noWrap w:val="0"/>
            <w:vAlign w:val="top"/>
          </w:tcPr>
          <w:p w14:paraId="7C4D39AC">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0.0000064</w:t>
            </w:r>
          </w:p>
        </w:tc>
      </w:tr>
      <w:tr w14:paraId="49AAC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6" w:type="pct"/>
            <w:noWrap w:val="0"/>
            <w:vAlign w:val="center"/>
          </w:tcPr>
          <w:p w14:paraId="582551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氰化物</w:t>
            </w:r>
          </w:p>
        </w:tc>
        <w:tc>
          <w:tcPr>
            <w:tcW w:w="850" w:type="pct"/>
            <w:noWrap w:val="0"/>
            <w:vAlign w:val="center"/>
          </w:tcPr>
          <w:p w14:paraId="600CF1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0.004</w:t>
            </w:r>
          </w:p>
        </w:tc>
        <w:tc>
          <w:tcPr>
            <w:tcW w:w="929" w:type="pct"/>
            <w:noWrap w:val="0"/>
            <w:vAlign w:val="center"/>
          </w:tcPr>
          <w:p w14:paraId="767AE9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0.000016</w:t>
            </w:r>
          </w:p>
        </w:tc>
        <w:tc>
          <w:tcPr>
            <w:tcW w:w="889" w:type="pct"/>
            <w:noWrap w:val="0"/>
            <w:vAlign w:val="center"/>
          </w:tcPr>
          <w:p w14:paraId="68C8A7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889" w:type="pct"/>
            <w:noWrap w:val="0"/>
            <w:vAlign w:val="center"/>
          </w:tcPr>
          <w:p w14:paraId="4D124F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0.0016</w:t>
            </w:r>
          </w:p>
        </w:tc>
        <w:tc>
          <w:tcPr>
            <w:tcW w:w="894" w:type="pct"/>
            <w:noWrap w:val="0"/>
            <w:vAlign w:val="top"/>
          </w:tcPr>
          <w:p w14:paraId="7BA3A5D9">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0.0000064</w:t>
            </w:r>
          </w:p>
        </w:tc>
      </w:tr>
      <w:tr w14:paraId="2839F2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5000" w:type="pct"/>
            <w:gridSpan w:val="6"/>
            <w:noWrap w:val="0"/>
            <w:vAlign w:val="center"/>
          </w:tcPr>
          <w:p w14:paraId="1F28D39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注：总铬、总镍、总铜、总铬、六价铬及氰化物等未检出因子产生浓度为检测方法检出限。</w:t>
            </w:r>
          </w:p>
        </w:tc>
      </w:tr>
    </w:tbl>
    <w:p w14:paraId="48F780B4">
      <w:pPr>
        <w:bidi w:val="0"/>
        <w:rPr>
          <w:rFonts w:hint="default"/>
          <w:sz w:val="24"/>
          <w:szCs w:val="24"/>
          <w:highlight w:val="none"/>
          <w:lang w:val="en-US" w:eastAsia="zh-CN"/>
        </w:rPr>
      </w:pPr>
      <w:r>
        <w:rPr>
          <w:rFonts w:hint="eastAsia"/>
          <w:sz w:val="24"/>
          <w:szCs w:val="24"/>
          <w:highlight w:val="none"/>
          <w:lang w:val="en-US" w:eastAsia="zh-CN"/>
        </w:rPr>
        <w:t>（2）渗滤液</w:t>
      </w:r>
    </w:p>
    <w:p w14:paraId="6FDBFE1B">
      <w:pPr>
        <w:bidi w:val="0"/>
        <w:rPr>
          <w:rFonts w:hint="eastAsia"/>
          <w:sz w:val="24"/>
          <w:szCs w:val="24"/>
          <w:highlight w:val="none"/>
          <w:lang w:val="en-US" w:eastAsia="zh-CN"/>
        </w:rPr>
      </w:pPr>
      <w:r>
        <w:rPr>
          <w:rFonts w:hint="eastAsia"/>
          <w:sz w:val="24"/>
          <w:szCs w:val="24"/>
          <w:highlight w:val="none"/>
          <w:lang w:val="en-US" w:eastAsia="zh-CN"/>
        </w:rPr>
        <w:t>本项目填埋场渗滤液产生最大的情况是填埋场建设完成后的填埋作业初期，降落在库区内部的雨水将全部转化为渗滤液（在未进行分区填埋作业的情况下），当填埋标高超过填埋坑口标高后，可通过覆盖和分区填埋减少填埋库区受雨面积，从而减少雨水进入堆体内的量，减少渗滤液产生量。</w:t>
      </w:r>
    </w:p>
    <w:p w14:paraId="587934AF">
      <w:pPr>
        <w:bidi w:val="0"/>
        <w:rPr>
          <w:rFonts w:hint="eastAsia"/>
          <w:sz w:val="24"/>
          <w:szCs w:val="24"/>
          <w:highlight w:val="none"/>
          <w:lang w:val="en-US" w:eastAsia="zh-CN"/>
        </w:rPr>
      </w:pPr>
      <w:r>
        <w:rPr>
          <w:rFonts w:hint="eastAsia"/>
          <w:sz w:val="24"/>
          <w:szCs w:val="24"/>
          <w:highlight w:val="none"/>
          <w:lang w:val="en-US" w:eastAsia="zh-CN"/>
        </w:rPr>
        <w:t>根据填埋场建设方案，当标高低于坑口高程时，填埋场可能产生渗滤液最大的受雨面积约为8517.35m</w:t>
      </w:r>
      <w:r>
        <w:rPr>
          <w:rFonts w:hint="eastAsia"/>
          <w:sz w:val="24"/>
          <w:szCs w:val="24"/>
          <w:highlight w:val="none"/>
          <w:vertAlign w:val="superscript"/>
          <w:lang w:val="en-US" w:eastAsia="zh-CN"/>
        </w:rPr>
        <w:t>2</w:t>
      </w:r>
      <w:r>
        <w:rPr>
          <w:rFonts w:hint="eastAsia"/>
          <w:sz w:val="24"/>
          <w:szCs w:val="24"/>
          <w:highlight w:val="none"/>
          <w:lang w:val="en-US" w:eastAsia="zh-CN"/>
        </w:rPr>
        <w:t>。为控制渗滤液产生量，减少废水处理设备运行负荷，本项目采取分区填埋作业，填埋场最大受雨面积控制在1000m</w:t>
      </w:r>
      <w:r>
        <w:rPr>
          <w:rFonts w:hint="eastAsia"/>
          <w:sz w:val="24"/>
          <w:szCs w:val="24"/>
          <w:highlight w:val="none"/>
          <w:vertAlign w:val="superscript"/>
          <w:lang w:val="en-US" w:eastAsia="zh-CN"/>
        </w:rPr>
        <w:t>2</w:t>
      </w:r>
      <w:r>
        <w:rPr>
          <w:rFonts w:hint="eastAsia"/>
          <w:sz w:val="24"/>
          <w:szCs w:val="24"/>
          <w:highlight w:val="none"/>
          <w:lang w:val="en-US" w:eastAsia="zh-CN"/>
        </w:rPr>
        <w:t>。</w:t>
      </w:r>
    </w:p>
    <w:p w14:paraId="3AFAE293">
      <w:pPr>
        <w:rPr>
          <w:rFonts w:hint="eastAsia"/>
          <w:sz w:val="24"/>
          <w:szCs w:val="24"/>
          <w:highlight w:val="none"/>
          <w:lang w:val="en-US" w:eastAsia="zh-CN"/>
        </w:rPr>
      </w:pPr>
      <w:r>
        <w:rPr>
          <w:rFonts w:hint="eastAsia"/>
          <w:sz w:val="24"/>
          <w:szCs w:val="24"/>
          <w:highlight w:val="none"/>
          <w:lang w:val="en-US" w:eastAsia="zh-CN"/>
        </w:rPr>
        <w:t>参考《生活垃圾填埋场渗滤液处理工程技术规范（试行）》（HJ564-2010），有关渗滤液产生量的经验估算公式如下：</w:t>
      </w:r>
    </w:p>
    <w:p w14:paraId="2B277AD8">
      <w:pPr>
        <w:ind w:left="0" w:leftChars="0" w:firstLine="0" w:firstLineChars="0"/>
        <w:jc w:val="cente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Q=（A</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）×I×10</w:t>
      </w:r>
      <w:r>
        <w:rPr>
          <w:rFonts w:hint="default" w:ascii="Times New Roman" w:hAnsi="Times New Roman" w:cs="Times New Roman"/>
          <w:sz w:val="24"/>
          <w:szCs w:val="24"/>
          <w:highlight w:val="none"/>
          <w:vertAlign w:val="superscript"/>
          <w:lang w:val="en-US" w:eastAsia="zh-CN"/>
        </w:rPr>
        <w:t>-3</w:t>
      </w:r>
    </w:p>
    <w:p w14:paraId="5027DD1E">
      <w:pPr>
        <w:rPr>
          <w:rFonts w:hint="eastAsia"/>
          <w:sz w:val="24"/>
          <w:szCs w:val="24"/>
          <w:highlight w:val="none"/>
          <w:lang w:val="en-US" w:eastAsia="zh-CN"/>
        </w:rPr>
      </w:pPr>
      <w:r>
        <w:rPr>
          <w:rFonts w:hint="eastAsia"/>
          <w:sz w:val="24"/>
          <w:szCs w:val="24"/>
          <w:highlight w:val="none"/>
          <w:lang w:val="en-US" w:eastAsia="zh-CN"/>
        </w:rPr>
        <w:t>式中：</w:t>
      </w:r>
    </w:p>
    <w:p w14:paraId="5517E6DB">
      <w:pPr>
        <w:rPr>
          <w:rFonts w:hint="eastAsia"/>
          <w:sz w:val="24"/>
          <w:szCs w:val="24"/>
          <w:highlight w:val="none"/>
          <w:lang w:val="en-US" w:eastAsia="zh-CN"/>
        </w:rPr>
      </w:pPr>
      <w:r>
        <w:rPr>
          <w:rFonts w:hint="eastAsia"/>
          <w:sz w:val="24"/>
          <w:szCs w:val="24"/>
          <w:highlight w:val="none"/>
          <w:lang w:val="en-US" w:eastAsia="zh-CN"/>
        </w:rPr>
        <w:t>Q—渗滤液水量，m</w:t>
      </w:r>
      <w:r>
        <w:rPr>
          <w:rFonts w:hint="eastAsia"/>
          <w:sz w:val="24"/>
          <w:szCs w:val="24"/>
          <w:highlight w:val="none"/>
          <w:vertAlign w:val="superscript"/>
          <w:lang w:val="en-US" w:eastAsia="zh-CN"/>
        </w:rPr>
        <w:t>3</w:t>
      </w:r>
      <w:r>
        <w:rPr>
          <w:rFonts w:hint="eastAsia"/>
          <w:sz w:val="24"/>
          <w:szCs w:val="24"/>
          <w:highlight w:val="none"/>
          <w:lang w:val="en-US" w:eastAsia="zh-CN"/>
        </w:rPr>
        <w:t>/d；</w:t>
      </w:r>
    </w:p>
    <w:p w14:paraId="18BEAF10">
      <w:pPr>
        <w:rPr>
          <w:rFonts w:hint="default"/>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1</w:t>
      </w:r>
      <w:r>
        <w:rPr>
          <w:rFonts w:hint="eastAsia"/>
          <w:sz w:val="24"/>
          <w:szCs w:val="24"/>
          <w:highlight w:val="none"/>
          <w:lang w:val="en-US" w:eastAsia="zh-CN"/>
        </w:rPr>
        <w:t>—填埋作业面的面积，m</w:t>
      </w:r>
      <w:r>
        <w:rPr>
          <w:rFonts w:hint="eastAsia"/>
          <w:sz w:val="24"/>
          <w:szCs w:val="24"/>
          <w:highlight w:val="none"/>
          <w:vertAlign w:val="superscript"/>
          <w:lang w:val="en-US" w:eastAsia="zh-CN"/>
        </w:rPr>
        <w:t>2</w:t>
      </w:r>
      <w:r>
        <w:rPr>
          <w:rFonts w:hint="eastAsia"/>
          <w:sz w:val="24"/>
          <w:szCs w:val="24"/>
          <w:highlight w:val="none"/>
          <w:lang w:val="en-US" w:eastAsia="zh-CN"/>
        </w:rPr>
        <w:t>，本项目取1000m</w:t>
      </w:r>
      <w:r>
        <w:rPr>
          <w:rFonts w:hint="eastAsia"/>
          <w:sz w:val="24"/>
          <w:szCs w:val="24"/>
          <w:highlight w:val="none"/>
          <w:vertAlign w:val="superscript"/>
          <w:lang w:val="en-US" w:eastAsia="zh-CN"/>
        </w:rPr>
        <w:t>2</w:t>
      </w:r>
      <w:r>
        <w:rPr>
          <w:rFonts w:hint="eastAsia"/>
          <w:sz w:val="24"/>
          <w:szCs w:val="24"/>
          <w:highlight w:val="none"/>
          <w:lang w:val="en-US" w:eastAsia="zh-CN"/>
        </w:rPr>
        <w:t>；</w:t>
      </w:r>
    </w:p>
    <w:p w14:paraId="252B6384">
      <w:pPr>
        <w:rPr>
          <w:rFonts w:hint="eastAsia"/>
          <w:sz w:val="24"/>
          <w:szCs w:val="24"/>
          <w:highlight w:val="none"/>
          <w:lang w:val="en-US" w:eastAsia="zh-CN"/>
        </w:rPr>
      </w:pPr>
      <w:r>
        <w:rPr>
          <w:rFonts w:hint="eastAsia"/>
          <w:sz w:val="24"/>
          <w:szCs w:val="24"/>
          <w:highlight w:val="none"/>
          <w:lang w:val="en-US" w:eastAsia="zh-CN"/>
        </w:rPr>
        <w:t>C</w:t>
      </w:r>
      <w:r>
        <w:rPr>
          <w:rFonts w:hint="eastAsia"/>
          <w:sz w:val="24"/>
          <w:szCs w:val="24"/>
          <w:highlight w:val="none"/>
          <w:vertAlign w:val="subscript"/>
          <w:lang w:val="en-US" w:eastAsia="zh-CN"/>
        </w:rPr>
        <w:t>1</w:t>
      </w:r>
      <w:r>
        <w:rPr>
          <w:rFonts w:hint="eastAsia"/>
          <w:sz w:val="24"/>
          <w:szCs w:val="24"/>
          <w:highlight w:val="none"/>
          <w:lang w:val="en-US" w:eastAsia="zh-CN"/>
        </w:rPr>
        <w:t>—填埋作业区的渗滤系数，一般宜取0.5~0.8，本项目取0.8；</w:t>
      </w:r>
    </w:p>
    <w:p w14:paraId="5F690FDE">
      <w:pPr>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2</w:t>
      </w:r>
      <w:r>
        <w:rPr>
          <w:rFonts w:hint="eastAsia"/>
          <w:sz w:val="24"/>
          <w:szCs w:val="24"/>
          <w:highlight w:val="none"/>
          <w:lang w:val="en-US" w:eastAsia="zh-CN"/>
        </w:rPr>
        <w:t>—中间覆盖单元汇水面积，m</w:t>
      </w:r>
      <w:r>
        <w:rPr>
          <w:rFonts w:hint="eastAsia"/>
          <w:sz w:val="24"/>
          <w:szCs w:val="24"/>
          <w:highlight w:val="none"/>
          <w:vertAlign w:val="superscript"/>
          <w:lang w:val="en-US" w:eastAsia="zh-CN"/>
        </w:rPr>
        <w:t>2</w:t>
      </w:r>
      <w:r>
        <w:rPr>
          <w:rFonts w:hint="eastAsia"/>
          <w:sz w:val="24"/>
          <w:szCs w:val="24"/>
          <w:highlight w:val="none"/>
          <w:lang w:val="en-US" w:eastAsia="zh-CN"/>
        </w:rPr>
        <w:t>，本项目取6805m</w:t>
      </w:r>
      <w:r>
        <w:rPr>
          <w:rFonts w:hint="eastAsia"/>
          <w:sz w:val="24"/>
          <w:szCs w:val="24"/>
          <w:highlight w:val="none"/>
          <w:vertAlign w:val="superscript"/>
          <w:lang w:val="en-US" w:eastAsia="zh-CN"/>
        </w:rPr>
        <w:t>2</w:t>
      </w:r>
      <w:r>
        <w:rPr>
          <w:rFonts w:hint="eastAsia"/>
          <w:sz w:val="24"/>
          <w:szCs w:val="24"/>
          <w:highlight w:val="none"/>
          <w:lang w:val="en-US" w:eastAsia="zh-CN"/>
        </w:rPr>
        <w:t>；</w:t>
      </w:r>
    </w:p>
    <w:p w14:paraId="249316DC">
      <w:pPr>
        <w:rPr>
          <w:rFonts w:hint="eastAsia"/>
          <w:sz w:val="24"/>
          <w:szCs w:val="24"/>
          <w:highlight w:val="none"/>
          <w:lang w:val="en-US" w:eastAsia="zh-CN"/>
        </w:rPr>
      </w:pPr>
      <w:r>
        <w:rPr>
          <w:rFonts w:hint="eastAsia"/>
          <w:sz w:val="24"/>
          <w:szCs w:val="24"/>
          <w:highlight w:val="none"/>
          <w:lang w:val="en-US" w:eastAsia="zh-CN"/>
        </w:rPr>
        <w:t>C</w:t>
      </w:r>
      <w:r>
        <w:rPr>
          <w:rFonts w:hint="eastAsia"/>
          <w:sz w:val="24"/>
          <w:szCs w:val="24"/>
          <w:highlight w:val="none"/>
          <w:vertAlign w:val="subscript"/>
          <w:lang w:val="en-US" w:eastAsia="zh-CN"/>
        </w:rPr>
        <w:t>2</w:t>
      </w:r>
      <w:r>
        <w:rPr>
          <w:rFonts w:hint="eastAsia"/>
          <w:sz w:val="24"/>
          <w:szCs w:val="24"/>
          <w:highlight w:val="none"/>
          <w:lang w:val="en-US" w:eastAsia="zh-CN"/>
        </w:rPr>
        <w:t>—中间覆盖单元渗出系数，宜取（0.4~0.6）C1，本项目取0.6C1，即0.48；</w:t>
      </w:r>
    </w:p>
    <w:p w14:paraId="629501F4">
      <w:pPr>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3</w:t>
      </w:r>
      <w:r>
        <w:rPr>
          <w:rFonts w:hint="eastAsia"/>
          <w:sz w:val="24"/>
          <w:szCs w:val="24"/>
          <w:highlight w:val="none"/>
          <w:lang w:val="en-US" w:eastAsia="zh-CN"/>
        </w:rPr>
        <w:t>—终场覆盖单元汇水面积，m</w:t>
      </w:r>
      <w:r>
        <w:rPr>
          <w:rFonts w:hint="eastAsia"/>
          <w:sz w:val="24"/>
          <w:szCs w:val="24"/>
          <w:highlight w:val="none"/>
          <w:vertAlign w:val="superscript"/>
          <w:lang w:val="en-US" w:eastAsia="zh-CN"/>
        </w:rPr>
        <w:t>2</w:t>
      </w:r>
      <w:r>
        <w:rPr>
          <w:rFonts w:hint="eastAsia"/>
          <w:sz w:val="24"/>
          <w:szCs w:val="24"/>
          <w:highlight w:val="none"/>
          <w:lang w:val="en-US" w:eastAsia="zh-CN"/>
        </w:rPr>
        <w:t>，本项目取0；</w:t>
      </w:r>
    </w:p>
    <w:p w14:paraId="49028F7B">
      <w:pPr>
        <w:rPr>
          <w:rFonts w:hint="eastAsia"/>
          <w:sz w:val="24"/>
          <w:szCs w:val="24"/>
          <w:highlight w:val="none"/>
          <w:lang w:val="en-US" w:eastAsia="zh-CN"/>
        </w:rPr>
      </w:pPr>
      <w:r>
        <w:rPr>
          <w:rFonts w:hint="eastAsia"/>
          <w:sz w:val="24"/>
          <w:szCs w:val="24"/>
          <w:highlight w:val="none"/>
          <w:lang w:val="en-US" w:eastAsia="zh-CN"/>
        </w:rPr>
        <w:t>C</w:t>
      </w:r>
      <w:r>
        <w:rPr>
          <w:rFonts w:hint="eastAsia"/>
          <w:sz w:val="24"/>
          <w:szCs w:val="24"/>
          <w:highlight w:val="none"/>
          <w:vertAlign w:val="subscript"/>
          <w:lang w:val="en-US" w:eastAsia="zh-CN"/>
        </w:rPr>
        <w:t>3</w:t>
      </w:r>
      <w:r>
        <w:rPr>
          <w:rFonts w:hint="eastAsia"/>
          <w:sz w:val="24"/>
          <w:szCs w:val="24"/>
          <w:highlight w:val="none"/>
          <w:lang w:val="en-US" w:eastAsia="zh-CN"/>
        </w:rPr>
        <w:t>—终场覆盖单元渗出系数，一般宜取0.1~0.2，本项目取0.2；</w:t>
      </w:r>
    </w:p>
    <w:p w14:paraId="6F8DC92D">
      <w:pPr>
        <w:bidi w:val="0"/>
        <w:rPr>
          <w:rFonts w:hint="eastAsia"/>
          <w:sz w:val="24"/>
          <w:szCs w:val="24"/>
          <w:highlight w:val="none"/>
          <w:lang w:val="en-US" w:eastAsia="zh-CN"/>
        </w:rPr>
      </w:pPr>
      <w:r>
        <w:rPr>
          <w:rFonts w:hint="eastAsia"/>
          <w:sz w:val="24"/>
          <w:szCs w:val="24"/>
          <w:highlight w:val="none"/>
          <w:lang w:val="en-US" w:eastAsia="zh-CN"/>
        </w:rPr>
        <w:t>I—降雨强度，mm/d，平江县降雨强度取4.25mm/d。</w:t>
      </w:r>
    </w:p>
    <w:p w14:paraId="43FF957F">
      <w:pPr>
        <w:rPr>
          <w:rFonts w:hint="default"/>
          <w:sz w:val="24"/>
          <w:szCs w:val="24"/>
          <w:highlight w:val="none"/>
          <w:lang w:val="en-US" w:eastAsia="zh-CN"/>
        </w:rPr>
      </w:pPr>
      <w:r>
        <w:rPr>
          <w:rFonts w:hint="eastAsia"/>
          <w:sz w:val="24"/>
          <w:szCs w:val="24"/>
          <w:highlight w:val="none"/>
          <w:lang w:val="en-US" w:eastAsia="zh-CN"/>
        </w:rPr>
        <w:t>则项目施工期渗滤液水量Q经计算为17.28m</w:t>
      </w:r>
      <w:r>
        <w:rPr>
          <w:rFonts w:hint="eastAsia"/>
          <w:sz w:val="24"/>
          <w:szCs w:val="24"/>
          <w:highlight w:val="none"/>
          <w:vertAlign w:val="superscript"/>
          <w:lang w:val="en-US" w:eastAsia="zh-CN"/>
        </w:rPr>
        <w:t>3</w:t>
      </w:r>
      <w:r>
        <w:rPr>
          <w:rFonts w:hint="eastAsia"/>
          <w:sz w:val="24"/>
          <w:szCs w:val="24"/>
          <w:highlight w:val="none"/>
          <w:lang w:val="en-US" w:eastAsia="zh-CN"/>
        </w:rPr>
        <w:t>/d，项目设置一座渗滤液收集池，容积为30m</w:t>
      </w:r>
      <w:r>
        <w:rPr>
          <w:rFonts w:hint="eastAsia"/>
          <w:sz w:val="24"/>
          <w:szCs w:val="24"/>
          <w:highlight w:val="none"/>
          <w:vertAlign w:val="superscript"/>
          <w:lang w:val="en-US" w:eastAsia="zh-CN"/>
        </w:rPr>
        <w:t>3</w:t>
      </w:r>
      <w:r>
        <w:rPr>
          <w:rFonts w:hint="eastAsia"/>
          <w:sz w:val="24"/>
          <w:szCs w:val="24"/>
          <w:highlight w:val="none"/>
          <w:lang w:val="en-US" w:eastAsia="zh-CN"/>
        </w:rPr>
        <w:t>，渗滤液收集池上方设置盖板，防止雨水混入。本项目渗滤液经重金属一体化污水处理装置处理后由槽罐车托运至湖南黄金天岳矿业有限公司垂拱洞尾矿库废水处理站进行处理，重金属一体化设备主要工艺为石灰-铝盐两级絮凝沉淀+过滤，重金属离子去除效率达到60%以上。</w:t>
      </w:r>
    </w:p>
    <w:p w14:paraId="1AA15933">
      <w:pPr>
        <w:bidi w:val="0"/>
        <w:rPr>
          <w:rFonts w:hint="eastAsia"/>
          <w:sz w:val="24"/>
          <w:szCs w:val="24"/>
          <w:highlight w:val="none"/>
          <w:lang w:val="en-US" w:eastAsia="zh-CN"/>
        </w:rPr>
      </w:pPr>
      <w:r>
        <w:rPr>
          <w:rFonts w:hint="eastAsia"/>
          <w:sz w:val="24"/>
          <w:szCs w:val="24"/>
          <w:highlight w:val="none"/>
          <w:lang w:val="en-US" w:eastAsia="zh-CN"/>
        </w:rPr>
        <w:t>项目填埋场施工期渗滤液水质类比《平江县三阳乡万古村万古水库周边历史遗留重金属废渣污染状况调查报告》（湖南安博检测有限公司，2022年8月）废渣点位水浸监测结果最大值。渗滤液污染物产排情况具体见下表。</w:t>
      </w:r>
    </w:p>
    <w:p w14:paraId="222CBC5D">
      <w:pPr>
        <w:bidi w:val="0"/>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表3.2-7  项目渗滤液主要污染物产排情况一览表</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9"/>
        <w:gridCol w:w="1644"/>
        <w:gridCol w:w="1644"/>
        <w:gridCol w:w="1644"/>
        <w:gridCol w:w="1644"/>
        <w:gridCol w:w="1647"/>
      </w:tblGrid>
      <w:tr w14:paraId="2A59A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009" w:type="dxa"/>
            <w:noWrap w:val="0"/>
            <w:vAlign w:val="center"/>
          </w:tcPr>
          <w:p w14:paraId="7A37BF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污染物</w:t>
            </w:r>
          </w:p>
        </w:tc>
        <w:tc>
          <w:tcPr>
            <w:tcW w:w="1644" w:type="dxa"/>
            <w:noWrap w:val="0"/>
            <w:vAlign w:val="center"/>
          </w:tcPr>
          <w:p w14:paraId="2F5D84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产生浓度（mg/L）</w:t>
            </w:r>
          </w:p>
        </w:tc>
        <w:tc>
          <w:tcPr>
            <w:tcW w:w="1644" w:type="dxa"/>
            <w:noWrap w:val="0"/>
            <w:vAlign w:val="center"/>
          </w:tcPr>
          <w:p w14:paraId="0DDC5D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产生量（kg/d）</w:t>
            </w:r>
          </w:p>
        </w:tc>
        <w:tc>
          <w:tcPr>
            <w:tcW w:w="1644" w:type="dxa"/>
            <w:noWrap w:val="0"/>
            <w:vAlign w:val="center"/>
          </w:tcPr>
          <w:p w14:paraId="1EF6E1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处理效率（%）</w:t>
            </w:r>
          </w:p>
        </w:tc>
        <w:tc>
          <w:tcPr>
            <w:tcW w:w="1644" w:type="dxa"/>
            <w:noWrap w:val="0"/>
            <w:vAlign w:val="center"/>
          </w:tcPr>
          <w:p w14:paraId="493C71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处理后浓度（mg/L）</w:t>
            </w:r>
          </w:p>
        </w:tc>
        <w:tc>
          <w:tcPr>
            <w:tcW w:w="1647" w:type="dxa"/>
            <w:noWrap w:val="0"/>
            <w:vAlign w:val="center"/>
          </w:tcPr>
          <w:p w14:paraId="7C4146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排放量（kg/d）</w:t>
            </w:r>
          </w:p>
        </w:tc>
      </w:tr>
      <w:tr w14:paraId="69687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9" w:type="dxa"/>
            <w:noWrap w:val="0"/>
            <w:vAlign w:val="center"/>
          </w:tcPr>
          <w:p w14:paraId="05B2B4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总铬</w:t>
            </w:r>
          </w:p>
        </w:tc>
        <w:tc>
          <w:tcPr>
            <w:tcW w:w="1644" w:type="dxa"/>
            <w:noWrap w:val="0"/>
            <w:vAlign w:val="center"/>
          </w:tcPr>
          <w:p w14:paraId="718804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0.02</w:t>
            </w:r>
          </w:p>
        </w:tc>
        <w:tc>
          <w:tcPr>
            <w:tcW w:w="1644" w:type="dxa"/>
            <w:noWrap w:val="0"/>
            <w:vAlign w:val="center"/>
          </w:tcPr>
          <w:p w14:paraId="0D3FD2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0.00035</w:t>
            </w:r>
          </w:p>
        </w:tc>
        <w:tc>
          <w:tcPr>
            <w:tcW w:w="1644" w:type="dxa"/>
            <w:noWrap w:val="0"/>
            <w:vAlign w:val="center"/>
          </w:tcPr>
          <w:p w14:paraId="037688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114415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0.008</w:t>
            </w:r>
          </w:p>
        </w:tc>
        <w:tc>
          <w:tcPr>
            <w:tcW w:w="1647" w:type="dxa"/>
            <w:noWrap w:val="0"/>
            <w:vAlign w:val="center"/>
          </w:tcPr>
          <w:p w14:paraId="1D1B5D6C">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0.00013824</w:t>
            </w:r>
          </w:p>
        </w:tc>
      </w:tr>
      <w:tr w14:paraId="0349AD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6A68C2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总镍</w:t>
            </w:r>
          </w:p>
        </w:tc>
        <w:tc>
          <w:tcPr>
            <w:tcW w:w="1644" w:type="dxa"/>
            <w:noWrap w:val="0"/>
            <w:vAlign w:val="center"/>
          </w:tcPr>
          <w:p w14:paraId="548BAA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0.02</w:t>
            </w:r>
          </w:p>
        </w:tc>
        <w:tc>
          <w:tcPr>
            <w:tcW w:w="1644" w:type="dxa"/>
            <w:noWrap w:val="0"/>
            <w:vAlign w:val="center"/>
          </w:tcPr>
          <w:p w14:paraId="5AF6F0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0.00035</w:t>
            </w:r>
          </w:p>
        </w:tc>
        <w:tc>
          <w:tcPr>
            <w:tcW w:w="1644" w:type="dxa"/>
            <w:noWrap w:val="0"/>
            <w:vAlign w:val="center"/>
          </w:tcPr>
          <w:p w14:paraId="73FED3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4AF228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0.008</w:t>
            </w:r>
          </w:p>
        </w:tc>
        <w:tc>
          <w:tcPr>
            <w:tcW w:w="1647" w:type="dxa"/>
            <w:noWrap w:val="0"/>
            <w:vAlign w:val="center"/>
          </w:tcPr>
          <w:p w14:paraId="5FE61EE1">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0.00013824</w:t>
            </w:r>
          </w:p>
        </w:tc>
      </w:tr>
      <w:tr w14:paraId="3092D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18200E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总铜</w:t>
            </w:r>
          </w:p>
        </w:tc>
        <w:tc>
          <w:tcPr>
            <w:tcW w:w="1644" w:type="dxa"/>
            <w:noWrap w:val="0"/>
            <w:vAlign w:val="center"/>
          </w:tcPr>
          <w:p w14:paraId="3D0639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0.09</w:t>
            </w:r>
          </w:p>
        </w:tc>
        <w:tc>
          <w:tcPr>
            <w:tcW w:w="1644" w:type="dxa"/>
            <w:noWrap w:val="0"/>
            <w:vAlign w:val="center"/>
          </w:tcPr>
          <w:p w14:paraId="086B8F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0.0016</w:t>
            </w:r>
          </w:p>
        </w:tc>
        <w:tc>
          <w:tcPr>
            <w:tcW w:w="1644" w:type="dxa"/>
            <w:noWrap w:val="0"/>
            <w:vAlign w:val="center"/>
          </w:tcPr>
          <w:p w14:paraId="6831F8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49FE2D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0.036</w:t>
            </w:r>
          </w:p>
        </w:tc>
        <w:tc>
          <w:tcPr>
            <w:tcW w:w="1647" w:type="dxa"/>
            <w:noWrap w:val="0"/>
            <w:vAlign w:val="center"/>
          </w:tcPr>
          <w:p w14:paraId="040E11D9">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0.00062208</w:t>
            </w:r>
          </w:p>
        </w:tc>
      </w:tr>
      <w:tr w14:paraId="086957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013095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总锌</w:t>
            </w:r>
          </w:p>
        </w:tc>
        <w:tc>
          <w:tcPr>
            <w:tcW w:w="1644" w:type="dxa"/>
            <w:noWrap w:val="0"/>
            <w:vAlign w:val="center"/>
          </w:tcPr>
          <w:p w14:paraId="553BD6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0.34</w:t>
            </w:r>
          </w:p>
        </w:tc>
        <w:tc>
          <w:tcPr>
            <w:tcW w:w="1644" w:type="dxa"/>
            <w:noWrap w:val="0"/>
            <w:vAlign w:val="center"/>
          </w:tcPr>
          <w:p w14:paraId="3D1833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0.0059</w:t>
            </w:r>
          </w:p>
        </w:tc>
        <w:tc>
          <w:tcPr>
            <w:tcW w:w="1644" w:type="dxa"/>
            <w:noWrap w:val="0"/>
            <w:vAlign w:val="center"/>
          </w:tcPr>
          <w:p w14:paraId="7BE8C0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2E605D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0.136</w:t>
            </w:r>
          </w:p>
        </w:tc>
        <w:tc>
          <w:tcPr>
            <w:tcW w:w="1647" w:type="dxa"/>
            <w:noWrap w:val="0"/>
            <w:vAlign w:val="center"/>
          </w:tcPr>
          <w:p w14:paraId="7739A4A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0.00235008</w:t>
            </w:r>
          </w:p>
        </w:tc>
      </w:tr>
      <w:tr w14:paraId="47FD2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76D8B7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总砷</w:t>
            </w:r>
          </w:p>
        </w:tc>
        <w:tc>
          <w:tcPr>
            <w:tcW w:w="1644" w:type="dxa"/>
            <w:noWrap w:val="0"/>
            <w:vAlign w:val="center"/>
          </w:tcPr>
          <w:p w14:paraId="1A275B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1.84</w:t>
            </w:r>
          </w:p>
        </w:tc>
        <w:tc>
          <w:tcPr>
            <w:tcW w:w="1644" w:type="dxa"/>
            <w:noWrap w:val="0"/>
            <w:vAlign w:val="center"/>
          </w:tcPr>
          <w:p w14:paraId="22F7A6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0.032</w:t>
            </w:r>
          </w:p>
        </w:tc>
        <w:tc>
          <w:tcPr>
            <w:tcW w:w="1644" w:type="dxa"/>
            <w:noWrap w:val="0"/>
            <w:vAlign w:val="center"/>
          </w:tcPr>
          <w:p w14:paraId="19C60F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165E27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0.736</w:t>
            </w:r>
          </w:p>
        </w:tc>
        <w:tc>
          <w:tcPr>
            <w:tcW w:w="1647" w:type="dxa"/>
            <w:noWrap w:val="0"/>
            <w:vAlign w:val="center"/>
          </w:tcPr>
          <w:p w14:paraId="647E4B3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0.01271808</w:t>
            </w:r>
          </w:p>
        </w:tc>
      </w:tr>
      <w:tr w14:paraId="0A314F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6FB48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总镉</w:t>
            </w:r>
          </w:p>
        </w:tc>
        <w:tc>
          <w:tcPr>
            <w:tcW w:w="1644" w:type="dxa"/>
            <w:noWrap w:val="0"/>
            <w:vAlign w:val="center"/>
          </w:tcPr>
          <w:p w14:paraId="5436FC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0.0012</w:t>
            </w:r>
          </w:p>
        </w:tc>
        <w:tc>
          <w:tcPr>
            <w:tcW w:w="1644" w:type="dxa"/>
            <w:noWrap w:val="0"/>
            <w:vAlign w:val="center"/>
          </w:tcPr>
          <w:p w14:paraId="6E9F83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0.000021</w:t>
            </w:r>
          </w:p>
        </w:tc>
        <w:tc>
          <w:tcPr>
            <w:tcW w:w="1644" w:type="dxa"/>
            <w:noWrap w:val="0"/>
            <w:vAlign w:val="center"/>
          </w:tcPr>
          <w:p w14:paraId="068FC6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444B46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0.00048</w:t>
            </w:r>
          </w:p>
        </w:tc>
        <w:tc>
          <w:tcPr>
            <w:tcW w:w="1647" w:type="dxa"/>
            <w:noWrap w:val="0"/>
            <w:vAlign w:val="center"/>
          </w:tcPr>
          <w:p w14:paraId="1FDB9F6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0.00000829</w:t>
            </w:r>
          </w:p>
        </w:tc>
      </w:tr>
      <w:tr w14:paraId="43FC2B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096C78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总铅</w:t>
            </w:r>
          </w:p>
        </w:tc>
        <w:tc>
          <w:tcPr>
            <w:tcW w:w="1644" w:type="dxa"/>
            <w:noWrap w:val="0"/>
            <w:vAlign w:val="center"/>
          </w:tcPr>
          <w:p w14:paraId="3C3C13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0.0042</w:t>
            </w:r>
          </w:p>
        </w:tc>
        <w:tc>
          <w:tcPr>
            <w:tcW w:w="1644" w:type="dxa"/>
            <w:noWrap w:val="0"/>
            <w:vAlign w:val="center"/>
          </w:tcPr>
          <w:p w14:paraId="5DEDF8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0.000073</w:t>
            </w:r>
          </w:p>
        </w:tc>
        <w:tc>
          <w:tcPr>
            <w:tcW w:w="1644" w:type="dxa"/>
            <w:noWrap w:val="0"/>
            <w:vAlign w:val="center"/>
          </w:tcPr>
          <w:p w14:paraId="4BB58A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4B98EC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0.00168</w:t>
            </w:r>
          </w:p>
        </w:tc>
        <w:tc>
          <w:tcPr>
            <w:tcW w:w="1647" w:type="dxa"/>
            <w:noWrap w:val="0"/>
            <w:vAlign w:val="center"/>
          </w:tcPr>
          <w:p w14:paraId="7F551EF6">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0.00002903</w:t>
            </w:r>
          </w:p>
        </w:tc>
      </w:tr>
      <w:tr w14:paraId="51DA76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29633E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总汞</w:t>
            </w:r>
          </w:p>
        </w:tc>
        <w:tc>
          <w:tcPr>
            <w:tcW w:w="1644" w:type="dxa"/>
            <w:noWrap w:val="0"/>
            <w:vAlign w:val="center"/>
          </w:tcPr>
          <w:p w14:paraId="0D2630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0.00002</w:t>
            </w:r>
          </w:p>
        </w:tc>
        <w:tc>
          <w:tcPr>
            <w:tcW w:w="1644" w:type="dxa"/>
            <w:noWrap w:val="0"/>
            <w:vAlign w:val="center"/>
          </w:tcPr>
          <w:p w14:paraId="0F0EE9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0.00000035</w:t>
            </w:r>
          </w:p>
        </w:tc>
        <w:tc>
          <w:tcPr>
            <w:tcW w:w="1644" w:type="dxa"/>
            <w:noWrap w:val="0"/>
            <w:vAlign w:val="center"/>
          </w:tcPr>
          <w:p w14:paraId="2C91D0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5DB923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0.000008</w:t>
            </w:r>
          </w:p>
        </w:tc>
        <w:tc>
          <w:tcPr>
            <w:tcW w:w="1647" w:type="dxa"/>
            <w:noWrap w:val="0"/>
            <w:vAlign w:val="center"/>
          </w:tcPr>
          <w:p w14:paraId="67A5A57B">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0.00000014</w:t>
            </w:r>
          </w:p>
        </w:tc>
      </w:tr>
      <w:tr w14:paraId="4A56B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5B94B7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六价铬</w:t>
            </w:r>
          </w:p>
        </w:tc>
        <w:tc>
          <w:tcPr>
            <w:tcW w:w="1644" w:type="dxa"/>
            <w:noWrap w:val="0"/>
            <w:vAlign w:val="center"/>
          </w:tcPr>
          <w:p w14:paraId="02B545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0.004</w:t>
            </w:r>
          </w:p>
        </w:tc>
        <w:tc>
          <w:tcPr>
            <w:tcW w:w="1644" w:type="dxa"/>
            <w:noWrap w:val="0"/>
            <w:vAlign w:val="center"/>
          </w:tcPr>
          <w:p w14:paraId="21124B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0.000069</w:t>
            </w:r>
          </w:p>
        </w:tc>
        <w:tc>
          <w:tcPr>
            <w:tcW w:w="1644" w:type="dxa"/>
            <w:noWrap w:val="0"/>
            <w:vAlign w:val="center"/>
          </w:tcPr>
          <w:p w14:paraId="2551DE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63E6CD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0.0016</w:t>
            </w:r>
          </w:p>
        </w:tc>
        <w:tc>
          <w:tcPr>
            <w:tcW w:w="1647" w:type="dxa"/>
            <w:noWrap w:val="0"/>
            <w:vAlign w:val="center"/>
          </w:tcPr>
          <w:p w14:paraId="49904F0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0.00002765</w:t>
            </w:r>
          </w:p>
        </w:tc>
      </w:tr>
      <w:tr w14:paraId="5220AB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21CBFB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氰化物</w:t>
            </w:r>
          </w:p>
        </w:tc>
        <w:tc>
          <w:tcPr>
            <w:tcW w:w="1644" w:type="dxa"/>
            <w:noWrap w:val="0"/>
            <w:vAlign w:val="center"/>
          </w:tcPr>
          <w:p w14:paraId="1A18E0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0.004</w:t>
            </w:r>
          </w:p>
        </w:tc>
        <w:tc>
          <w:tcPr>
            <w:tcW w:w="1644" w:type="dxa"/>
            <w:noWrap w:val="0"/>
            <w:vAlign w:val="center"/>
          </w:tcPr>
          <w:p w14:paraId="239FEE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vertAlign w:val="baseline"/>
                <w:lang w:val="en-US" w:eastAsia="zh-CN"/>
              </w:rPr>
            </w:pPr>
            <w:r>
              <w:rPr>
                <w:rFonts w:hint="eastAsia" w:eastAsia="宋体"/>
                <w:color w:val="auto"/>
                <w:sz w:val="21"/>
                <w:szCs w:val="21"/>
                <w:highlight w:val="none"/>
                <w:vertAlign w:val="baseline"/>
                <w:lang w:val="en-US" w:eastAsia="zh-CN"/>
              </w:rPr>
              <w:t>0.000069</w:t>
            </w:r>
          </w:p>
        </w:tc>
        <w:tc>
          <w:tcPr>
            <w:tcW w:w="1644" w:type="dxa"/>
            <w:noWrap w:val="0"/>
            <w:vAlign w:val="center"/>
          </w:tcPr>
          <w:p w14:paraId="00E87B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w:t>
            </w:r>
            <w:r>
              <w:rPr>
                <w:rFonts w:hint="eastAsia" w:ascii="Times New Roman" w:hAnsi="Times New Roman" w:eastAsia="宋体" w:cs="Times New Roman"/>
                <w:color w:val="auto"/>
                <w:sz w:val="21"/>
                <w:szCs w:val="21"/>
                <w:highlight w:val="none"/>
                <w:vertAlign w:val="baseline"/>
                <w:lang w:val="en-US" w:eastAsia="zh-CN"/>
              </w:rPr>
              <w:t>0</w:t>
            </w:r>
          </w:p>
        </w:tc>
        <w:tc>
          <w:tcPr>
            <w:tcW w:w="1644" w:type="dxa"/>
            <w:noWrap w:val="0"/>
            <w:vAlign w:val="center"/>
          </w:tcPr>
          <w:p w14:paraId="1C9857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0.0016</w:t>
            </w:r>
          </w:p>
        </w:tc>
        <w:tc>
          <w:tcPr>
            <w:tcW w:w="1647" w:type="dxa"/>
            <w:noWrap w:val="0"/>
            <w:vAlign w:val="center"/>
          </w:tcPr>
          <w:p w14:paraId="4A9AE672">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0.00002765</w:t>
            </w:r>
          </w:p>
        </w:tc>
      </w:tr>
      <w:tr w14:paraId="6C815B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232" w:type="dxa"/>
            <w:gridSpan w:val="6"/>
            <w:noWrap w:val="0"/>
            <w:vAlign w:val="center"/>
          </w:tcPr>
          <w:p w14:paraId="42D1290B">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注：总铬、总镍、总铜、总铬、六价铬及氰化物等未检出因子产生浓度为检测方法检出限。</w:t>
            </w:r>
          </w:p>
        </w:tc>
      </w:tr>
    </w:tbl>
    <w:p w14:paraId="21A1CBDF">
      <w:pPr>
        <w:bidi w:val="0"/>
        <w:rPr>
          <w:rFonts w:hint="eastAsia"/>
          <w:sz w:val="24"/>
          <w:szCs w:val="24"/>
          <w:highlight w:val="none"/>
          <w:lang w:val="en-US" w:eastAsia="zh-CN"/>
        </w:rPr>
      </w:pPr>
      <w:r>
        <w:rPr>
          <w:rFonts w:hint="eastAsia"/>
          <w:sz w:val="24"/>
          <w:szCs w:val="24"/>
          <w:highlight w:val="none"/>
          <w:lang w:val="en-US" w:eastAsia="zh-CN"/>
        </w:rPr>
        <w:t>（3）生活污水</w:t>
      </w:r>
    </w:p>
    <w:p w14:paraId="0D0C2F36">
      <w:pPr>
        <w:widowControl w:val="0"/>
        <w:topLinePunct w:val="0"/>
        <w:bidi w:val="0"/>
        <w:jc w:val="left"/>
        <w:rPr>
          <w:rFonts w:hint="eastAsia"/>
          <w:sz w:val="24"/>
          <w:szCs w:val="24"/>
          <w:highlight w:val="none"/>
          <w:lang w:val="en-US" w:eastAsia="zh-CN"/>
        </w:rPr>
      </w:pPr>
      <w:r>
        <w:rPr>
          <w:rFonts w:hint="eastAsia"/>
          <w:sz w:val="24"/>
          <w:szCs w:val="24"/>
          <w:highlight w:val="none"/>
          <w:lang w:val="en-US" w:eastAsia="zh-CN"/>
        </w:rPr>
        <w:t>生活污水主要污染物是COD</w:t>
      </w:r>
      <w:r>
        <w:rPr>
          <w:rFonts w:hint="eastAsia"/>
          <w:sz w:val="24"/>
          <w:szCs w:val="24"/>
          <w:highlight w:val="none"/>
          <w:vertAlign w:val="subscript"/>
          <w:lang w:val="en-US" w:eastAsia="zh-CN"/>
        </w:rPr>
        <w:t>Cr</w:t>
      </w:r>
      <w:r>
        <w:rPr>
          <w:rFonts w:hint="eastAsia"/>
          <w:sz w:val="24"/>
          <w:szCs w:val="24"/>
          <w:highlight w:val="none"/>
          <w:lang w:val="en-US" w:eastAsia="zh-CN"/>
        </w:rPr>
        <w:t>、BOD</w:t>
      </w:r>
      <w:r>
        <w:rPr>
          <w:rFonts w:hint="eastAsia"/>
          <w:sz w:val="24"/>
          <w:szCs w:val="24"/>
          <w:highlight w:val="none"/>
          <w:vertAlign w:val="subscript"/>
          <w:lang w:val="en-US" w:eastAsia="zh-CN"/>
        </w:rPr>
        <w:t>5</w:t>
      </w:r>
      <w:r>
        <w:rPr>
          <w:rFonts w:hint="eastAsia"/>
          <w:sz w:val="24"/>
          <w:szCs w:val="24"/>
          <w:highlight w:val="none"/>
          <w:lang w:val="en-US" w:eastAsia="zh-CN"/>
        </w:rPr>
        <w:t>、氨氮和动植物油等。项目共有施工人员约20人，施工人员大部分为当地的居民，不在施工场地内住宿，施工人员就近租用居民区。每天生活用水以80L/人计，生活污水按用水量的80%计，则生活污水的产生量为1.28m</w:t>
      </w:r>
      <w:r>
        <w:rPr>
          <w:rFonts w:hint="eastAsia"/>
          <w:sz w:val="24"/>
          <w:szCs w:val="24"/>
          <w:highlight w:val="none"/>
          <w:vertAlign w:val="superscript"/>
          <w:lang w:val="en-US" w:eastAsia="zh-CN"/>
        </w:rPr>
        <w:t>3</w:t>
      </w:r>
      <w:r>
        <w:rPr>
          <w:rFonts w:hint="eastAsia"/>
          <w:sz w:val="24"/>
          <w:szCs w:val="24"/>
          <w:highlight w:val="none"/>
          <w:lang w:val="en-US" w:eastAsia="zh-CN"/>
        </w:rPr>
        <w:t>/d。生活污水水质数据为COD</w:t>
      </w:r>
      <w:r>
        <w:rPr>
          <w:rFonts w:hint="eastAsia"/>
          <w:sz w:val="24"/>
          <w:szCs w:val="24"/>
          <w:highlight w:val="none"/>
          <w:vertAlign w:val="subscript"/>
          <w:lang w:val="en-US" w:eastAsia="zh-CN"/>
        </w:rPr>
        <w:t>Cr</w:t>
      </w:r>
      <w:r>
        <w:rPr>
          <w:rFonts w:hint="eastAsia"/>
          <w:sz w:val="24"/>
          <w:szCs w:val="24"/>
          <w:highlight w:val="none"/>
          <w:lang w:val="en-US" w:eastAsia="zh-CN"/>
        </w:rPr>
        <w:t>：320mg/L，BOD</w:t>
      </w:r>
      <w:r>
        <w:rPr>
          <w:rFonts w:hint="eastAsia"/>
          <w:sz w:val="24"/>
          <w:szCs w:val="24"/>
          <w:highlight w:val="none"/>
          <w:vertAlign w:val="subscript"/>
          <w:lang w:val="en-US" w:eastAsia="zh-CN"/>
        </w:rPr>
        <w:t>5:</w:t>
      </w:r>
      <w:r>
        <w:rPr>
          <w:rFonts w:hint="eastAsia"/>
          <w:sz w:val="24"/>
          <w:szCs w:val="24"/>
          <w:highlight w:val="none"/>
          <w:lang w:val="en-US" w:eastAsia="zh-CN"/>
        </w:rPr>
        <w:t>180mg/L，氨氮：30mg/L，</w:t>
      </w:r>
      <w:r>
        <w:rPr>
          <w:rFonts w:hint="eastAsia"/>
          <w:color w:val="auto"/>
          <w:sz w:val="24"/>
          <w:szCs w:val="24"/>
          <w:u w:val="none" w:color="auto"/>
        </w:rPr>
        <w:t>总</w:t>
      </w:r>
      <w:r>
        <w:rPr>
          <w:rFonts w:hint="eastAsia"/>
          <w:color w:val="auto"/>
          <w:sz w:val="24"/>
          <w:szCs w:val="24"/>
          <w:u w:val="none" w:color="auto"/>
          <w:lang w:val="en-US" w:eastAsia="zh-CN"/>
        </w:rPr>
        <w:t>磷</w:t>
      </w:r>
      <w:r>
        <w:rPr>
          <w:rFonts w:hint="eastAsia"/>
          <w:color w:val="auto"/>
          <w:sz w:val="24"/>
          <w:szCs w:val="24"/>
          <w:u w:val="none" w:color="auto"/>
          <w:lang w:eastAsia="zh-CN"/>
        </w:rPr>
        <w:t>：</w:t>
      </w:r>
      <w:r>
        <w:rPr>
          <w:rFonts w:hint="eastAsia"/>
          <w:color w:val="auto"/>
          <w:sz w:val="24"/>
          <w:szCs w:val="24"/>
          <w:u w:val="none" w:color="auto"/>
          <w:lang w:val="en-US" w:eastAsia="zh-CN"/>
        </w:rPr>
        <w:t>4</w:t>
      </w:r>
      <w:r>
        <w:rPr>
          <w:rFonts w:hint="default" w:ascii="Times New Roman" w:hAnsi="Times New Roman" w:cs="Times New Roman"/>
          <w:snapToGrid w:val="0"/>
          <w:color w:val="auto"/>
          <w:sz w:val="24"/>
          <w:szCs w:val="24"/>
          <w:u w:val="none" w:color="auto"/>
        </w:rPr>
        <w:t>mg/L</w:t>
      </w:r>
      <w:r>
        <w:rPr>
          <w:rFonts w:hint="eastAsia"/>
          <w:color w:val="auto"/>
          <w:sz w:val="24"/>
          <w:szCs w:val="24"/>
          <w:u w:val="none" w:color="auto"/>
          <w:lang w:eastAsia="zh-CN"/>
        </w:rPr>
        <w:t>，</w:t>
      </w:r>
      <w:r>
        <w:rPr>
          <w:rFonts w:hint="eastAsia"/>
          <w:sz w:val="24"/>
          <w:szCs w:val="24"/>
          <w:highlight w:val="none"/>
          <w:lang w:val="en-US" w:eastAsia="zh-CN"/>
        </w:rPr>
        <w:t>动植物油：20mg/L。本项目施工人员生活污水经化粪池处理后用于农肥，不外排。</w:t>
      </w:r>
    </w:p>
    <w:p w14:paraId="1D518F03">
      <w:pPr>
        <w:bidi w:val="0"/>
        <w:rPr>
          <w:rFonts w:hint="eastAsia"/>
          <w:sz w:val="24"/>
          <w:szCs w:val="24"/>
          <w:highlight w:val="none"/>
          <w:lang w:val="en-US" w:eastAsia="zh-CN"/>
        </w:rPr>
      </w:pPr>
      <w:r>
        <w:rPr>
          <w:rFonts w:hint="eastAsia"/>
          <w:sz w:val="24"/>
          <w:szCs w:val="24"/>
          <w:highlight w:val="none"/>
          <w:lang w:val="en-US" w:eastAsia="zh-CN"/>
        </w:rPr>
        <w:t>（4）车辆清洗废水</w:t>
      </w:r>
    </w:p>
    <w:p w14:paraId="29CF3FED">
      <w:pPr>
        <w:bidi w:val="0"/>
        <w:rPr>
          <w:rFonts w:hint="eastAsia"/>
          <w:sz w:val="24"/>
          <w:szCs w:val="24"/>
          <w:highlight w:val="none"/>
          <w:lang w:val="en-US" w:eastAsia="zh-CN"/>
        </w:rPr>
      </w:pPr>
      <w:r>
        <w:rPr>
          <w:rFonts w:hint="eastAsia"/>
          <w:sz w:val="24"/>
          <w:szCs w:val="24"/>
          <w:highlight w:val="none"/>
          <w:u w:val="none"/>
          <w:lang w:val="en-US" w:eastAsia="zh-CN"/>
        </w:rPr>
        <w:t>根据施工方案，废渣区、填埋区和取土场三者距离最远为3.5km，为防止车辆携带泥土引起扬尘等污染，运输车辆每次均需清洗。废渣运输量为55999.73m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，取土运输总量为29866.58m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，密度取1.8t/m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，则运输重量约为154559.358t，采用20t车辆运输，共计约7728辆次。车辆冲洗水量大致为0.05m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/辆次，则车辆清洗用水386.4m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w:t>
      </w:r>
      <w:r>
        <w:rPr>
          <w:rFonts w:hint="eastAsia"/>
          <w:sz w:val="24"/>
          <w:szCs w:val="24"/>
          <w:highlight w:val="none"/>
          <w:lang w:val="en-US" w:eastAsia="zh-CN"/>
        </w:rPr>
        <w:t>车辆清洗废水产污系数按0.8计，则车辆清洗废水产生量为309.12m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（1.03m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/d）</w:t>
      </w:r>
      <w:r>
        <w:rPr>
          <w:rFonts w:hint="eastAsia"/>
          <w:sz w:val="24"/>
          <w:szCs w:val="24"/>
          <w:highlight w:val="none"/>
          <w:lang w:val="en-US" w:eastAsia="zh-CN"/>
        </w:rPr>
        <w:t>。车辆清洗废水主要污染因子为石油类、SS，石油类浓度10~30mg/L、SS浓度500~1000mg/L。在项目地进出口设置洗车平台，洗车废水采用集水池收集，经沉淀池处理后回用于洗车及洒水降尘，不外排。</w:t>
      </w:r>
    </w:p>
    <w:p w14:paraId="7E449BDF">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3.2.3.3噪声</w:t>
      </w:r>
    </w:p>
    <w:p w14:paraId="03F1A476">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本项目施工期主要噪声源为装载机、挖掘机、压实机、推土机、自卸汽车及水泵等，其噪声源强范围为78~90dB（A），施工期噪声源强情况见表3.2-8。</w:t>
      </w:r>
    </w:p>
    <w:p w14:paraId="25477429">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表3.2-8  施工机械噪声一览表    单位：dB（A）</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114"/>
        <w:gridCol w:w="2719"/>
        <w:gridCol w:w="3155"/>
        <w:gridCol w:w="2293"/>
      </w:tblGrid>
      <w:tr w14:paraId="707A9EBE">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tblHeader/>
          <w:jc w:val="center"/>
        </w:trPr>
        <w:tc>
          <w:tcPr>
            <w:tcW w:w="600" w:type="pct"/>
            <w:noWrap w:val="0"/>
            <w:vAlign w:val="center"/>
          </w:tcPr>
          <w:p w14:paraId="0DC9164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序号</w:t>
            </w:r>
          </w:p>
        </w:tc>
        <w:tc>
          <w:tcPr>
            <w:tcW w:w="1464" w:type="pct"/>
            <w:noWrap w:val="0"/>
            <w:vAlign w:val="center"/>
          </w:tcPr>
          <w:p w14:paraId="45125FB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噪声源</w:t>
            </w:r>
          </w:p>
        </w:tc>
        <w:tc>
          <w:tcPr>
            <w:tcW w:w="1699" w:type="pct"/>
            <w:noWrap w:val="0"/>
            <w:vAlign w:val="center"/>
          </w:tcPr>
          <w:p w14:paraId="30FE0F6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发声持续时间</w:t>
            </w:r>
          </w:p>
        </w:tc>
        <w:tc>
          <w:tcPr>
            <w:tcW w:w="1235" w:type="pct"/>
            <w:noWrap w:val="0"/>
            <w:vAlign w:val="center"/>
          </w:tcPr>
          <w:p w14:paraId="43ED9C3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最大噪声级</w:t>
            </w:r>
          </w:p>
        </w:tc>
      </w:tr>
      <w:tr w14:paraId="696C0FF7">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00" w:type="pct"/>
            <w:noWrap w:val="0"/>
            <w:vAlign w:val="center"/>
          </w:tcPr>
          <w:p w14:paraId="24F2C22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w:t>
            </w:r>
          </w:p>
        </w:tc>
        <w:tc>
          <w:tcPr>
            <w:tcW w:w="1464" w:type="pct"/>
            <w:noWrap w:val="0"/>
            <w:vAlign w:val="center"/>
          </w:tcPr>
          <w:p w14:paraId="6408153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装载机</w:t>
            </w:r>
          </w:p>
        </w:tc>
        <w:tc>
          <w:tcPr>
            <w:tcW w:w="1699" w:type="pct"/>
            <w:noWrap w:val="0"/>
            <w:vAlign w:val="center"/>
          </w:tcPr>
          <w:p w14:paraId="742A54A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间断性</w:t>
            </w:r>
          </w:p>
        </w:tc>
        <w:tc>
          <w:tcPr>
            <w:tcW w:w="1235" w:type="pct"/>
            <w:noWrap w:val="0"/>
            <w:vAlign w:val="center"/>
          </w:tcPr>
          <w:p w14:paraId="6E20B56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90</w:t>
            </w:r>
          </w:p>
        </w:tc>
      </w:tr>
      <w:tr w14:paraId="1BCE0F0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00" w:type="pct"/>
            <w:noWrap w:val="0"/>
            <w:vAlign w:val="center"/>
          </w:tcPr>
          <w:p w14:paraId="42E5591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2</w:t>
            </w:r>
          </w:p>
        </w:tc>
        <w:tc>
          <w:tcPr>
            <w:tcW w:w="1464" w:type="pct"/>
            <w:noWrap w:val="0"/>
            <w:vAlign w:val="center"/>
          </w:tcPr>
          <w:p w14:paraId="192FA1F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挖掘机</w:t>
            </w:r>
          </w:p>
        </w:tc>
        <w:tc>
          <w:tcPr>
            <w:tcW w:w="1699" w:type="pct"/>
            <w:noWrap w:val="0"/>
            <w:vAlign w:val="center"/>
          </w:tcPr>
          <w:p w14:paraId="70E92D5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间断性</w:t>
            </w:r>
          </w:p>
        </w:tc>
        <w:tc>
          <w:tcPr>
            <w:tcW w:w="1235" w:type="pct"/>
            <w:noWrap w:val="0"/>
            <w:vAlign w:val="center"/>
          </w:tcPr>
          <w:p w14:paraId="77236D1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90</w:t>
            </w:r>
          </w:p>
        </w:tc>
      </w:tr>
      <w:tr w14:paraId="01B8463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00" w:type="pct"/>
            <w:noWrap w:val="0"/>
            <w:vAlign w:val="center"/>
          </w:tcPr>
          <w:p w14:paraId="73C9787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3</w:t>
            </w:r>
          </w:p>
        </w:tc>
        <w:tc>
          <w:tcPr>
            <w:tcW w:w="1464" w:type="pct"/>
            <w:noWrap w:val="0"/>
            <w:vAlign w:val="center"/>
          </w:tcPr>
          <w:p w14:paraId="31AC9EF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压实机</w:t>
            </w:r>
          </w:p>
        </w:tc>
        <w:tc>
          <w:tcPr>
            <w:tcW w:w="1699" w:type="pct"/>
            <w:noWrap w:val="0"/>
            <w:vAlign w:val="center"/>
          </w:tcPr>
          <w:p w14:paraId="03633D1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间断性</w:t>
            </w:r>
          </w:p>
        </w:tc>
        <w:tc>
          <w:tcPr>
            <w:tcW w:w="1235" w:type="pct"/>
            <w:noWrap w:val="0"/>
            <w:vAlign w:val="center"/>
          </w:tcPr>
          <w:p w14:paraId="1226BE1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88</w:t>
            </w:r>
          </w:p>
        </w:tc>
      </w:tr>
      <w:tr w14:paraId="0D969B0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00" w:type="pct"/>
            <w:noWrap w:val="0"/>
            <w:vAlign w:val="center"/>
          </w:tcPr>
          <w:p w14:paraId="1C25D1B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4</w:t>
            </w:r>
          </w:p>
        </w:tc>
        <w:tc>
          <w:tcPr>
            <w:tcW w:w="1464" w:type="pct"/>
            <w:noWrap w:val="0"/>
            <w:vAlign w:val="center"/>
          </w:tcPr>
          <w:p w14:paraId="77A8ADB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推土机</w:t>
            </w:r>
          </w:p>
        </w:tc>
        <w:tc>
          <w:tcPr>
            <w:tcW w:w="1699" w:type="pct"/>
            <w:noWrap w:val="0"/>
            <w:vAlign w:val="center"/>
          </w:tcPr>
          <w:p w14:paraId="4F308FC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间断性</w:t>
            </w:r>
          </w:p>
        </w:tc>
        <w:tc>
          <w:tcPr>
            <w:tcW w:w="1235" w:type="pct"/>
            <w:noWrap w:val="0"/>
            <w:vAlign w:val="center"/>
          </w:tcPr>
          <w:p w14:paraId="24D11DF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78</w:t>
            </w:r>
          </w:p>
        </w:tc>
      </w:tr>
      <w:tr w14:paraId="7A9D711B">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00" w:type="pct"/>
            <w:noWrap w:val="0"/>
            <w:vAlign w:val="center"/>
          </w:tcPr>
          <w:p w14:paraId="29ACF1E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5</w:t>
            </w:r>
          </w:p>
        </w:tc>
        <w:tc>
          <w:tcPr>
            <w:tcW w:w="1464" w:type="pct"/>
            <w:noWrap w:val="0"/>
            <w:vAlign w:val="center"/>
          </w:tcPr>
          <w:p w14:paraId="6085807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sz w:val="21"/>
                <w:szCs w:val="21"/>
                <w:u w:val="none"/>
              </w:rPr>
              <w:t>密闭自卸汽车</w:t>
            </w:r>
          </w:p>
        </w:tc>
        <w:tc>
          <w:tcPr>
            <w:tcW w:w="1699" w:type="pct"/>
            <w:noWrap w:val="0"/>
            <w:vAlign w:val="center"/>
          </w:tcPr>
          <w:p w14:paraId="6CF5209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间断性</w:t>
            </w:r>
          </w:p>
        </w:tc>
        <w:tc>
          <w:tcPr>
            <w:tcW w:w="1235" w:type="pct"/>
            <w:noWrap w:val="0"/>
            <w:vAlign w:val="center"/>
          </w:tcPr>
          <w:p w14:paraId="57B5B8A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85</w:t>
            </w:r>
          </w:p>
        </w:tc>
      </w:tr>
      <w:tr w14:paraId="4C1A420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00" w:type="pct"/>
            <w:noWrap w:val="0"/>
            <w:vAlign w:val="center"/>
          </w:tcPr>
          <w:p w14:paraId="7658A58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6</w:t>
            </w:r>
          </w:p>
        </w:tc>
        <w:tc>
          <w:tcPr>
            <w:tcW w:w="1464" w:type="pct"/>
            <w:noWrap w:val="0"/>
            <w:vAlign w:val="center"/>
          </w:tcPr>
          <w:p w14:paraId="3B5D506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水泵</w:t>
            </w:r>
          </w:p>
        </w:tc>
        <w:tc>
          <w:tcPr>
            <w:tcW w:w="1699" w:type="pct"/>
            <w:noWrap w:val="0"/>
            <w:vAlign w:val="center"/>
          </w:tcPr>
          <w:p w14:paraId="3BBB6B1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间断性</w:t>
            </w:r>
          </w:p>
        </w:tc>
        <w:tc>
          <w:tcPr>
            <w:tcW w:w="1235" w:type="pct"/>
            <w:noWrap w:val="0"/>
            <w:vAlign w:val="center"/>
          </w:tcPr>
          <w:p w14:paraId="63E885F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90</w:t>
            </w:r>
          </w:p>
        </w:tc>
      </w:tr>
    </w:tbl>
    <w:p w14:paraId="0D6322BE">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3.2.3.4</w:t>
      </w:r>
      <w:r>
        <w:rPr>
          <w:rFonts w:hint="default" w:ascii="Times New Roman" w:hAnsi="Times New Roman" w:cs="Times New Roman"/>
          <w:sz w:val="24"/>
          <w:szCs w:val="24"/>
          <w:u w:val="none"/>
          <w:lang w:val="en-US" w:eastAsia="zh-CN"/>
        </w:rPr>
        <w:t>固废</w:t>
      </w:r>
    </w:p>
    <w:p w14:paraId="52B8AA98">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施工期固体废物主要为废渣区遗留废渣、生活垃圾、废渣填埋场建设产生的废防渗材料、废包装袋、建筑垃圾、污水处理设施污泥</w:t>
      </w:r>
      <w:r>
        <w:rPr>
          <w:rFonts w:hint="eastAsia" w:cs="Times New Roman"/>
          <w:sz w:val="24"/>
          <w:szCs w:val="24"/>
          <w:highlight w:val="none"/>
          <w:u w:val="none"/>
          <w:lang w:val="en-US" w:eastAsia="zh-CN"/>
        </w:rPr>
        <w:t>、填埋区表土</w:t>
      </w:r>
      <w:r>
        <w:rPr>
          <w:rFonts w:hint="default" w:ascii="Times New Roman" w:hAnsi="Times New Roman" w:cs="Times New Roman"/>
          <w:sz w:val="24"/>
          <w:szCs w:val="24"/>
          <w:highlight w:val="none"/>
          <w:u w:val="none"/>
          <w:lang w:val="en-US" w:eastAsia="zh-CN"/>
        </w:rPr>
        <w:t>。</w:t>
      </w:r>
    </w:p>
    <w:p w14:paraId="3932EFD0">
      <w:pPr>
        <w:widowControl w:val="0"/>
        <w:topLinePunct w:val="0"/>
        <w:bidi w:val="0"/>
        <w:jc w:val="left"/>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（1）废渣区废渣</w:t>
      </w:r>
    </w:p>
    <w:p w14:paraId="5B0AE357">
      <w:pPr>
        <w:widowControl w:val="0"/>
        <w:topLinePunct w:val="0"/>
        <w:bidi w:val="0"/>
        <w:jc w:val="left"/>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根据场地调查报告可知，地块遗留废渣共计55999.73m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，属于一般</w:t>
      </w:r>
      <w:r>
        <w:rPr>
          <w:rFonts w:hint="default" w:ascii="Times New Roman" w:hAnsi="Times New Roman" w:eastAsia="宋体" w:cs="Times New Roman"/>
          <w:sz w:val="24"/>
          <w:szCs w:val="24"/>
          <w:highlight w:val="none"/>
          <w:u w:val="none"/>
          <w:lang w:val="en-US" w:eastAsia="zh-CN"/>
        </w:rPr>
        <w:t>Ⅰ</w:t>
      </w:r>
      <w:r>
        <w:rPr>
          <w:rFonts w:hint="default" w:ascii="Times New Roman" w:hAnsi="Times New Roman" w:cs="Times New Roman"/>
          <w:sz w:val="24"/>
          <w:szCs w:val="24"/>
          <w:highlight w:val="none"/>
          <w:u w:val="none"/>
          <w:lang w:val="en-US" w:eastAsia="zh-CN"/>
        </w:rPr>
        <w:t>类固体废物和一般Ⅱ类固体废物，开挖运送至自建填埋场进行集中安全填埋处置。</w:t>
      </w:r>
    </w:p>
    <w:p w14:paraId="682788E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（2）生活垃圾</w:t>
      </w:r>
    </w:p>
    <w:p w14:paraId="1443315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项目在治理期间，施工人员日常生活产生生活垃圾。项目施工人数以20人计，生活垃圾产生系数以0.5kg/人·d计，则生活垃圾产生量为10kg/d。生活垃圾按当地环卫部门要求进行处置。</w:t>
      </w:r>
    </w:p>
    <w:p w14:paraId="1BA127B4">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（3）废防渗材料</w:t>
      </w:r>
    </w:p>
    <w:p w14:paraId="6E20D62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根据工程内容可知，项目废渣填埋场采用HDPE防渗膜和无纺土工布进行防渗，其中HDPE防渗膜使用面积为34071.2m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（密度约为950g/m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），无纺土工布使用面积为34071.2m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（密度约为600g/m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），则防渗材料总计约为52.81t，其中废防渗材料约为1%，则废防渗材料约为0.528t，废防渗材料经收集后集中外售。</w:t>
      </w:r>
    </w:p>
    <w:p w14:paraId="6D3E899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（4）废包装袋</w:t>
      </w:r>
    </w:p>
    <w:p w14:paraId="4E8A5486">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本项目土工布和HDPE土工膜入场将产生部分废包装袋，废包装袋产生量为约0.1t，经收集后集中外售。</w:t>
      </w:r>
    </w:p>
    <w:p w14:paraId="7246E9B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（5）建筑垃圾</w:t>
      </w:r>
    </w:p>
    <w:p w14:paraId="4144CA71">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本项目填埋场施工及封场产生的建筑垃圾量约2t，交由环卫部门统一清运。</w:t>
      </w:r>
    </w:p>
    <w:p w14:paraId="43E6307B">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（6）污水处理设施污泥</w:t>
      </w:r>
    </w:p>
    <w:p w14:paraId="6577FFCA">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项目采用重金属一体化设备对</w:t>
      </w:r>
      <w:r>
        <w:rPr>
          <w:rFonts w:hint="default" w:ascii="Times New Roman" w:hAnsi="Times New Roman" w:cs="Times New Roman"/>
          <w:sz w:val="24"/>
          <w:szCs w:val="24"/>
          <w:lang w:val="en-US" w:eastAsia="zh-CN"/>
        </w:rPr>
        <w:t>淋溶水</w:t>
      </w:r>
      <w:r>
        <w:rPr>
          <w:rFonts w:hint="default" w:ascii="Times New Roman" w:hAnsi="Times New Roman" w:cs="Times New Roman"/>
          <w:sz w:val="24"/>
          <w:szCs w:val="24"/>
          <w:highlight w:val="none"/>
          <w:u w:val="none"/>
          <w:lang w:val="en-US" w:eastAsia="zh-CN"/>
        </w:rPr>
        <w:t>、渗滤液等进行处理，期间产生污泥。根据废水处理量计算，污泥产生量约为1.5t。污泥产生量很小，经压滤处理后，作为危废委托有资质单位处理处置。</w:t>
      </w:r>
    </w:p>
    <w:p w14:paraId="23A70F17">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（7）沉淀池污泥</w:t>
      </w:r>
    </w:p>
    <w:p w14:paraId="733E42DE">
      <w:pPr>
        <w:bidi w:val="0"/>
        <w:rPr>
          <w:rFonts w:hint="eastAsia"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项目采用沉淀池对</w:t>
      </w:r>
      <w:r>
        <w:rPr>
          <w:rFonts w:hint="default" w:ascii="Times New Roman" w:hAnsi="Times New Roman" w:cs="Times New Roman"/>
          <w:sz w:val="24"/>
          <w:szCs w:val="24"/>
          <w:lang w:val="en-US" w:eastAsia="zh-CN"/>
        </w:rPr>
        <w:t>车辆冲洗废水</w:t>
      </w:r>
      <w:r>
        <w:rPr>
          <w:rFonts w:hint="default" w:ascii="Times New Roman" w:hAnsi="Times New Roman" w:cs="Times New Roman"/>
          <w:sz w:val="24"/>
          <w:szCs w:val="24"/>
          <w:highlight w:val="none"/>
          <w:u w:val="none"/>
          <w:lang w:val="en-US" w:eastAsia="zh-CN"/>
        </w:rPr>
        <w:t>进行处理，期间产生污泥。根据废水处理量计算，污泥产生量约为4t。送至自建填埋场进行集中安全填埋处置</w:t>
      </w:r>
      <w:r>
        <w:rPr>
          <w:rFonts w:hint="eastAsia" w:cs="Times New Roman"/>
          <w:sz w:val="24"/>
          <w:szCs w:val="24"/>
          <w:highlight w:val="none"/>
          <w:u w:val="none"/>
          <w:lang w:val="en-US" w:eastAsia="zh-CN"/>
        </w:rPr>
        <w:t>。</w:t>
      </w:r>
    </w:p>
    <w:p w14:paraId="6BDEF6A7">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w:t>
      </w:r>
      <w:r>
        <w:rPr>
          <w:rFonts w:hint="eastAsia" w:cs="Times New Roman"/>
          <w:sz w:val="24"/>
          <w:szCs w:val="24"/>
          <w:highlight w:val="none"/>
          <w:u w:val="none"/>
          <w:lang w:val="en-US" w:eastAsia="zh-CN"/>
        </w:rPr>
        <w:t>8</w:t>
      </w:r>
      <w:r>
        <w:rPr>
          <w:rFonts w:hint="default" w:ascii="Times New Roman" w:hAnsi="Times New Roman" w:cs="Times New Roman"/>
          <w:sz w:val="24"/>
          <w:szCs w:val="24"/>
          <w:highlight w:val="none"/>
          <w:u w:val="none"/>
          <w:lang w:val="en-US" w:eastAsia="zh-CN"/>
        </w:rPr>
        <w:t>）填埋区表土</w:t>
      </w:r>
    </w:p>
    <w:p w14:paraId="1813F54C">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w:t>
      </w:r>
      <w:r>
        <w:rPr>
          <w:rFonts w:hint="eastAsia" w:cs="Times New Roman"/>
          <w:sz w:val="24"/>
          <w:szCs w:val="24"/>
          <w:highlight w:val="none"/>
          <w:u w:val="none"/>
          <w:lang w:val="en-US" w:eastAsia="zh-CN"/>
        </w:rPr>
        <w:t>填埋区填埋废渣前剥离表土0.5m，根据前文土石方平衡可知，剥离表土为4205m</w:t>
      </w:r>
      <w:r>
        <w:rPr>
          <w:rFonts w:hint="eastAsia"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。清表的表土临时堆存，用于填埋废渣后回填覆土。</w:t>
      </w:r>
    </w:p>
    <w:p w14:paraId="6953ACE5">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3.2.3.5</w:t>
      </w:r>
      <w:r>
        <w:rPr>
          <w:rFonts w:hint="default" w:ascii="Times New Roman" w:hAnsi="Times New Roman" w:cs="Times New Roman"/>
          <w:sz w:val="24"/>
          <w:szCs w:val="24"/>
          <w:lang w:val="en-US" w:eastAsia="zh-CN"/>
        </w:rPr>
        <w:t>生态环境</w:t>
      </w:r>
    </w:p>
    <w:p w14:paraId="2F23237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工程在建设过程中，</w:t>
      </w:r>
      <w:r>
        <w:rPr>
          <w:rFonts w:hint="eastAsia" w:cs="Times New Roman"/>
          <w:sz w:val="24"/>
          <w:szCs w:val="24"/>
          <w:highlight w:val="none"/>
          <w:lang w:val="en-US" w:eastAsia="zh-CN"/>
        </w:rPr>
        <w:t>取土场</w:t>
      </w:r>
      <w:r>
        <w:rPr>
          <w:rFonts w:hint="default" w:ascii="Times New Roman" w:hAnsi="Times New Roman" w:cs="Times New Roman"/>
          <w:sz w:val="24"/>
          <w:szCs w:val="24"/>
          <w:highlight w:val="none"/>
          <w:lang w:val="en-US" w:eastAsia="zh-CN"/>
        </w:rPr>
        <w:t>、填埋区建设等活动，扰动了局部原生地貌、破坏植被、影响动物栖息地、造成水土流失，使生态环境遭受一定的影响。</w:t>
      </w:r>
    </w:p>
    <w:p w14:paraId="1FD039B1">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1）工程施工过</w:t>
      </w:r>
      <w:r>
        <w:rPr>
          <w:rFonts w:hint="eastAsia" w:cs="Times New Roman"/>
          <w:sz w:val="24"/>
          <w:szCs w:val="24"/>
          <w:highlight w:val="none"/>
          <w:lang w:val="en-US" w:eastAsia="zh-CN"/>
        </w:rPr>
        <w:t>程中</w:t>
      </w:r>
      <w:r>
        <w:rPr>
          <w:rFonts w:hint="default" w:ascii="Times New Roman" w:hAnsi="Times New Roman" w:cs="Times New Roman"/>
          <w:sz w:val="24"/>
          <w:szCs w:val="24"/>
          <w:highlight w:val="none"/>
          <w:lang w:val="en-US" w:eastAsia="zh-CN"/>
        </w:rPr>
        <w:t>土方的开挖和回填，将会在短期内加大水土流失量。</w:t>
      </w:r>
    </w:p>
    <w:p w14:paraId="40D28683">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2）由于工程的占地和施工场地，将对废渣点和废渣填埋场范围内的植被产生破坏影响。</w:t>
      </w:r>
    </w:p>
    <w:p w14:paraId="7856846D">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项目为环境综合治理项目，治理完毕将对该区域生态进行恢复，对该区域生态有着积极影响。</w:t>
      </w:r>
    </w:p>
    <w:p w14:paraId="053C57E8">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3.2.3.6</w:t>
      </w:r>
      <w:r>
        <w:rPr>
          <w:rFonts w:hint="default" w:ascii="Times New Roman" w:hAnsi="Times New Roman" w:cs="Times New Roman"/>
          <w:sz w:val="24"/>
          <w:szCs w:val="24"/>
          <w:lang w:val="en-US" w:eastAsia="zh-CN"/>
        </w:rPr>
        <w:t>水土流失</w:t>
      </w:r>
    </w:p>
    <w:p w14:paraId="16719829">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开挖、填埋场及表土临时堆放时以及施工结束前后一段时间内地表绿化工作尚未完成时，都将造成土壤裸露，致使土壤抗侵蚀能力降低，极易受降水径流冲刷而造成水土流失，特别是暴雨冲刷更为严重。</w:t>
      </w:r>
    </w:p>
    <w:p w14:paraId="15AC21B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为防治水土流失，项目在施工时合理安排挖填方作业，及时压实填方，场区周边修建截水沟，防止降水径流对开挖面和填方区的冲刷，从根本上减少水土流失量。</w:t>
      </w:r>
    </w:p>
    <w:p w14:paraId="29893E62">
      <w:pPr>
        <w:pStyle w:val="4"/>
        <w:keepNext/>
        <w:keepLines/>
        <w:pageBreakBefore w:val="0"/>
        <w:widowControl/>
        <w:numPr>
          <w:ilvl w:val="2"/>
          <w:numId w:val="0"/>
        </w:numPr>
        <w:tabs>
          <w:tab w:val="left" w:pos="0"/>
        </w:tabs>
        <w:kinsoku/>
        <w:wordWrap/>
        <w:overflowPunct/>
        <w:topLinePunct/>
        <w:autoSpaceDE/>
        <w:autoSpaceDN/>
        <w:bidi w:val="0"/>
        <w:adjustRightInd/>
        <w:snapToGrid/>
        <w:spacing w:before="0" w:beforeLines="0" w:after="0" w:afterLines="0"/>
        <w:ind w:leftChars="0"/>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3.2.4封场后污染源分析</w:t>
      </w:r>
    </w:p>
    <w:p w14:paraId="09FCAED6">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废渣开挖、清运和填埋同时进行，填埋场只填埋本项目废渣，不承担其他贮存、处置任务。废渣开挖、清运和填埋完成后，填埋场区立即关闭、封场。关闭或封场前，必须编制关闭或封场计划，报请所在相关环境保护行政主管部门核准，并采取污染防治措施。</w:t>
      </w:r>
    </w:p>
    <w:p w14:paraId="27AB373E">
      <w:pPr>
        <w:pStyle w:val="5"/>
        <w:numPr>
          <w:ilvl w:val="3"/>
          <w:numId w:val="0"/>
        </w:numPr>
        <w:tabs>
          <w:tab w:val="left" w:pos="964"/>
        </w:tabs>
        <w:bidi w:val="0"/>
        <w:ind w:leftChars="0"/>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3.2.4.1</w:t>
      </w:r>
      <w:r>
        <w:rPr>
          <w:rFonts w:hint="default" w:ascii="Times New Roman" w:hAnsi="Times New Roman" w:cs="Times New Roman"/>
          <w:sz w:val="24"/>
          <w:szCs w:val="24"/>
          <w:highlight w:val="none"/>
          <w:lang w:val="en-US" w:eastAsia="zh-CN"/>
        </w:rPr>
        <w:t>废气</w:t>
      </w:r>
    </w:p>
    <w:p w14:paraId="3C1D22A6">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本项目对遗留废渣进行一次性填埋，废渣均为无机物，在填埋区内不会分解成气态物质，且填埋场为密闭结构，建成后不再有产生大气污染物的排放源。</w:t>
      </w:r>
    </w:p>
    <w:p w14:paraId="61159AE3">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3.2.4.2</w:t>
      </w:r>
      <w:r>
        <w:rPr>
          <w:rFonts w:hint="default" w:ascii="Times New Roman" w:hAnsi="Times New Roman" w:cs="Times New Roman"/>
          <w:sz w:val="24"/>
          <w:szCs w:val="24"/>
          <w:lang w:val="en-US" w:eastAsia="zh-CN"/>
        </w:rPr>
        <w:t>废水</w:t>
      </w:r>
    </w:p>
    <w:p w14:paraId="62AC9611">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填埋场封场后主要废水为渗滤液。参考《生活垃圾填埋场渗滤液处理工程技术规范（试行）》（HJ564-2010），有关渗滤液产生量的经验估算公式如下：</w:t>
      </w:r>
    </w:p>
    <w:p w14:paraId="2A1E5540">
      <w:pPr>
        <w:ind w:left="0" w:leftChars="0" w:firstLine="0" w:firstLineChars="0"/>
        <w:jc w:val="cente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Q=（A</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）×I×10</w:t>
      </w:r>
      <w:r>
        <w:rPr>
          <w:rFonts w:hint="default" w:ascii="Times New Roman" w:hAnsi="Times New Roman" w:cs="Times New Roman"/>
          <w:sz w:val="24"/>
          <w:szCs w:val="24"/>
          <w:highlight w:val="none"/>
          <w:vertAlign w:val="superscript"/>
          <w:lang w:val="en-US" w:eastAsia="zh-CN"/>
        </w:rPr>
        <w:t>-3</w:t>
      </w:r>
    </w:p>
    <w:p w14:paraId="74E072FA">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式中：</w:t>
      </w:r>
    </w:p>
    <w:p w14:paraId="7A623C75">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Q—渗滤液水量，m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/d；</w:t>
      </w:r>
    </w:p>
    <w:p w14:paraId="759DFDA2">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—填埋作业面的面积，m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，本项目取0；</w:t>
      </w:r>
    </w:p>
    <w:p w14:paraId="7D5C88E7">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—填埋作业区的渗滤系数，一般宜取0.5~0.8，本项目取0.8；</w:t>
      </w:r>
    </w:p>
    <w:p w14:paraId="0F7EAB18">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—中间覆盖单元汇水面积，m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，本项目取0；</w:t>
      </w:r>
    </w:p>
    <w:p w14:paraId="662CEFD8">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—中间覆盖单元渗出系数，宜取（0.4~0.6）C1，本项目取0.6C1，即0.48；</w:t>
      </w:r>
    </w:p>
    <w:p w14:paraId="5FA8EC8B">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—终场覆盖单元汇水面积，m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，本项目取8517.35m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w:t>
      </w:r>
    </w:p>
    <w:p w14:paraId="49CD9A7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C</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—终场覆盖单元渗出系数，一般宜取0.1~0.2，本项目取0.2；</w:t>
      </w:r>
    </w:p>
    <w:p w14:paraId="6F76991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I—降雨强度，mm/d，平江县取4.25mm/d。</w:t>
      </w:r>
    </w:p>
    <w:p w14:paraId="55E3533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查阅平江县相关气象统计资料，平江县降雨强度为4.25mm/d，同时考虑到填埋场封场覆盖系统采用防渗性能良好的防渗材料，且填埋场四周均建设了截排水沟，可以有效防止场区四周雨水汇入。</w:t>
      </w:r>
    </w:p>
    <w:p w14:paraId="1E6E8031">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废渣填埋场封场后，无填埋作业面、中间覆盖单元。故本工程填埋区对应的A</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、A</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及A</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值分别0、0及8517.35m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。填埋后废渣填埋场上部设置有HDPE防渗层，综合考虑，封场区渗出系数C</w:t>
      </w:r>
      <w:r>
        <w:rPr>
          <w:rFonts w:hint="default" w:ascii="Times New Roman" w:hAnsi="Times New Roman" w:cs="Times New Roman"/>
          <w:sz w:val="24"/>
          <w:szCs w:val="24"/>
          <w:highlight w:val="none"/>
          <w:vertAlign w:val="subscript"/>
          <w:lang w:val="en-US" w:eastAsia="zh-CN"/>
        </w:rPr>
        <w:t>3</w:t>
      </w:r>
      <w:r>
        <w:rPr>
          <w:rFonts w:hint="default" w:ascii="Times New Roman" w:hAnsi="Times New Roman" w:cs="Times New Roman"/>
          <w:sz w:val="24"/>
          <w:szCs w:val="24"/>
          <w:highlight w:val="none"/>
          <w:lang w:val="en-US" w:eastAsia="zh-CN"/>
        </w:rPr>
        <w:t>取0.2考虑。</w:t>
      </w:r>
    </w:p>
    <w:p w14:paraId="0AD57DD0">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则渗滤液水量Q经计算为7.24m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/d，项目设置一座渗滤液收集池，容积为30m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，渗滤液收集池上方设置盖板，防止雨水混入。本项目渗滤液经重金属一体化污水处理装置处理后由槽罐车托运至湖南黄金天岳矿业有限公司垂拱洞尾矿库废水处理站进行处理。</w:t>
      </w:r>
    </w:p>
    <w:p w14:paraId="5EBF7C72">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项目填埋场渗滤液水质类比《平江县三阳乡万古村万古水库周边历史遗留重金属废渣污染状况调查报告》（湖南安博检测有限公司，2022年8月）废渣点位水浸监测结果最大值。渗滤液污染物产排情况具体见下表。</w:t>
      </w:r>
    </w:p>
    <w:p w14:paraId="322B5865">
      <w:pPr>
        <w:bidi w:val="0"/>
        <w:spacing w:line="240" w:lineRule="auto"/>
        <w:ind w:left="0" w:leftChars="0" w:firstLine="0" w:firstLineChars="0"/>
        <w:jc w:val="center"/>
        <w:rPr>
          <w:rFonts w:hint="eastAsia"/>
          <w:b/>
          <w:bCs/>
          <w:sz w:val="21"/>
          <w:szCs w:val="21"/>
          <w:highlight w:val="none"/>
          <w:lang w:val="en-US" w:eastAsia="zh-CN"/>
        </w:rPr>
      </w:pPr>
      <w:r>
        <w:rPr>
          <w:rFonts w:hint="default" w:ascii="Times New Roman" w:hAnsi="Times New Roman" w:cs="Times New Roman"/>
          <w:b/>
          <w:bCs/>
          <w:sz w:val="21"/>
          <w:szCs w:val="21"/>
          <w:highlight w:val="none"/>
          <w:lang w:val="en-US" w:eastAsia="zh-CN"/>
        </w:rPr>
        <w:t>表3.2-9  项目渗滤液主要污染物产排情况一览表</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9"/>
        <w:gridCol w:w="1644"/>
        <w:gridCol w:w="1644"/>
        <w:gridCol w:w="1644"/>
        <w:gridCol w:w="1644"/>
        <w:gridCol w:w="1647"/>
      </w:tblGrid>
      <w:tr w14:paraId="1D8A03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009" w:type="dxa"/>
            <w:noWrap w:val="0"/>
            <w:vAlign w:val="center"/>
          </w:tcPr>
          <w:p w14:paraId="1F45F9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污染物</w:t>
            </w:r>
          </w:p>
        </w:tc>
        <w:tc>
          <w:tcPr>
            <w:tcW w:w="1644" w:type="dxa"/>
            <w:noWrap w:val="0"/>
            <w:vAlign w:val="center"/>
          </w:tcPr>
          <w:p w14:paraId="066FD2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产生浓度（mg/L）</w:t>
            </w:r>
          </w:p>
        </w:tc>
        <w:tc>
          <w:tcPr>
            <w:tcW w:w="1644" w:type="dxa"/>
            <w:noWrap w:val="0"/>
            <w:vAlign w:val="center"/>
          </w:tcPr>
          <w:p w14:paraId="04483B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产生量（kg/d）</w:t>
            </w:r>
          </w:p>
        </w:tc>
        <w:tc>
          <w:tcPr>
            <w:tcW w:w="1644" w:type="dxa"/>
            <w:noWrap w:val="0"/>
            <w:vAlign w:val="center"/>
          </w:tcPr>
          <w:p w14:paraId="605AC7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处理效率（%）</w:t>
            </w:r>
          </w:p>
        </w:tc>
        <w:tc>
          <w:tcPr>
            <w:tcW w:w="1644" w:type="dxa"/>
            <w:noWrap w:val="0"/>
            <w:vAlign w:val="center"/>
          </w:tcPr>
          <w:p w14:paraId="305730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处理后浓度（mg/L）</w:t>
            </w:r>
          </w:p>
        </w:tc>
        <w:tc>
          <w:tcPr>
            <w:tcW w:w="1647" w:type="dxa"/>
            <w:noWrap w:val="0"/>
            <w:vAlign w:val="center"/>
          </w:tcPr>
          <w:p w14:paraId="3A0508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排放量（kg/d）</w:t>
            </w:r>
          </w:p>
        </w:tc>
      </w:tr>
      <w:tr w14:paraId="35504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139119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总铬</w:t>
            </w:r>
          </w:p>
        </w:tc>
        <w:tc>
          <w:tcPr>
            <w:tcW w:w="1644" w:type="dxa"/>
            <w:noWrap w:val="0"/>
            <w:vAlign w:val="center"/>
          </w:tcPr>
          <w:p w14:paraId="01FE9E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0.02</w:t>
            </w:r>
          </w:p>
        </w:tc>
        <w:tc>
          <w:tcPr>
            <w:tcW w:w="1644" w:type="dxa"/>
            <w:noWrap w:val="0"/>
            <w:vAlign w:val="center"/>
          </w:tcPr>
          <w:p w14:paraId="5786E4B7">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0.000144</w:t>
            </w:r>
            <w:r>
              <w:rPr>
                <w:rFonts w:hint="eastAsia" w:ascii="Times New Roman" w:hAnsi="Times New Roman" w:cs="Times New Roman"/>
                <w:color w:val="000000"/>
                <w:sz w:val="21"/>
                <w:szCs w:val="21"/>
                <w:lang w:val="en-US" w:eastAsia="zh-CN"/>
              </w:rPr>
              <w:t>8</w:t>
            </w:r>
          </w:p>
        </w:tc>
        <w:tc>
          <w:tcPr>
            <w:tcW w:w="1644" w:type="dxa"/>
            <w:noWrap w:val="0"/>
            <w:vAlign w:val="center"/>
          </w:tcPr>
          <w:p w14:paraId="0CAEEA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14275D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0.008</w:t>
            </w:r>
          </w:p>
        </w:tc>
        <w:tc>
          <w:tcPr>
            <w:tcW w:w="1647" w:type="dxa"/>
            <w:noWrap w:val="0"/>
            <w:vAlign w:val="center"/>
          </w:tcPr>
          <w:p w14:paraId="439F0690">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w:t>
            </w:r>
            <w:r>
              <w:rPr>
                <w:rFonts w:hint="eastAsia" w:ascii="Times New Roman" w:hAnsi="Times New Roman" w:cs="Times New Roman"/>
                <w:color w:val="000000"/>
                <w:sz w:val="21"/>
                <w:szCs w:val="21"/>
                <w:lang w:val="en-US" w:eastAsia="zh-CN"/>
              </w:rPr>
              <w:t>58</w:t>
            </w:r>
          </w:p>
        </w:tc>
      </w:tr>
      <w:tr w14:paraId="7A321B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4A6A39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总镍</w:t>
            </w:r>
          </w:p>
        </w:tc>
        <w:tc>
          <w:tcPr>
            <w:tcW w:w="1644" w:type="dxa"/>
            <w:noWrap w:val="0"/>
            <w:vAlign w:val="center"/>
          </w:tcPr>
          <w:p w14:paraId="599164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0.02</w:t>
            </w:r>
          </w:p>
        </w:tc>
        <w:tc>
          <w:tcPr>
            <w:tcW w:w="1644" w:type="dxa"/>
            <w:noWrap w:val="0"/>
            <w:vAlign w:val="center"/>
          </w:tcPr>
          <w:p w14:paraId="75C04992">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0.000144</w:t>
            </w:r>
            <w:r>
              <w:rPr>
                <w:rFonts w:hint="eastAsia" w:ascii="Times New Roman" w:hAnsi="Times New Roman" w:cs="Times New Roman"/>
                <w:color w:val="000000"/>
                <w:sz w:val="21"/>
                <w:szCs w:val="21"/>
                <w:lang w:val="en-US" w:eastAsia="zh-CN"/>
              </w:rPr>
              <w:t>8</w:t>
            </w:r>
          </w:p>
        </w:tc>
        <w:tc>
          <w:tcPr>
            <w:tcW w:w="1644" w:type="dxa"/>
            <w:noWrap w:val="0"/>
            <w:vAlign w:val="center"/>
          </w:tcPr>
          <w:p w14:paraId="646D92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29AC8C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0.008</w:t>
            </w:r>
          </w:p>
        </w:tc>
        <w:tc>
          <w:tcPr>
            <w:tcW w:w="1647" w:type="dxa"/>
            <w:noWrap w:val="0"/>
            <w:vAlign w:val="center"/>
          </w:tcPr>
          <w:p w14:paraId="47CA8B73">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0.000058</w:t>
            </w:r>
          </w:p>
        </w:tc>
      </w:tr>
      <w:tr w14:paraId="01CC5C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4947C4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总铜</w:t>
            </w:r>
          </w:p>
        </w:tc>
        <w:tc>
          <w:tcPr>
            <w:tcW w:w="1644" w:type="dxa"/>
            <w:noWrap w:val="0"/>
            <w:vAlign w:val="center"/>
          </w:tcPr>
          <w:p w14:paraId="46F2FD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0.09</w:t>
            </w:r>
          </w:p>
        </w:tc>
        <w:tc>
          <w:tcPr>
            <w:tcW w:w="1644" w:type="dxa"/>
            <w:noWrap w:val="0"/>
            <w:vAlign w:val="center"/>
          </w:tcPr>
          <w:p w14:paraId="08D9B9E6">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0.00065</w:t>
            </w:r>
            <w:r>
              <w:rPr>
                <w:rFonts w:hint="eastAsia" w:ascii="Times New Roman" w:hAnsi="Times New Roman" w:cs="Times New Roman"/>
                <w:color w:val="000000"/>
                <w:sz w:val="21"/>
                <w:szCs w:val="21"/>
                <w:lang w:val="en-US" w:eastAsia="zh-CN"/>
              </w:rPr>
              <w:t>16</w:t>
            </w:r>
          </w:p>
        </w:tc>
        <w:tc>
          <w:tcPr>
            <w:tcW w:w="1644" w:type="dxa"/>
            <w:noWrap w:val="0"/>
            <w:vAlign w:val="center"/>
          </w:tcPr>
          <w:p w14:paraId="2021CD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53D90E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0.036</w:t>
            </w:r>
          </w:p>
        </w:tc>
        <w:tc>
          <w:tcPr>
            <w:tcW w:w="1647" w:type="dxa"/>
            <w:noWrap w:val="0"/>
            <w:vAlign w:val="center"/>
          </w:tcPr>
          <w:p w14:paraId="4C8834B9">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0.00026</w:t>
            </w:r>
            <w:r>
              <w:rPr>
                <w:rFonts w:hint="eastAsia" w:ascii="Times New Roman" w:hAnsi="Times New Roman" w:cs="Times New Roman"/>
                <w:color w:val="000000"/>
                <w:sz w:val="21"/>
                <w:szCs w:val="21"/>
                <w:lang w:val="en-US" w:eastAsia="zh-CN"/>
              </w:rPr>
              <w:t>06</w:t>
            </w:r>
          </w:p>
        </w:tc>
      </w:tr>
      <w:tr w14:paraId="7B3D58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158A0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总锌</w:t>
            </w:r>
          </w:p>
        </w:tc>
        <w:tc>
          <w:tcPr>
            <w:tcW w:w="1644" w:type="dxa"/>
            <w:noWrap w:val="0"/>
            <w:vAlign w:val="center"/>
          </w:tcPr>
          <w:p w14:paraId="5CAC2B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0.34</w:t>
            </w:r>
          </w:p>
        </w:tc>
        <w:tc>
          <w:tcPr>
            <w:tcW w:w="1644" w:type="dxa"/>
            <w:noWrap w:val="0"/>
            <w:vAlign w:val="center"/>
          </w:tcPr>
          <w:p w14:paraId="73410A08">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0.002</w:t>
            </w:r>
            <w:r>
              <w:rPr>
                <w:rFonts w:hint="eastAsia" w:ascii="Times New Roman" w:hAnsi="Times New Roman" w:cs="Times New Roman"/>
                <w:color w:val="000000"/>
                <w:sz w:val="21"/>
                <w:szCs w:val="21"/>
                <w:lang w:val="en-US" w:eastAsia="zh-CN"/>
              </w:rPr>
              <w:t>4616</w:t>
            </w:r>
          </w:p>
        </w:tc>
        <w:tc>
          <w:tcPr>
            <w:tcW w:w="1644" w:type="dxa"/>
            <w:noWrap w:val="0"/>
            <w:vAlign w:val="center"/>
          </w:tcPr>
          <w:p w14:paraId="1C6554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30D767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0.136</w:t>
            </w:r>
          </w:p>
        </w:tc>
        <w:tc>
          <w:tcPr>
            <w:tcW w:w="1647" w:type="dxa"/>
            <w:noWrap w:val="0"/>
            <w:vAlign w:val="center"/>
          </w:tcPr>
          <w:p w14:paraId="6313AFC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0.0009</w:t>
            </w:r>
            <w:r>
              <w:rPr>
                <w:rFonts w:hint="eastAsia" w:ascii="Times New Roman" w:hAnsi="Times New Roman" w:cs="Times New Roman"/>
                <w:color w:val="000000"/>
                <w:sz w:val="21"/>
                <w:szCs w:val="21"/>
                <w:lang w:val="en-US" w:eastAsia="zh-CN"/>
              </w:rPr>
              <w:t>846</w:t>
            </w:r>
          </w:p>
        </w:tc>
      </w:tr>
      <w:tr w14:paraId="343398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76D42C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总砷</w:t>
            </w:r>
          </w:p>
        </w:tc>
        <w:tc>
          <w:tcPr>
            <w:tcW w:w="1644" w:type="dxa"/>
            <w:noWrap w:val="0"/>
            <w:vAlign w:val="center"/>
          </w:tcPr>
          <w:p w14:paraId="14E7A5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1.84</w:t>
            </w:r>
          </w:p>
        </w:tc>
        <w:tc>
          <w:tcPr>
            <w:tcW w:w="1644" w:type="dxa"/>
            <w:noWrap w:val="0"/>
            <w:vAlign w:val="center"/>
          </w:tcPr>
          <w:p w14:paraId="062896F6">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0.013</w:t>
            </w:r>
            <w:r>
              <w:rPr>
                <w:rFonts w:hint="eastAsia" w:ascii="Times New Roman" w:hAnsi="Times New Roman" w:cs="Times New Roman"/>
                <w:color w:val="000000"/>
                <w:sz w:val="21"/>
                <w:szCs w:val="21"/>
                <w:lang w:val="en-US" w:eastAsia="zh-CN"/>
              </w:rPr>
              <w:t>3216</w:t>
            </w:r>
          </w:p>
        </w:tc>
        <w:tc>
          <w:tcPr>
            <w:tcW w:w="1644" w:type="dxa"/>
            <w:noWrap w:val="0"/>
            <w:vAlign w:val="center"/>
          </w:tcPr>
          <w:p w14:paraId="64A3AD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09328C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0.736</w:t>
            </w:r>
          </w:p>
        </w:tc>
        <w:tc>
          <w:tcPr>
            <w:tcW w:w="1647" w:type="dxa"/>
            <w:noWrap w:val="0"/>
            <w:vAlign w:val="center"/>
          </w:tcPr>
          <w:p w14:paraId="0FE6F4C4">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0.0053</w:t>
            </w:r>
            <w:r>
              <w:rPr>
                <w:rFonts w:hint="eastAsia" w:ascii="Times New Roman" w:hAnsi="Times New Roman" w:cs="Times New Roman"/>
                <w:color w:val="000000"/>
                <w:sz w:val="21"/>
                <w:szCs w:val="21"/>
                <w:lang w:val="en-US" w:eastAsia="zh-CN"/>
              </w:rPr>
              <w:t>29</w:t>
            </w:r>
          </w:p>
        </w:tc>
      </w:tr>
      <w:tr w14:paraId="4074C0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571041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总镉</w:t>
            </w:r>
          </w:p>
        </w:tc>
        <w:tc>
          <w:tcPr>
            <w:tcW w:w="1644" w:type="dxa"/>
            <w:noWrap w:val="0"/>
            <w:vAlign w:val="center"/>
          </w:tcPr>
          <w:p w14:paraId="2D9C7A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0.0012</w:t>
            </w:r>
          </w:p>
        </w:tc>
        <w:tc>
          <w:tcPr>
            <w:tcW w:w="1644" w:type="dxa"/>
            <w:noWrap w:val="0"/>
            <w:vAlign w:val="center"/>
          </w:tcPr>
          <w:p w14:paraId="4D53FE9F">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0.00000867</w:t>
            </w:r>
          </w:p>
        </w:tc>
        <w:tc>
          <w:tcPr>
            <w:tcW w:w="1644" w:type="dxa"/>
            <w:noWrap w:val="0"/>
            <w:vAlign w:val="center"/>
          </w:tcPr>
          <w:p w14:paraId="2E11E7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331578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0.00048</w:t>
            </w:r>
          </w:p>
        </w:tc>
        <w:tc>
          <w:tcPr>
            <w:tcW w:w="1647" w:type="dxa"/>
            <w:noWrap w:val="0"/>
            <w:vAlign w:val="center"/>
          </w:tcPr>
          <w:p w14:paraId="6C65C1C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0.00000347</w:t>
            </w:r>
          </w:p>
        </w:tc>
      </w:tr>
      <w:tr w14:paraId="002CE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2A98F5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总铅</w:t>
            </w:r>
          </w:p>
        </w:tc>
        <w:tc>
          <w:tcPr>
            <w:tcW w:w="1644" w:type="dxa"/>
            <w:noWrap w:val="0"/>
            <w:vAlign w:val="center"/>
          </w:tcPr>
          <w:p w14:paraId="131065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0.0042</w:t>
            </w:r>
          </w:p>
        </w:tc>
        <w:tc>
          <w:tcPr>
            <w:tcW w:w="1644" w:type="dxa"/>
            <w:noWrap w:val="0"/>
            <w:vAlign w:val="center"/>
          </w:tcPr>
          <w:p w14:paraId="08DA239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0.000030</w:t>
            </w:r>
            <w:r>
              <w:rPr>
                <w:rFonts w:hint="eastAsia" w:ascii="Times New Roman" w:hAnsi="Times New Roman" w:cs="Times New Roman"/>
                <w:color w:val="000000"/>
                <w:sz w:val="21"/>
                <w:szCs w:val="21"/>
                <w:lang w:val="en-US" w:eastAsia="zh-CN"/>
              </w:rPr>
              <w:t>4</w:t>
            </w:r>
          </w:p>
        </w:tc>
        <w:tc>
          <w:tcPr>
            <w:tcW w:w="1644" w:type="dxa"/>
            <w:noWrap w:val="0"/>
            <w:vAlign w:val="center"/>
          </w:tcPr>
          <w:p w14:paraId="7EF58D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2C2FB5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0.00168</w:t>
            </w:r>
          </w:p>
        </w:tc>
        <w:tc>
          <w:tcPr>
            <w:tcW w:w="1647" w:type="dxa"/>
            <w:noWrap w:val="0"/>
            <w:vAlign w:val="center"/>
          </w:tcPr>
          <w:p w14:paraId="51CC89F2">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0.0000121</w:t>
            </w:r>
            <w:r>
              <w:rPr>
                <w:rFonts w:hint="eastAsia" w:ascii="Times New Roman" w:hAnsi="Times New Roman" w:cs="Times New Roman"/>
                <w:color w:val="000000"/>
                <w:sz w:val="21"/>
                <w:szCs w:val="21"/>
                <w:lang w:val="en-US" w:eastAsia="zh-CN"/>
              </w:rPr>
              <w:t>6</w:t>
            </w:r>
          </w:p>
        </w:tc>
      </w:tr>
      <w:tr w14:paraId="6EB98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2A9D6C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总汞</w:t>
            </w:r>
          </w:p>
        </w:tc>
        <w:tc>
          <w:tcPr>
            <w:tcW w:w="1644" w:type="dxa"/>
            <w:noWrap w:val="0"/>
            <w:vAlign w:val="center"/>
          </w:tcPr>
          <w:p w14:paraId="12E31A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0.00002</w:t>
            </w:r>
          </w:p>
        </w:tc>
        <w:tc>
          <w:tcPr>
            <w:tcW w:w="1644" w:type="dxa"/>
            <w:noWrap w:val="0"/>
            <w:vAlign w:val="center"/>
          </w:tcPr>
          <w:p w14:paraId="282C65A9">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0.00000014</w:t>
            </w:r>
          </w:p>
        </w:tc>
        <w:tc>
          <w:tcPr>
            <w:tcW w:w="1644" w:type="dxa"/>
            <w:noWrap w:val="0"/>
            <w:vAlign w:val="center"/>
          </w:tcPr>
          <w:p w14:paraId="202871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715317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0.000008</w:t>
            </w:r>
          </w:p>
        </w:tc>
        <w:tc>
          <w:tcPr>
            <w:tcW w:w="1647" w:type="dxa"/>
            <w:noWrap w:val="0"/>
            <w:vAlign w:val="center"/>
          </w:tcPr>
          <w:p w14:paraId="3BA19AFA">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0.00000006</w:t>
            </w:r>
          </w:p>
        </w:tc>
      </w:tr>
      <w:tr w14:paraId="1D89EB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736DD7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六价铬</w:t>
            </w:r>
          </w:p>
        </w:tc>
        <w:tc>
          <w:tcPr>
            <w:tcW w:w="1644" w:type="dxa"/>
            <w:noWrap w:val="0"/>
            <w:vAlign w:val="center"/>
          </w:tcPr>
          <w:p w14:paraId="34731D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0.004</w:t>
            </w:r>
          </w:p>
        </w:tc>
        <w:tc>
          <w:tcPr>
            <w:tcW w:w="1644" w:type="dxa"/>
            <w:noWrap w:val="0"/>
            <w:vAlign w:val="center"/>
          </w:tcPr>
          <w:p w14:paraId="34A34AF9">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0.00002</w:t>
            </w:r>
            <w:r>
              <w:rPr>
                <w:rFonts w:hint="eastAsia" w:ascii="Times New Roman" w:hAnsi="Times New Roman" w:cs="Times New Roman"/>
                <w:color w:val="000000"/>
                <w:sz w:val="21"/>
                <w:szCs w:val="21"/>
                <w:lang w:val="en-US" w:eastAsia="zh-CN"/>
              </w:rPr>
              <w:t>9</w:t>
            </w:r>
          </w:p>
        </w:tc>
        <w:tc>
          <w:tcPr>
            <w:tcW w:w="1644" w:type="dxa"/>
            <w:noWrap w:val="0"/>
            <w:vAlign w:val="center"/>
          </w:tcPr>
          <w:p w14:paraId="2E6AC8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184321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0.0016</w:t>
            </w:r>
          </w:p>
        </w:tc>
        <w:tc>
          <w:tcPr>
            <w:tcW w:w="1647" w:type="dxa"/>
            <w:noWrap w:val="0"/>
            <w:vAlign w:val="center"/>
          </w:tcPr>
          <w:p w14:paraId="285999FD">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0.000011</w:t>
            </w:r>
            <w:r>
              <w:rPr>
                <w:rFonts w:hint="eastAsia" w:ascii="Times New Roman" w:hAnsi="Times New Roman" w:cs="Times New Roman"/>
                <w:color w:val="000000"/>
                <w:sz w:val="21"/>
                <w:szCs w:val="21"/>
                <w:lang w:val="en-US" w:eastAsia="zh-CN"/>
              </w:rPr>
              <w:t>6</w:t>
            </w:r>
          </w:p>
        </w:tc>
      </w:tr>
      <w:tr w14:paraId="74FB14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9" w:type="dxa"/>
            <w:noWrap w:val="0"/>
            <w:vAlign w:val="center"/>
          </w:tcPr>
          <w:p w14:paraId="62227A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氰化物</w:t>
            </w:r>
          </w:p>
        </w:tc>
        <w:tc>
          <w:tcPr>
            <w:tcW w:w="1644" w:type="dxa"/>
            <w:noWrap w:val="0"/>
            <w:vAlign w:val="center"/>
          </w:tcPr>
          <w:p w14:paraId="6C80B5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0.004</w:t>
            </w:r>
          </w:p>
        </w:tc>
        <w:tc>
          <w:tcPr>
            <w:tcW w:w="1644" w:type="dxa"/>
            <w:noWrap w:val="0"/>
            <w:vAlign w:val="center"/>
          </w:tcPr>
          <w:p w14:paraId="2CD79FD2">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0.00002</w:t>
            </w:r>
            <w:r>
              <w:rPr>
                <w:rFonts w:hint="eastAsia" w:ascii="Times New Roman" w:hAnsi="Times New Roman" w:cs="Times New Roman"/>
                <w:color w:val="000000"/>
                <w:sz w:val="21"/>
                <w:szCs w:val="21"/>
                <w:lang w:val="en-US" w:eastAsia="zh-CN"/>
              </w:rPr>
              <w:t>9</w:t>
            </w:r>
          </w:p>
        </w:tc>
        <w:tc>
          <w:tcPr>
            <w:tcW w:w="1644" w:type="dxa"/>
            <w:noWrap w:val="0"/>
            <w:vAlign w:val="center"/>
          </w:tcPr>
          <w:p w14:paraId="315CFD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6</w:t>
            </w:r>
            <w:r>
              <w:rPr>
                <w:rFonts w:hint="eastAsia" w:ascii="Times New Roman" w:hAnsi="Times New Roman" w:eastAsia="宋体" w:cs="Times New Roman"/>
                <w:sz w:val="21"/>
                <w:szCs w:val="21"/>
                <w:highlight w:val="none"/>
                <w:vertAlign w:val="baseline"/>
                <w:lang w:val="en-US" w:eastAsia="zh-CN"/>
              </w:rPr>
              <w:t>0</w:t>
            </w:r>
          </w:p>
        </w:tc>
        <w:tc>
          <w:tcPr>
            <w:tcW w:w="1644" w:type="dxa"/>
            <w:noWrap w:val="0"/>
            <w:vAlign w:val="center"/>
          </w:tcPr>
          <w:p w14:paraId="20B3BB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0.0016</w:t>
            </w:r>
          </w:p>
        </w:tc>
        <w:tc>
          <w:tcPr>
            <w:tcW w:w="1647" w:type="dxa"/>
            <w:noWrap w:val="0"/>
            <w:vAlign w:val="center"/>
          </w:tcPr>
          <w:p w14:paraId="71B98877">
            <w:pPr>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0.0000116</w:t>
            </w:r>
          </w:p>
        </w:tc>
      </w:tr>
    </w:tbl>
    <w:p w14:paraId="37818A05">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3.2.4.3</w:t>
      </w:r>
      <w:r>
        <w:rPr>
          <w:rFonts w:hint="default" w:ascii="Times New Roman" w:hAnsi="Times New Roman" w:cs="Times New Roman"/>
          <w:sz w:val="24"/>
          <w:szCs w:val="24"/>
          <w:lang w:val="en-US" w:eastAsia="zh-CN"/>
        </w:rPr>
        <w:t>噪声</w:t>
      </w:r>
    </w:p>
    <w:p w14:paraId="3DEF878F">
      <w:pPr>
        <w:widowControl w:val="0"/>
        <w:topLinePunct w:val="0"/>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项目封场后产生的噪声主要来自于污水处理装置水泵和渗滤液槽罐车运输车辆产生的噪声，噪声源及其声级见下表。</w:t>
      </w:r>
    </w:p>
    <w:p w14:paraId="1D7ADD82">
      <w:pPr>
        <w:spacing w:line="240" w:lineRule="auto"/>
        <w:ind w:left="0" w:leftChars="0" w:firstLine="0" w:firstLineChars="0"/>
        <w:jc w:val="center"/>
        <w:rPr>
          <w:rFonts w:hint="default" w:ascii="Times New Roman" w:hAnsi="Times New Roman" w:cs="Times New Roman"/>
          <w:b/>
          <w:bCs/>
          <w:sz w:val="21"/>
          <w:szCs w:val="21"/>
          <w:highlight w:val="none"/>
          <w:u w:val="none" w:color="auto"/>
          <w:lang w:val="en-US" w:eastAsia="zh-CN"/>
        </w:rPr>
      </w:pPr>
    </w:p>
    <w:p w14:paraId="0D97A349">
      <w:pPr>
        <w:spacing w:line="240" w:lineRule="auto"/>
        <w:ind w:left="0" w:leftChars="0" w:firstLine="0" w:firstLineChars="0"/>
        <w:jc w:val="center"/>
        <w:rPr>
          <w:rFonts w:hint="default" w:ascii="Times New Roman" w:hAnsi="Times New Roman" w:cs="Times New Roman"/>
          <w:b/>
          <w:bCs/>
          <w:sz w:val="21"/>
          <w:szCs w:val="21"/>
          <w:highlight w:val="none"/>
          <w:u w:val="none" w:color="auto"/>
          <w:lang w:val="en-US" w:eastAsia="zh-CN"/>
        </w:rPr>
      </w:pPr>
    </w:p>
    <w:p w14:paraId="7960A815">
      <w:pPr>
        <w:spacing w:line="240" w:lineRule="auto"/>
        <w:ind w:left="0" w:leftChars="0" w:firstLine="0" w:firstLineChars="0"/>
        <w:jc w:val="center"/>
        <w:rPr>
          <w:rFonts w:hint="default" w:ascii="Times New Roman" w:hAnsi="Times New Roman" w:cs="Times New Roman"/>
          <w:b/>
          <w:bCs/>
          <w:sz w:val="21"/>
          <w:szCs w:val="21"/>
          <w:highlight w:val="none"/>
          <w:u w:val="none" w:color="auto"/>
          <w:lang w:val="en-US" w:eastAsia="zh-CN"/>
        </w:rPr>
      </w:pPr>
    </w:p>
    <w:p w14:paraId="3BA1D2F4">
      <w:pPr>
        <w:spacing w:line="240" w:lineRule="auto"/>
        <w:ind w:left="0" w:leftChars="0" w:firstLine="0" w:firstLineChars="0"/>
        <w:jc w:val="center"/>
        <w:rPr>
          <w:rFonts w:hint="default" w:ascii="Times New Roman" w:hAnsi="Times New Roman" w:cs="Times New Roman"/>
          <w:b/>
          <w:bCs/>
          <w:sz w:val="21"/>
          <w:szCs w:val="21"/>
          <w:highlight w:val="none"/>
          <w:u w:val="none" w:color="auto"/>
          <w:lang w:val="en-US" w:eastAsia="zh-CN"/>
        </w:rPr>
      </w:pPr>
      <w:r>
        <w:rPr>
          <w:rFonts w:hint="default" w:ascii="Times New Roman" w:hAnsi="Times New Roman" w:cs="Times New Roman"/>
          <w:b/>
          <w:bCs/>
          <w:sz w:val="21"/>
          <w:szCs w:val="21"/>
          <w:highlight w:val="none"/>
          <w:u w:val="none" w:color="auto"/>
          <w:lang w:val="en-US" w:eastAsia="zh-CN"/>
        </w:rPr>
        <w:t>表3.2-10  封场后主要噪声源源强核算    单位：dB（A）</w:t>
      </w:r>
    </w:p>
    <w:tbl>
      <w:tblPr>
        <w:tblStyle w:val="46"/>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5"/>
        <w:gridCol w:w="1088"/>
        <w:gridCol w:w="1133"/>
        <w:gridCol w:w="899"/>
        <w:gridCol w:w="1087"/>
        <w:gridCol w:w="780"/>
        <w:gridCol w:w="932"/>
        <w:gridCol w:w="1257"/>
        <w:gridCol w:w="1180"/>
      </w:tblGrid>
      <w:tr w14:paraId="1E548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8" w:type="pct"/>
            <w:vMerge w:val="restart"/>
            <w:noWrap w:val="0"/>
            <w:vAlign w:val="center"/>
          </w:tcPr>
          <w:p w14:paraId="11B09B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噪声源</w:t>
            </w:r>
          </w:p>
        </w:tc>
        <w:tc>
          <w:tcPr>
            <w:tcW w:w="586" w:type="pct"/>
            <w:vMerge w:val="restart"/>
            <w:noWrap w:val="0"/>
            <w:vAlign w:val="center"/>
          </w:tcPr>
          <w:p w14:paraId="0BE79B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声源类型</w:t>
            </w:r>
          </w:p>
        </w:tc>
        <w:tc>
          <w:tcPr>
            <w:tcW w:w="1094" w:type="pct"/>
            <w:gridSpan w:val="2"/>
            <w:noWrap w:val="0"/>
            <w:vAlign w:val="center"/>
          </w:tcPr>
          <w:p w14:paraId="4E3A7C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噪声源强</w:t>
            </w:r>
          </w:p>
        </w:tc>
        <w:tc>
          <w:tcPr>
            <w:tcW w:w="1005" w:type="pct"/>
            <w:gridSpan w:val="2"/>
            <w:noWrap w:val="0"/>
            <w:vAlign w:val="center"/>
          </w:tcPr>
          <w:p w14:paraId="47ADBE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降噪措施</w:t>
            </w:r>
          </w:p>
        </w:tc>
        <w:tc>
          <w:tcPr>
            <w:tcW w:w="1179" w:type="pct"/>
            <w:gridSpan w:val="2"/>
            <w:noWrap w:val="0"/>
            <w:vAlign w:val="center"/>
          </w:tcPr>
          <w:p w14:paraId="2B0716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噪声排放值</w:t>
            </w:r>
          </w:p>
        </w:tc>
        <w:tc>
          <w:tcPr>
            <w:tcW w:w="635" w:type="pct"/>
            <w:vMerge w:val="restart"/>
            <w:noWrap w:val="0"/>
            <w:vAlign w:val="center"/>
          </w:tcPr>
          <w:p w14:paraId="582189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持续时间</w:t>
            </w:r>
          </w:p>
        </w:tc>
      </w:tr>
      <w:tr w14:paraId="0C00F6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8" w:type="pct"/>
            <w:vMerge w:val="continue"/>
            <w:noWrap w:val="0"/>
            <w:vAlign w:val="center"/>
          </w:tcPr>
          <w:p w14:paraId="632495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586" w:type="pct"/>
            <w:vMerge w:val="continue"/>
            <w:noWrap w:val="0"/>
            <w:vAlign w:val="center"/>
          </w:tcPr>
          <w:p w14:paraId="116F4B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10" w:type="pct"/>
            <w:noWrap w:val="0"/>
            <w:vAlign w:val="center"/>
          </w:tcPr>
          <w:p w14:paraId="587961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核算方法</w:t>
            </w:r>
          </w:p>
        </w:tc>
        <w:tc>
          <w:tcPr>
            <w:tcW w:w="484" w:type="pct"/>
            <w:noWrap w:val="0"/>
            <w:vAlign w:val="center"/>
          </w:tcPr>
          <w:p w14:paraId="524835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噪声值</w:t>
            </w:r>
          </w:p>
        </w:tc>
        <w:tc>
          <w:tcPr>
            <w:tcW w:w="585" w:type="pct"/>
            <w:noWrap w:val="0"/>
            <w:vAlign w:val="center"/>
          </w:tcPr>
          <w:p w14:paraId="61EEEA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工艺</w:t>
            </w:r>
          </w:p>
        </w:tc>
        <w:tc>
          <w:tcPr>
            <w:tcW w:w="420" w:type="pct"/>
            <w:noWrap w:val="0"/>
            <w:vAlign w:val="center"/>
          </w:tcPr>
          <w:p w14:paraId="19D797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降噪效果</w:t>
            </w:r>
          </w:p>
        </w:tc>
        <w:tc>
          <w:tcPr>
            <w:tcW w:w="502" w:type="pct"/>
            <w:noWrap w:val="0"/>
            <w:vAlign w:val="center"/>
          </w:tcPr>
          <w:p w14:paraId="304A51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核算</w:t>
            </w:r>
          </w:p>
          <w:p w14:paraId="3C1D5F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方法</w:t>
            </w:r>
          </w:p>
        </w:tc>
        <w:tc>
          <w:tcPr>
            <w:tcW w:w="677" w:type="pct"/>
            <w:noWrap w:val="0"/>
            <w:vAlign w:val="center"/>
          </w:tcPr>
          <w:p w14:paraId="768221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噪声值</w:t>
            </w:r>
          </w:p>
        </w:tc>
        <w:tc>
          <w:tcPr>
            <w:tcW w:w="635" w:type="pct"/>
            <w:vMerge w:val="continue"/>
            <w:noWrap w:val="0"/>
            <w:vAlign w:val="center"/>
          </w:tcPr>
          <w:p w14:paraId="0B0BDF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r>
      <w:tr w14:paraId="0CF45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8" w:type="pct"/>
            <w:noWrap w:val="0"/>
            <w:vAlign w:val="center"/>
          </w:tcPr>
          <w:p w14:paraId="1CC0F8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水泵</w:t>
            </w:r>
          </w:p>
        </w:tc>
        <w:tc>
          <w:tcPr>
            <w:tcW w:w="586" w:type="pct"/>
            <w:noWrap w:val="0"/>
            <w:vAlign w:val="center"/>
          </w:tcPr>
          <w:p w14:paraId="6CE6E9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间断</w:t>
            </w:r>
          </w:p>
        </w:tc>
        <w:tc>
          <w:tcPr>
            <w:tcW w:w="610" w:type="pct"/>
            <w:noWrap w:val="0"/>
            <w:vAlign w:val="center"/>
          </w:tcPr>
          <w:p w14:paraId="5D9049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类比</w:t>
            </w:r>
          </w:p>
        </w:tc>
        <w:tc>
          <w:tcPr>
            <w:tcW w:w="484" w:type="pct"/>
            <w:noWrap w:val="0"/>
            <w:vAlign w:val="center"/>
          </w:tcPr>
          <w:p w14:paraId="25EFFA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80~90</w:t>
            </w:r>
          </w:p>
        </w:tc>
        <w:tc>
          <w:tcPr>
            <w:tcW w:w="585" w:type="pct"/>
            <w:vMerge w:val="restart"/>
            <w:noWrap w:val="0"/>
            <w:vAlign w:val="center"/>
          </w:tcPr>
          <w:p w14:paraId="115AC0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低噪声设备、减振垫等</w:t>
            </w:r>
          </w:p>
        </w:tc>
        <w:tc>
          <w:tcPr>
            <w:tcW w:w="420" w:type="pct"/>
            <w:vMerge w:val="restart"/>
            <w:noWrap w:val="0"/>
            <w:vAlign w:val="center"/>
          </w:tcPr>
          <w:p w14:paraId="5F94B0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15</w:t>
            </w:r>
          </w:p>
        </w:tc>
        <w:tc>
          <w:tcPr>
            <w:tcW w:w="502" w:type="pct"/>
            <w:noWrap w:val="0"/>
            <w:vAlign w:val="center"/>
          </w:tcPr>
          <w:p w14:paraId="049E98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类比</w:t>
            </w:r>
          </w:p>
        </w:tc>
        <w:tc>
          <w:tcPr>
            <w:tcW w:w="677" w:type="pct"/>
            <w:noWrap w:val="0"/>
            <w:vAlign w:val="center"/>
          </w:tcPr>
          <w:p w14:paraId="70E396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65~75</w:t>
            </w:r>
          </w:p>
        </w:tc>
        <w:tc>
          <w:tcPr>
            <w:tcW w:w="635" w:type="pct"/>
            <w:noWrap w:val="0"/>
            <w:vAlign w:val="center"/>
          </w:tcPr>
          <w:p w14:paraId="3EA848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0.2h/次</w:t>
            </w:r>
          </w:p>
        </w:tc>
      </w:tr>
      <w:tr w14:paraId="48901C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8" w:type="pct"/>
            <w:noWrap w:val="0"/>
            <w:vAlign w:val="center"/>
          </w:tcPr>
          <w:p w14:paraId="05C694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槽罐车</w:t>
            </w:r>
          </w:p>
        </w:tc>
        <w:tc>
          <w:tcPr>
            <w:tcW w:w="586" w:type="pct"/>
            <w:noWrap w:val="0"/>
            <w:vAlign w:val="center"/>
          </w:tcPr>
          <w:p w14:paraId="19CA98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间断</w:t>
            </w:r>
          </w:p>
        </w:tc>
        <w:tc>
          <w:tcPr>
            <w:tcW w:w="610" w:type="pct"/>
            <w:noWrap w:val="0"/>
            <w:vAlign w:val="center"/>
          </w:tcPr>
          <w:p w14:paraId="01C8EA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类比</w:t>
            </w:r>
          </w:p>
        </w:tc>
        <w:tc>
          <w:tcPr>
            <w:tcW w:w="484" w:type="pct"/>
            <w:noWrap w:val="0"/>
            <w:vAlign w:val="center"/>
          </w:tcPr>
          <w:p w14:paraId="7E5A1C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80~85</w:t>
            </w:r>
          </w:p>
        </w:tc>
        <w:tc>
          <w:tcPr>
            <w:tcW w:w="585" w:type="pct"/>
            <w:vMerge w:val="continue"/>
            <w:noWrap w:val="0"/>
            <w:vAlign w:val="center"/>
          </w:tcPr>
          <w:p w14:paraId="1FEE39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420" w:type="pct"/>
            <w:vMerge w:val="continue"/>
            <w:noWrap w:val="0"/>
            <w:vAlign w:val="center"/>
          </w:tcPr>
          <w:p w14:paraId="046792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502" w:type="pct"/>
            <w:noWrap w:val="0"/>
            <w:vAlign w:val="center"/>
          </w:tcPr>
          <w:p w14:paraId="5578CD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类比</w:t>
            </w:r>
          </w:p>
        </w:tc>
        <w:tc>
          <w:tcPr>
            <w:tcW w:w="677" w:type="pct"/>
            <w:noWrap w:val="0"/>
            <w:vAlign w:val="center"/>
          </w:tcPr>
          <w:p w14:paraId="7CEFDC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65~70</w:t>
            </w:r>
          </w:p>
        </w:tc>
        <w:tc>
          <w:tcPr>
            <w:tcW w:w="635" w:type="pct"/>
            <w:noWrap w:val="0"/>
            <w:vAlign w:val="center"/>
          </w:tcPr>
          <w:p w14:paraId="492A37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0.2h/次</w:t>
            </w:r>
          </w:p>
        </w:tc>
      </w:tr>
    </w:tbl>
    <w:p w14:paraId="224A388A">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3.2.4.4固废</w:t>
      </w:r>
    </w:p>
    <w:p w14:paraId="7145273D">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废渣填埋场渗滤液采用重金属一体化废水处理设备处理，治理过程中会产生少量污泥，预计污泥量约2.0t/a。污泥类别为HW49，废物代码为772-006-49，委托有资质单位处置，不在填埋场内暂存。渗滤液的产生主要集中在废渣填埋前期（一般为废渣填埋后6个月内），后续在表面阻隔层无破损的情况下，废渣填埋场的渗滤液产生量不大，且呈逐步减少趋势，一定时间后，渗滤液的产生量几乎为零，治理完成后不会产生固废。</w:t>
      </w:r>
    </w:p>
    <w:p w14:paraId="024CF067">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3.2.4.5生态及景观</w:t>
      </w:r>
    </w:p>
    <w:p w14:paraId="433663A4">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封场后填埋区、废渣堆（治理区）、取土场覆土恢复植被，</w:t>
      </w:r>
      <w:r>
        <w:rPr>
          <w:rFonts w:hint="eastAsia" w:cs="Times New Roman"/>
          <w:sz w:val="24"/>
          <w:szCs w:val="24"/>
          <w:lang w:val="en-US" w:eastAsia="zh-CN"/>
        </w:rPr>
        <w:t>部分废渣堆（治理区）恢复为农田，</w:t>
      </w:r>
      <w:r>
        <w:rPr>
          <w:rFonts w:hint="default" w:ascii="Times New Roman" w:hAnsi="Times New Roman" w:cs="Times New Roman"/>
          <w:sz w:val="24"/>
          <w:szCs w:val="24"/>
          <w:lang w:val="en-US" w:eastAsia="zh-CN"/>
        </w:rPr>
        <w:t>植被选用当地本土物种，植被恢复为乔草相结合的方式实施，林草成活率高，成林快，最终植被达到该区域植被较好地段的生物量和覆盖度。植被恢复后区域绿化率比工程实施之前将有所提高，对于治理区域、填埋区水土流失治理将会起到积极的作用；但是植被恢复时需先覆土，覆土时如遇大风、多雨天气会发生水土流失，所以覆土要尽量避开大风、多雨季节，覆土后应及时恢复植被，避免土壤长期裸露带来的水土流失发生。评价区域没有濒危和珍稀保护物种，不会引起物种灭绝。本工程实施后现有的裸露土地将会由花、草、树等植物所取代，从而使得物种更为丰富，异质化得到加强，提高了当地物种多样性从而改善生态环境。</w:t>
      </w:r>
    </w:p>
    <w:p w14:paraId="003F7748">
      <w:pPr>
        <w:pStyle w:val="3"/>
        <w:numPr>
          <w:ilvl w:val="0"/>
          <w:numId w:val="0"/>
        </w:numPr>
        <w:topLinePunct w:val="0"/>
        <w:spacing w:before="0" w:beforeLines="0" w:after="0" w:afterLines="0"/>
        <w:rPr>
          <w:rFonts w:hint="eastAsia" w:ascii="Times New Roman" w:hAnsi="Times New Roman" w:eastAsia="宋体" w:cs="Times New Roman"/>
          <w:color w:val="auto"/>
          <w:sz w:val="30"/>
          <w:szCs w:val="30"/>
          <w:highlight w:val="none"/>
          <w:u w:val="none" w:color="auto"/>
          <w:lang w:val="en-US" w:eastAsia="zh-CN"/>
        </w:rPr>
      </w:pPr>
      <w:bookmarkStart w:id="344" w:name="_Toc7931"/>
      <w:bookmarkStart w:id="345" w:name="_Toc2582"/>
      <w:bookmarkStart w:id="346" w:name="_Toc16895"/>
      <w:r>
        <w:rPr>
          <w:rFonts w:hint="eastAsia" w:ascii="Times New Roman" w:hAnsi="Times New Roman" w:eastAsia="宋体" w:cs="Times New Roman"/>
          <w:color w:val="auto"/>
          <w:sz w:val="30"/>
          <w:szCs w:val="30"/>
          <w:highlight w:val="none"/>
          <w:u w:val="none" w:color="auto"/>
          <w:lang w:val="en-US" w:eastAsia="zh-CN"/>
        </w:rPr>
        <w:t>3.3污染源汇总</w:t>
      </w:r>
      <w:bookmarkEnd w:id="344"/>
      <w:bookmarkEnd w:id="345"/>
      <w:bookmarkEnd w:id="346"/>
    </w:p>
    <w:p w14:paraId="5E56DFA7">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根据上述分析可知，本项目污染物产排情况见表3.3-1。</w:t>
      </w:r>
    </w:p>
    <w:p w14:paraId="274D589E">
      <w:pPr>
        <w:bidi w:val="0"/>
        <w:spacing w:line="240" w:lineRule="auto"/>
        <w:ind w:left="0" w:leftChars="0" w:firstLine="0" w:firstLineChars="0"/>
        <w:jc w:val="center"/>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表3.3-1  项目污染物产排情况一览表</w:t>
      </w:r>
    </w:p>
    <w:tbl>
      <w:tblPr>
        <w:tblStyle w:val="4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512"/>
        <w:gridCol w:w="1288"/>
        <w:gridCol w:w="1700"/>
        <w:gridCol w:w="1800"/>
        <w:gridCol w:w="2047"/>
      </w:tblGrid>
      <w:tr w14:paraId="0C00F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1317" w:type="pct"/>
            <w:gridSpan w:val="2"/>
            <w:noWrap w:val="0"/>
            <w:vAlign w:val="center"/>
          </w:tcPr>
          <w:p w14:paraId="7E1D4F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类别</w:t>
            </w:r>
          </w:p>
        </w:tc>
        <w:tc>
          <w:tcPr>
            <w:tcW w:w="693" w:type="pct"/>
            <w:noWrap w:val="0"/>
            <w:vAlign w:val="center"/>
          </w:tcPr>
          <w:p w14:paraId="293F28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污染物名称</w:t>
            </w:r>
          </w:p>
        </w:tc>
        <w:tc>
          <w:tcPr>
            <w:tcW w:w="915" w:type="pct"/>
            <w:noWrap w:val="0"/>
            <w:vAlign w:val="center"/>
          </w:tcPr>
          <w:p w14:paraId="5626E4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产生量</w:t>
            </w:r>
          </w:p>
        </w:tc>
        <w:tc>
          <w:tcPr>
            <w:tcW w:w="969" w:type="pct"/>
            <w:noWrap w:val="0"/>
            <w:vAlign w:val="center"/>
          </w:tcPr>
          <w:p w14:paraId="2B9AEC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排放量/处置量</w:t>
            </w:r>
          </w:p>
        </w:tc>
        <w:tc>
          <w:tcPr>
            <w:tcW w:w="1102" w:type="pct"/>
            <w:noWrap w:val="0"/>
            <w:vAlign w:val="center"/>
          </w:tcPr>
          <w:p w14:paraId="66F960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防治措施</w:t>
            </w:r>
          </w:p>
        </w:tc>
      </w:tr>
      <w:tr w14:paraId="70AD5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restart"/>
            <w:noWrap w:val="0"/>
            <w:vAlign w:val="center"/>
          </w:tcPr>
          <w:p w14:paraId="2E8567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施工期废气</w:t>
            </w:r>
          </w:p>
        </w:tc>
        <w:tc>
          <w:tcPr>
            <w:tcW w:w="814" w:type="pct"/>
            <w:noWrap w:val="0"/>
            <w:vAlign w:val="center"/>
          </w:tcPr>
          <w:p w14:paraId="066812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default"/>
                <w:sz w:val="21"/>
                <w:szCs w:val="21"/>
                <w:highlight w:val="none"/>
                <w:u w:val="none" w:color="auto"/>
                <w:lang w:val="en-US" w:eastAsia="zh-CN"/>
              </w:rPr>
              <w:t>装卸料扬尘</w:t>
            </w:r>
          </w:p>
        </w:tc>
        <w:tc>
          <w:tcPr>
            <w:tcW w:w="693" w:type="pct"/>
            <w:noWrap w:val="0"/>
            <w:vAlign w:val="center"/>
          </w:tcPr>
          <w:p w14:paraId="478493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颗粒物</w:t>
            </w:r>
          </w:p>
        </w:tc>
        <w:tc>
          <w:tcPr>
            <w:tcW w:w="915" w:type="pct"/>
            <w:noWrap w:val="0"/>
            <w:vAlign w:val="center"/>
          </w:tcPr>
          <w:p w14:paraId="40F860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26.584kg</w:t>
            </w:r>
          </w:p>
        </w:tc>
        <w:tc>
          <w:tcPr>
            <w:tcW w:w="969" w:type="pct"/>
            <w:noWrap w:val="0"/>
            <w:vAlign w:val="center"/>
          </w:tcPr>
          <w:p w14:paraId="6F5340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6.91kg</w:t>
            </w:r>
          </w:p>
        </w:tc>
        <w:tc>
          <w:tcPr>
            <w:tcW w:w="1102" w:type="pct"/>
            <w:noWrap w:val="0"/>
            <w:vAlign w:val="center"/>
          </w:tcPr>
          <w:p w14:paraId="6CC6E9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洒水抑尘</w:t>
            </w:r>
          </w:p>
        </w:tc>
      </w:tr>
      <w:tr w14:paraId="528A0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5469DE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noWrap w:val="0"/>
            <w:vAlign w:val="center"/>
          </w:tcPr>
          <w:p w14:paraId="50D045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default"/>
                <w:sz w:val="21"/>
                <w:szCs w:val="21"/>
                <w:highlight w:val="none"/>
                <w:u w:val="none" w:color="auto"/>
                <w:lang w:val="en-US" w:eastAsia="zh-CN"/>
              </w:rPr>
              <w:t>废渣开挖及填埋摊铺等作业扬尘</w:t>
            </w:r>
          </w:p>
        </w:tc>
        <w:tc>
          <w:tcPr>
            <w:tcW w:w="693" w:type="pct"/>
            <w:noWrap w:val="0"/>
            <w:vAlign w:val="center"/>
          </w:tcPr>
          <w:p w14:paraId="04CBEB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颗粒物</w:t>
            </w:r>
          </w:p>
        </w:tc>
        <w:tc>
          <w:tcPr>
            <w:tcW w:w="915" w:type="pct"/>
            <w:noWrap w:val="0"/>
            <w:vAlign w:val="center"/>
          </w:tcPr>
          <w:p w14:paraId="203A32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5.70kg</w:t>
            </w:r>
          </w:p>
        </w:tc>
        <w:tc>
          <w:tcPr>
            <w:tcW w:w="969" w:type="pct"/>
            <w:noWrap w:val="0"/>
            <w:vAlign w:val="center"/>
          </w:tcPr>
          <w:p w14:paraId="4CE441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1.482kg</w:t>
            </w:r>
          </w:p>
        </w:tc>
        <w:tc>
          <w:tcPr>
            <w:tcW w:w="1102" w:type="pct"/>
            <w:noWrap w:val="0"/>
            <w:vAlign w:val="center"/>
          </w:tcPr>
          <w:p w14:paraId="2B02B0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洒水抑尘</w:t>
            </w:r>
          </w:p>
        </w:tc>
      </w:tr>
      <w:tr w14:paraId="6A6817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876D9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noWrap w:val="0"/>
            <w:vAlign w:val="center"/>
          </w:tcPr>
          <w:p w14:paraId="3DCE03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取土场扬尘</w:t>
            </w:r>
          </w:p>
        </w:tc>
        <w:tc>
          <w:tcPr>
            <w:tcW w:w="693" w:type="pct"/>
            <w:noWrap w:val="0"/>
            <w:vAlign w:val="center"/>
          </w:tcPr>
          <w:p w14:paraId="3E6F61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颗粒物</w:t>
            </w:r>
          </w:p>
        </w:tc>
        <w:tc>
          <w:tcPr>
            <w:tcW w:w="915" w:type="pct"/>
            <w:noWrap w:val="0"/>
            <w:vAlign w:val="center"/>
          </w:tcPr>
          <w:p w14:paraId="6FC6C0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0.38kg</w:t>
            </w:r>
          </w:p>
        </w:tc>
        <w:tc>
          <w:tcPr>
            <w:tcW w:w="969" w:type="pct"/>
            <w:noWrap w:val="0"/>
            <w:vAlign w:val="center"/>
          </w:tcPr>
          <w:p w14:paraId="0CF5D8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0.1kg</w:t>
            </w:r>
          </w:p>
        </w:tc>
        <w:tc>
          <w:tcPr>
            <w:tcW w:w="1102" w:type="pct"/>
            <w:noWrap w:val="0"/>
            <w:vAlign w:val="center"/>
          </w:tcPr>
          <w:p w14:paraId="3EBBC6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洒水抑尘</w:t>
            </w:r>
          </w:p>
        </w:tc>
      </w:tr>
      <w:tr w14:paraId="152798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5FFEF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noWrap w:val="0"/>
            <w:vAlign w:val="center"/>
          </w:tcPr>
          <w:p w14:paraId="3ABF30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default"/>
                <w:sz w:val="21"/>
                <w:szCs w:val="21"/>
                <w:highlight w:val="none"/>
                <w:u w:val="none" w:color="auto"/>
                <w:lang w:val="en-US" w:eastAsia="zh-CN"/>
              </w:rPr>
              <w:t>车辆运输扬尘</w:t>
            </w:r>
          </w:p>
        </w:tc>
        <w:tc>
          <w:tcPr>
            <w:tcW w:w="693" w:type="pct"/>
            <w:noWrap w:val="0"/>
            <w:vAlign w:val="center"/>
          </w:tcPr>
          <w:p w14:paraId="259111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颗粒物</w:t>
            </w:r>
          </w:p>
        </w:tc>
        <w:tc>
          <w:tcPr>
            <w:tcW w:w="915" w:type="pct"/>
            <w:noWrap w:val="0"/>
            <w:vAlign w:val="center"/>
          </w:tcPr>
          <w:p w14:paraId="59C0BF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556.42kg</w:t>
            </w:r>
          </w:p>
        </w:tc>
        <w:tc>
          <w:tcPr>
            <w:tcW w:w="969" w:type="pct"/>
            <w:noWrap w:val="0"/>
            <w:vAlign w:val="center"/>
          </w:tcPr>
          <w:p w14:paraId="351580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144.67kg</w:t>
            </w:r>
          </w:p>
        </w:tc>
        <w:tc>
          <w:tcPr>
            <w:tcW w:w="1102" w:type="pct"/>
            <w:noWrap w:val="0"/>
            <w:vAlign w:val="center"/>
          </w:tcPr>
          <w:p w14:paraId="31A7F4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洒水抑尘</w:t>
            </w:r>
          </w:p>
        </w:tc>
      </w:tr>
      <w:tr w14:paraId="140549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BD1BA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noWrap w:val="0"/>
            <w:vAlign w:val="center"/>
          </w:tcPr>
          <w:p w14:paraId="260BFD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default"/>
                <w:sz w:val="21"/>
                <w:szCs w:val="21"/>
                <w:highlight w:val="none"/>
                <w:u w:val="none" w:color="auto"/>
                <w:lang w:val="en-US" w:eastAsia="zh-CN"/>
              </w:rPr>
              <w:t>车辆、机械燃油尾气</w:t>
            </w:r>
          </w:p>
        </w:tc>
        <w:tc>
          <w:tcPr>
            <w:tcW w:w="693" w:type="pct"/>
            <w:noWrap w:val="0"/>
            <w:vAlign w:val="center"/>
          </w:tcPr>
          <w:p w14:paraId="0F01B4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default"/>
                <w:sz w:val="21"/>
                <w:szCs w:val="21"/>
                <w:highlight w:val="none"/>
                <w:u w:val="none" w:color="auto"/>
                <w:lang w:val="en-US" w:eastAsia="zh-CN"/>
              </w:rPr>
              <w:t>CO、NO</w:t>
            </w:r>
            <w:r>
              <w:rPr>
                <w:rFonts w:hint="default"/>
                <w:sz w:val="21"/>
                <w:szCs w:val="21"/>
                <w:highlight w:val="none"/>
                <w:u w:val="none" w:color="auto"/>
                <w:vertAlign w:val="subscript"/>
                <w:lang w:val="en-US" w:eastAsia="zh-CN"/>
              </w:rPr>
              <w:t>2</w:t>
            </w:r>
            <w:r>
              <w:rPr>
                <w:rFonts w:hint="default"/>
                <w:sz w:val="21"/>
                <w:szCs w:val="21"/>
                <w:highlight w:val="none"/>
                <w:u w:val="none" w:color="auto"/>
                <w:lang w:val="en-US" w:eastAsia="zh-CN"/>
              </w:rPr>
              <w:t>、THC</w:t>
            </w:r>
          </w:p>
        </w:tc>
        <w:tc>
          <w:tcPr>
            <w:tcW w:w="915" w:type="pct"/>
            <w:noWrap w:val="0"/>
            <w:vAlign w:val="center"/>
          </w:tcPr>
          <w:p w14:paraId="18B9C1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少量</w:t>
            </w:r>
          </w:p>
        </w:tc>
        <w:tc>
          <w:tcPr>
            <w:tcW w:w="969" w:type="pct"/>
            <w:noWrap w:val="0"/>
            <w:vAlign w:val="center"/>
          </w:tcPr>
          <w:p w14:paraId="646FC9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少量</w:t>
            </w:r>
          </w:p>
        </w:tc>
        <w:tc>
          <w:tcPr>
            <w:tcW w:w="1102" w:type="pct"/>
            <w:noWrap w:val="0"/>
            <w:vAlign w:val="center"/>
          </w:tcPr>
          <w:p w14:paraId="4C4046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控制车速、优质燃油</w:t>
            </w:r>
          </w:p>
        </w:tc>
      </w:tr>
      <w:tr w14:paraId="62526E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restart"/>
            <w:noWrap w:val="0"/>
            <w:vAlign w:val="center"/>
          </w:tcPr>
          <w:p w14:paraId="7B704D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施工期废水</w:t>
            </w:r>
          </w:p>
        </w:tc>
        <w:tc>
          <w:tcPr>
            <w:tcW w:w="814" w:type="pct"/>
            <w:vMerge w:val="restart"/>
            <w:noWrap w:val="0"/>
            <w:vAlign w:val="center"/>
          </w:tcPr>
          <w:p w14:paraId="129231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default"/>
                <w:sz w:val="21"/>
                <w:szCs w:val="21"/>
                <w:highlight w:val="none"/>
                <w:u w:val="none" w:color="auto"/>
                <w:lang w:val="en-US" w:eastAsia="zh-CN"/>
              </w:rPr>
              <w:t>淋溶水</w:t>
            </w:r>
          </w:p>
          <w:p w14:paraId="21FEB7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（4m</w:t>
            </w:r>
            <w:r>
              <w:rPr>
                <w:rFonts w:hint="eastAsia"/>
                <w:sz w:val="21"/>
                <w:szCs w:val="21"/>
                <w:highlight w:val="none"/>
                <w:u w:val="none" w:color="auto"/>
                <w:vertAlign w:val="superscript"/>
                <w:lang w:val="en-US" w:eastAsia="zh-CN"/>
              </w:rPr>
              <w:t>3</w:t>
            </w:r>
            <w:r>
              <w:rPr>
                <w:rFonts w:hint="eastAsia"/>
                <w:sz w:val="21"/>
                <w:szCs w:val="21"/>
                <w:highlight w:val="none"/>
                <w:u w:val="none" w:color="auto"/>
                <w:vertAlign w:val="baseline"/>
                <w:lang w:val="en-US" w:eastAsia="zh-CN"/>
              </w:rPr>
              <w:t>/d</w:t>
            </w:r>
            <w:r>
              <w:rPr>
                <w:rFonts w:hint="eastAsia"/>
                <w:sz w:val="21"/>
                <w:szCs w:val="21"/>
                <w:highlight w:val="none"/>
                <w:u w:val="none" w:color="auto"/>
                <w:lang w:val="en-US" w:eastAsia="zh-CN"/>
              </w:rPr>
              <w:t>）</w:t>
            </w:r>
          </w:p>
        </w:tc>
        <w:tc>
          <w:tcPr>
            <w:tcW w:w="693" w:type="pct"/>
            <w:noWrap w:val="0"/>
            <w:vAlign w:val="center"/>
          </w:tcPr>
          <w:p w14:paraId="4C3779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总铬</w:t>
            </w:r>
          </w:p>
        </w:tc>
        <w:tc>
          <w:tcPr>
            <w:tcW w:w="915" w:type="pct"/>
            <w:noWrap w:val="0"/>
            <w:vAlign w:val="center"/>
          </w:tcPr>
          <w:p w14:paraId="531D8C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0.00008</w:t>
            </w:r>
            <w:r>
              <w:rPr>
                <w:rFonts w:hint="eastAsia" w:cs="Times New Roman"/>
                <w:sz w:val="21"/>
                <w:szCs w:val="21"/>
                <w:highlight w:val="none"/>
                <w:vertAlign w:val="baseline"/>
                <w:lang w:val="en-US" w:eastAsia="zh-CN"/>
              </w:rPr>
              <w:t>kg/d</w:t>
            </w:r>
          </w:p>
        </w:tc>
        <w:tc>
          <w:tcPr>
            <w:tcW w:w="969" w:type="pct"/>
            <w:noWrap w:val="0"/>
            <w:vAlign w:val="top"/>
          </w:tcPr>
          <w:p w14:paraId="37DFD2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0.000032</w:t>
            </w:r>
            <w:r>
              <w:rPr>
                <w:rFonts w:hint="eastAsia" w:cs="Times New Roman"/>
                <w:sz w:val="21"/>
                <w:szCs w:val="21"/>
                <w:highlight w:val="none"/>
                <w:vertAlign w:val="baseline"/>
                <w:lang w:val="en-US" w:eastAsia="zh-CN"/>
              </w:rPr>
              <w:t>kg/d</w:t>
            </w:r>
          </w:p>
        </w:tc>
        <w:tc>
          <w:tcPr>
            <w:tcW w:w="1102" w:type="pct"/>
            <w:vMerge w:val="restart"/>
            <w:noWrap w:val="0"/>
            <w:vAlign w:val="center"/>
          </w:tcPr>
          <w:p w14:paraId="2E0C80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default"/>
                <w:sz w:val="21"/>
                <w:szCs w:val="21"/>
                <w:highlight w:val="none"/>
                <w:u w:val="none" w:color="auto"/>
                <w:lang w:val="en-US" w:eastAsia="zh-CN"/>
              </w:rPr>
              <w:t>经</w:t>
            </w:r>
            <w:r>
              <w:rPr>
                <w:rFonts w:hint="eastAsia"/>
                <w:sz w:val="21"/>
                <w:szCs w:val="21"/>
                <w:highlight w:val="none"/>
                <w:u w:val="none" w:color="auto"/>
                <w:lang w:val="en-US" w:eastAsia="zh-CN"/>
              </w:rPr>
              <w:t>重金属</w:t>
            </w:r>
            <w:r>
              <w:rPr>
                <w:rFonts w:hint="default"/>
                <w:sz w:val="21"/>
                <w:szCs w:val="21"/>
                <w:highlight w:val="none"/>
                <w:u w:val="none" w:color="auto"/>
                <w:lang w:val="en-US" w:eastAsia="zh-CN"/>
              </w:rPr>
              <w:t>一体化污水处理装置处理</w:t>
            </w:r>
            <w:r>
              <w:rPr>
                <w:rFonts w:hint="eastAsia"/>
                <w:sz w:val="21"/>
                <w:szCs w:val="21"/>
                <w:highlight w:val="none"/>
                <w:u w:val="none" w:color="auto"/>
                <w:lang w:val="en-US" w:eastAsia="zh-CN"/>
              </w:rPr>
              <w:t>后</w:t>
            </w:r>
            <w:r>
              <w:rPr>
                <w:rFonts w:hint="default"/>
                <w:sz w:val="21"/>
                <w:szCs w:val="21"/>
                <w:highlight w:val="none"/>
                <w:u w:val="none" w:color="auto"/>
                <w:lang w:val="en-US" w:eastAsia="zh-CN"/>
              </w:rPr>
              <w:t>由槽罐车托运至湖南黄金天岳矿业有限公司垂拱洞尾矿库废水处理站进行处理</w:t>
            </w:r>
          </w:p>
        </w:tc>
      </w:tr>
      <w:tr w14:paraId="576CB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33F430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4413E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491B15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总镍</w:t>
            </w:r>
          </w:p>
        </w:tc>
        <w:tc>
          <w:tcPr>
            <w:tcW w:w="915" w:type="pct"/>
            <w:noWrap w:val="0"/>
            <w:vAlign w:val="center"/>
          </w:tcPr>
          <w:p w14:paraId="4098C4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0.00008</w:t>
            </w:r>
            <w:r>
              <w:rPr>
                <w:rFonts w:hint="eastAsia" w:cs="Times New Roman"/>
                <w:sz w:val="21"/>
                <w:szCs w:val="21"/>
                <w:highlight w:val="none"/>
                <w:vertAlign w:val="baseline"/>
                <w:lang w:val="en-US" w:eastAsia="zh-CN"/>
              </w:rPr>
              <w:t>kg/d</w:t>
            </w:r>
          </w:p>
        </w:tc>
        <w:tc>
          <w:tcPr>
            <w:tcW w:w="969" w:type="pct"/>
            <w:noWrap w:val="0"/>
            <w:vAlign w:val="top"/>
          </w:tcPr>
          <w:p w14:paraId="293848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0.000032</w:t>
            </w:r>
            <w:r>
              <w:rPr>
                <w:rFonts w:hint="eastAsia" w:cs="Times New Roman"/>
                <w:sz w:val="21"/>
                <w:szCs w:val="21"/>
                <w:highlight w:val="none"/>
                <w:vertAlign w:val="baseline"/>
                <w:lang w:val="en-US" w:eastAsia="zh-CN"/>
              </w:rPr>
              <w:t>kg/d</w:t>
            </w:r>
          </w:p>
        </w:tc>
        <w:tc>
          <w:tcPr>
            <w:tcW w:w="1102" w:type="pct"/>
            <w:vMerge w:val="continue"/>
            <w:noWrap w:val="0"/>
            <w:vAlign w:val="center"/>
          </w:tcPr>
          <w:p w14:paraId="420408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0BD2E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500B1D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34F78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165F5B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总铜</w:t>
            </w:r>
          </w:p>
        </w:tc>
        <w:tc>
          <w:tcPr>
            <w:tcW w:w="915" w:type="pct"/>
            <w:noWrap w:val="0"/>
            <w:vAlign w:val="center"/>
          </w:tcPr>
          <w:p w14:paraId="633B5D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0.00036kg/d</w:t>
            </w:r>
          </w:p>
        </w:tc>
        <w:tc>
          <w:tcPr>
            <w:tcW w:w="969" w:type="pct"/>
            <w:noWrap w:val="0"/>
            <w:vAlign w:val="top"/>
          </w:tcPr>
          <w:p w14:paraId="228205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0.000144</w:t>
            </w:r>
            <w:r>
              <w:rPr>
                <w:rFonts w:hint="eastAsia" w:cs="Times New Roman"/>
                <w:sz w:val="21"/>
                <w:szCs w:val="21"/>
                <w:highlight w:val="none"/>
                <w:vertAlign w:val="baseline"/>
                <w:lang w:val="en-US" w:eastAsia="zh-CN"/>
              </w:rPr>
              <w:t>kg/d</w:t>
            </w:r>
          </w:p>
        </w:tc>
        <w:tc>
          <w:tcPr>
            <w:tcW w:w="1102" w:type="pct"/>
            <w:vMerge w:val="continue"/>
            <w:noWrap w:val="0"/>
            <w:vAlign w:val="center"/>
          </w:tcPr>
          <w:p w14:paraId="593FD0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3A4878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581AB5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58BD91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1E3323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总锌</w:t>
            </w:r>
          </w:p>
        </w:tc>
        <w:tc>
          <w:tcPr>
            <w:tcW w:w="915" w:type="pct"/>
            <w:noWrap w:val="0"/>
            <w:vAlign w:val="center"/>
          </w:tcPr>
          <w:p w14:paraId="70893C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0.00136kg/d</w:t>
            </w:r>
          </w:p>
        </w:tc>
        <w:tc>
          <w:tcPr>
            <w:tcW w:w="969" w:type="pct"/>
            <w:noWrap w:val="0"/>
            <w:vAlign w:val="top"/>
          </w:tcPr>
          <w:p w14:paraId="2F4651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0.000544</w:t>
            </w:r>
            <w:r>
              <w:rPr>
                <w:rFonts w:hint="eastAsia" w:cs="Times New Roman"/>
                <w:sz w:val="21"/>
                <w:szCs w:val="21"/>
                <w:highlight w:val="none"/>
                <w:vertAlign w:val="baseline"/>
                <w:lang w:val="en-US" w:eastAsia="zh-CN"/>
              </w:rPr>
              <w:t>kg/d</w:t>
            </w:r>
          </w:p>
        </w:tc>
        <w:tc>
          <w:tcPr>
            <w:tcW w:w="1102" w:type="pct"/>
            <w:vMerge w:val="continue"/>
            <w:noWrap w:val="0"/>
            <w:vAlign w:val="center"/>
          </w:tcPr>
          <w:p w14:paraId="291237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52C306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48EA6D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01A242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7A92B9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总砷</w:t>
            </w:r>
          </w:p>
        </w:tc>
        <w:tc>
          <w:tcPr>
            <w:tcW w:w="915" w:type="pct"/>
            <w:noWrap w:val="0"/>
            <w:vAlign w:val="center"/>
          </w:tcPr>
          <w:p w14:paraId="311794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sz w:val="21"/>
                <w:szCs w:val="21"/>
                <w:highlight w:val="none"/>
                <w:vertAlign w:val="baseline"/>
                <w:lang w:val="en-US" w:eastAsia="zh-CN"/>
              </w:rPr>
              <w:t>0.00736kg/d</w:t>
            </w:r>
          </w:p>
        </w:tc>
        <w:tc>
          <w:tcPr>
            <w:tcW w:w="969" w:type="pct"/>
            <w:noWrap w:val="0"/>
            <w:vAlign w:val="top"/>
          </w:tcPr>
          <w:p w14:paraId="1E617F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0.002944</w:t>
            </w:r>
            <w:r>
              <w:rPr>
                <w:rFonts w:hint="eastAsia" w:cs="Times New Roman"/>
                <w:sz w:val="21"/>
                <w:szCs w:val="21"/>
                <w:highlight w:val="none"/>
                <w:vertAlign w:val="baseline"/>
                <w:lang w:val="en-US" w:eastAsia="zh-CN"/>
              </w:rPr>
              <w:t>kg/d</w:t>
            </w:r>
          </w:p>
        </w:tc>
        <w:tc>
          <w:tcPr>
            <w:tcW w:w="1102" w:type="pct"/>
            <w:vMerge w:val="continue"/>
            <w:noWrap w:val="0"/>
            <w:vAlign w:val="center"/>
          </w:tcPr>
          <w:p w14:paraId="648C4F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5CE5C1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6CE170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FA097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121B15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总镉</w:t>
            </w:r>
          </w:p>
        </w:tc>
        <w:tc>
          <w:tcPr>
            <w:tcW w:w="915" w:type="pct"/>
            <w:noWrap w:val="0"/>
            <w:vAlign w:val="center"/>
          </w:tcPr>
          <w:p w14:paraId="6B3F6B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0.0000048</w:t>
            </w:r>
            <w:r>
              <w:rPr>
                <w:rFonts w:hint="eastAsia" w:cs="Times New Roman"/>
                <w:sz w:val="21"/>
                <w:szCs w:val="21"/>
                <w:highlight w:val="none"/>
                <w:vertAlign w:val="baseline"/>
                <w:lang w:val="en-US" w:eastAsia="zh-CN"/>
              </w:rPr>
              <w:t>kg/d</w:t>
            </w:r>
          </w:p>
        </w:tc>
        <w:tc>
          <w:tcPr>
            <w:tcW w:w="969" w:type="pct"/>
            <w:noWrap w:val="0"/>
            <w:vAlign w:val="top"/>
          </w:tcPr>
          <w:p w14:paraId="1F8900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0.00000192</w:t>
            </w:r>
            <w:r>
              <w:rPr>
                <w:rFonts w:hint="eastAsia" w:cs="Times New Roman"/>
                <w:sz w:val="21"/>
                <w:szCs w:val="21"/>
                <w:highlight w:val="none"/>
                <w:vertAlign w:val="baseline"/>
                <w:lang w:val="en-US" w:eastAsia="zh-CN"/>
              </w:rPr>
              <w:t>kg/d</w:t>
            </w:r>
          </w:p>
        </w:tc>
        <w:tc>
          <w:tcPr>
            <w:tcW w:w="1102" w:type="pct"/>
            <w:vMerge w:val="continue"/>
            <w:noWrap w:val="0"/>
            <w:vAlign w:val="center"/>
          </w:tcPr>
          <w:p w14:paraId="67AE81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09E748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1FEC09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7EAC2E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6CB9C2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总铅</w:t>
            </w:r>
          </w:p>
        </w:tc>
        <w:tc>
          <w:tcPr>
            <w:tcW w:w="915" w:type="pct"/>
            <w:noWrap w:val="0"/>
            <w:vAlign w:val="center"/>
          </w:tcPr>
          <w:p w14:paraId="0B7172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w:t>
            </w:r>
            <w:r>
              <w:rPr>
                <w:rFonts w:hint="eastAsia" w:cs="Times New Roman"/>
                <w:sz w:val="21"/>
                <w:szCs w:val="21"/>
                <w:highlight w:val="none"/>
                <w:vertAlign w:val="baseline"/>
                <w:lang w:val="en-US" w:eastAsia="zh-CN"/>
              </w:rPr>
              <w:t>00168kg/d</w:t>
            </w:r>
          </w:p>
        </w:tc>
        <w:tc>
          <w:tcPr>
            <w:tcW w:w="969" w:type="pct"/>
            <w:noWrap w:val="0"/>
            <w:vAlign w:val="top"/>
          </w:tcPr>
          <w:p w14:paraId="693F8A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0.00000672</w:t>
            </w:r>
            <w:r>
              <w:rPr>
                <w:rFonts w:hint="eastAsia" w:cs="Times New Roman"/>
                <w:sz w:val="21"/>
                <w:szCs w:val="21"/>
                <w:highlight w:val="none"/>
                <w:vertAlign w:val="baseline"/>
                <w:lang w:val="en-US" w:eastAsia="zh-CN"/>
              </w:rPr>
              <w:t>kg/d</w:t>
            </w:r>
          </w:p>
        </w:tc>
        <w:tc>
          <w:tcPr>
            <w:tcW w:w="1102" w:type="pct"/>
            <w:vMerge w:val="continue"/>
            <w:noWrap w:val="0"/>
            <w:vAlign w:val="center"/>
          </w:tcPr>
          <w:p w14:paraId="51C95D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3F73CC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65D1B4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66A2E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3FD534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总汞</w:t>
            </w:r>
          </w:p>
        </w:tc>
        <w:tc>
          <w:tcPr>
            <w:tcW w:w="915" w:type="pct"/>
            <w:noWrap w:val="0"/>
            <w:vAlign w:val="center"/>
          </w:tcPr>
          <w:p w14:paraId="6C3B96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0.00000008</w:t>
            </w:r>
            <w:r>
              <w:rPr>
                <w:rFonts w:hint="eastAsia" w:cs="Times New Roman"/>
                <w:sz w:val="21"/>
                <w:szCs w:val="21"/>
                <w:highlight w:val="none"/>
                <w:vertAlign w:val="baseline"/>
                <w:lang w:val="en-US" w:eastAsia="zh-CN"/>
              </w:rPr>
              <w:t>kg/d</w:t>
            </w:r>
          </w:p>
        </w:tc>
        <w:tc>
          <w:tcPr>
            <w:tcW w:w="969" w:type="pct"/>
            <w:noWrap w:val="0"/>
            <w:vAlign w:val="top"/>
          </w:tcPr>
          <w:p w14:paraId="23FB41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0.000000032</w:t>
            </w:r>
            <w:r>
              <w:rPr>
                <w:rFonts w:hint="eastAsia" w:cs="Times New Roman"/>
                <w:sz w:val="21"/>
                <w:szCs w:val="21"/>
                <w:highlight w:val="none"/>
                <w:vertAlign w:val="baseline"/>
                <w:lang w:val="en-US" w:eastAsia="zh-CN"/>
              </w:rPr>
              <w:t>kg/d</w:t>
            </w:r>
          </w:p>
        </w:tc>
        <w:tc>
          <w:tcPr>
            <w:tcW w:w="1102" w:type="pct"/>
            <w:vMerge w:val="continue"/>
            <w:noWrap w:val="0"/>
            <w:vAlign w:val="center"/>
          </w:tcPr>
          <w:p w14:paraId="409A1B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369AB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7DB6EC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57C40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79A552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六价铬</w:t>
            </w:r>
          </w:p>
        </w:tc>
        <w:tc>
          <w:tcPr>
            <w:tcW w:w="915" w:type="pct"/>
            <w:noWrap w:val="0"/>
            <w:vAlign w:val="center"/>
          </w:tcPr>
          <w:p w14:paraId="2B238E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0.000016</w:t>
            </w:r>
            <w:r>
              <w:rPr>
                <w:rFonts w:hint="eastAsia" w:cs="Times New Roman"/>
                <w:sz w:val="21"/>
                <w:szCs w:val="21"/>
                <w:highlight w:val="none"/>
                <w:vertAlign w:val="baseline"/>
                <w:lang w:val="en-US" w:eastAsia="zh-CN"/>
              </w:rPr>
              <w:t>kg/d</w:t>
            </w:r>
          </w:p>
        </w:tc>
        <w:tc>
          <w:tcPr>
            <w:tcW w:w="969" w:type="pct"/>
            <w:noWrap w:val="0"/>
            <w:vAlign w:val="top"/>
          </w:tcPr>
          <w:p w14:paraId="319FF8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0.0000064</w:t>
            </w:r>
            <w:r>
              <w:rPr>
                <w:rFonts w:hint="eastAsia" w:cs="Times New Roman"/>
                <w:sz w:val="21"/>
                <w:szCs w:val="21"/>
                <w:highlight w:val="none"/>
                <w:vertAlign w:val="baseline"/>
                <w:lang w:val="en-US" w:eastAsia="zh-CN"/>
              </w:rPr>
              <w:t>kg/d</w:t>
            </w:r>
          </w:p>
        </w:tc>
        <w:tc>
          <w:tcPr>
            <w:tcW w:w="1102" w:type="pct"/>
            <w:vMerge w:val="continue"/>
            <w:noWrap w:val="0"/>
            <w:vAlign w:val="center"/>
          </w:tcPr>
          <w:p w14:paraId="35799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6F02B6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617C87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65E23A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c>
          <w:tcPr>
            <w:tcW w:w="693" w:type="pct"/>
            <w:noWrap w:val="0"/>
            <w:vAlign w:val="center"/>
          </w:tcPr>
          <w:p w14:paraId="367EEC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氰化物</w:t>
            </w:r>
          </w:p>
        </w:tc>
        <w:tc>
          <w:tcPr>
            <w:tcW w:w="915" w:type="pct"/>
            <w:noWrap w:val="0"/>
            <w:vAlign w:val="center"/>
          </w:tcPr>
          <w:p w14:paraId="034D14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0.000016</w:t>
            </w:r>
            <w:r>
              <w:rPr>
                <w:rFonts w:hint="eastAsia" w:cs="Times New Roman"/>
                <w:sz w:val="21"/>
                <w:szCs w:val="21"/>
                <w:highlight w:val="none"/>
                <w:vertAlign w:val="baseline"/>
                <w:lang w:val="en-US" w:eastAsia="zh-CN"/>
              </w:rPr>
              <w:t>kg/d</w:t>
            </w:r>
          </w:p>
        </w:tc>
        <w:tc>
          <w:tcPr>
            <w:tcW w:w="969" w:type="pct"/>
            <w:noWrap w:val="0"/>
            <w:vAlign w:val="top"/>
          </w:tcPr>
          <w:p w14:paraId="74E5DF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0.0000064</w:t>
            </w:r>
            <w:r>
              <w:rPr>
                <w:rFonts w:hint="eastAsia" w:cs="Times New Roman"/>
                <w:sz w:val="21"/>
                <w:szCs w:val="21"/>
                <w:highlight w:val="none"/>
                <w:vertAlign w:val="baseline"/>
                <w:lang w:val="en-US" w:eastAsia="zh-CN"/>
              </w:rPr>
              <w:t>kg/d</w:t>
            </w:r>
          </w:p>
        </w:tc>
        <w:tc>
          <w:tcPr>
            <w:tcW w:w="1102" w:type="pct"/>
            <w:vMerge w:val="continue"/>
            <w:noWrap w:val="0"/>
            <w:vAlign w:val="center"/>
          </w:tcPr>
          <w:p w14:paraId="3E5D30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yellow"/>
                <w:u w:val="none" w:color="auto"/>
                <w:lang w:val="en-US" w:eastAsia="zh-CN"/>
              </w:rPr>
            </w:pPr>
          </w:p>
        </w:tc>
      </w:tr>
      <w:tr w14:paraId="2854AF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9C401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restart"/>
            <w:noWrap w:val="0"/>
            <w:vAlign w:val="center"/>
          </w:tcPr>
          <w:p w14:paraId="027608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车辆冲洗废水（1.03m</w:t>
            </w:r>
            <w:r>
              <w:rPr>
                <w:rFonts w:hint="eastAsia"/>
                <w:sz w:val="21"/>
                <w:szCs w:val="21"/>
                <w:highlight w:val="none"/>
                <w:u w:val="none" w:color="auto"/>
                <w:vertAlign w:val="superscript"/>
                <w:lang w:val="en-US" w:eastAsia="zh-CN"/>
              </w:rPr>
              <w:t>3</w:t>
            </w:r>
            <w:r>
              <w:rPr>
                <w:rFonts w:hint="eastAsia"/>
                <w:sz w:val="21"/>
                <w:szCs w:val="21"/>
                <w:highlight w:val="none"/>
                <w:u w:val="none" w:color="auto"/>
                <w:vertAlign w:val="baseline"/>
                <w:lang w:val="en-US" w:eastAsia="zh-CN"/>
              </w:rPr>
              <w:t>/d</w:t>
            </w:r>
            <w:r>
              <w:rPr>
                <w:rFonts w:hint="eastAsia"/>
                <w:sz w:val="21"/>
                <w:szCs w:val="21"/>
                <w:highlight w:val="none"/>
                <w:u w:val="none" w:color="auto"/>
                <w:lang w:val="en-US" w:eastAsia="zh-CN"/>
              </w:rPr>
              <w:t>）</w:t>
            </w:r>
          </w:p>
        </w:tc>
        <w:tc>
          <w:tcPr>
            <w:tcW w:w="693" w:type="pct"/>
            <w:noWrap w:val="0"/>
            <w:vAlign w:val="center"/>
          </w:tcPr>
          <w:p w14:paraId="39DA3A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石油类</w:t>
            </w:r>
          </w:p>
        </w:tc>
        <w:tc>
          <w:tcPr>
            <w:tcW w:w="915" w:type="pct"/>
            <w:noWrap w:val="0"/>
            <w:vAlign w:val="center"/>
          </w:tcPr>
          <w:p w14:paraId="4E3165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0.0309</w:t>
            </w:r>
            <w:r>
              <w:rPr>
                <w:rFonts w:hint="eastAsia" w:cs="Times New Roman"/>
                <w:sz w:val="21"/>
                <w:szCs w:val="21"/>
                <w:highlight w:val="none"/>
                <w:vertAlign w:val="baseline"/>
                <w:lang w:val="en-US" w:eastAsia="zh-CN"/>
              </w:rPr>
              <w:t>kg/d</w:t>
            </w:r>
          </w:p>
        </w:tc>
        <w:tc>
          <w:tcPr>
            <w:tcW w:w="969" w:type="pct"/>
            <w:noWrap w:val="0"/>
            <w:vAlign w:val="center"/>
          </w:tcPr>
          <w:p w14:paraId="0892E8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0.0309</w:t>
            </w:r>
            <w:r>
              <w:rPr>
                <w:rFonts w:hint="eastAsia" w:cs="Times New Roman"/>
                <w:sz w:val="21"/>
                <w:szCs w:val="21"/>
                <w:highlight w:val="none"/>
                <w:vertAlign w:val="baseline"/>
                <w:lang w:val="en-US" w:eastAsia="zh-CN"/>
              </w:rPr>
              <w:t>kg/d</w:t>
            </w:r>
          </w:p>
        </w:tc>
        <w:tc>
          <w:tcPr>
            <w:tcW w:w="1102" w:type="pct"/>
            <w:vMerge w:val="restart"/>
            <w:noWrap w:val="0"/>
            <w:vAlign w:val="center"/>
          </w:tcPr>
          <w:p w14:paraId="54B6AD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经沉淀处理后回用于洗车及洒水降尘</w:t>
            </w:r>
          </w:p>
        </w:tc>
      </w:tr>
      <w:tr w14:paraId="32C24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5EED1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CE76D4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48E8C65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SS</w:t>
            </w:r>
          </w:p>
        </w:tc>
        <w:tc>
          <w:tcPr>
            <w:tcW w:w="915" w:type="pct"/>
            <w:noWrap w:val="0"/>
            <w:vAlign w:val="center"/>
          </w:tcPr>
          <w:p w14:paraId="131E53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1.03</w:t>
            </w:r>
            <w:r>
              <w:rPr>
                <w:rFonts w:hint="eastAsia" w:cs="Times New Roman"/>
                <w:sz w:val="21"/>
                <w:szCs w:val="21"/>
                <w:highlight w:val="none"/>
                <w:vertAlign w:val="baseline"/>
                <w:lang w:val="en-US" w:eastAsia="zh-CN"/>
              </w:rPr>
              <w:t>kg/d</w:t>
            </w:r>
          </w:p>
        </w:tc>
        <w:tc>
          <w:tcPr>
            <w:tcW w:w="969" w:type="pct"/>
            <w:noWrap w:val="0"/>
            <w:vAlign w:val="center"/>
          </w:tcPr>
          <w:p w14:paraId="2D8E64B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1.03</w:t>
            </w:r>
            <w:r>
              <w:rPr>
                <w:rFonts w:hint="eastAsia" w:cs="Times New Roman"/>
                <w:sz w:val="21"/>
                <w:szCs w:val="21"/>
                <w:highlight w:val="none"/>
                <w:vertAlign w:val="baseline"/>
                <w:lang w:val="en-US" w:eastAsia="zh-CN"/>
              </w:rPr>
              <w:t>kg/d</w:t>
            </w:r>
          </w:p>
        </w:tc>
        <w:tc>
          <w:tcPr>
            <w:tcW w:w="1102" w:type="pct"/>
            <w:vMerge w:val="continue"/>
            <w:noWrap w:val="0"/>
            <w:vAlign w:val="center"/>
          </w:tcPr>
          <w:p w14:paraId="4D9DD4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48970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82637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restart"/>
            <w:noWrap w:val="0"/>
            <w:vAlign w:val="center"/>
          </w:tcPr>
          <w:p w14:paraId="144109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渗滤液（17.28m</w:t>
            </w:r>
            <w:r>
              <w:rPr>
                <w:rFonts w:hint="eastAsia"/>
                <w:sz w:val="21"/>
                <w:szCs w:val="21"/>
                <w:highlight w:val="none"/>
                <w:u w:val="none" w:color="auto"/>
                <w:vertAlign w:val="superscript"/>
                <w:lang w:val="en-US" w:eastAsia="zh-CN"/>
              </w:rPr>
              <w:t>3</w:t>
            </w:r>
            <w:r>
              <w:rPr>
                <w:rFonts w:hint="eastAsia"/>
                <w:sz w:val="21"/>
                <w:szCs w:val="21"/>
                <w:highlight w:val="none"/>
                <w:u w:val="none" w:color="auto"/>
                <w:lang w:val="en-US" w:eastAsia="zh-CN"/>
              </w:rPr>
              <w:t>/d）</w:t>
            </w:r>
          </w:p>
        </w:tc>
        <w:tc>
          <w:tcPr>
            <w:tcW w:w="693" w:type="pct"/>
            <w:noWrap w:val="0"/>
            <w:vAlign w:val="center"/>
          </w:tcPr>
          <w:p w14:paraId="7429B9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总铬</w:t>
            </w:r>
          </w:p>
        </w:tc>
        <w:tc>
          <w:tcPr>
            <w:tcW w:w="915" w:type="pct"/>
            <w:noWrap w:val="0"/>
            <w:vAlign w:val="center"/>
          </w:tcPr>
          <w:p w14:paraId="5EB088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eastAsia="宋体"/>
                <w:color w:val="auto"/>
                <w:sz w:val="21"/>
                <w:szCs w:val="21"/>
                <w:highlight w:val="none"/>
                <w:vertAlign w:val="baseline"/>
                <w:lang w:val="en-US" w:eastAsia="zh-CN"/>
              </w:rPr>
              <w:t>0.00035</w:t>
            </w:r>
            <w:r>
              <w:rPr>
                <w:rFonts w:hint="eastAsia" w:cs="Times New Roman"/>
                <w:sz w:val="21"/>
                <w:szCs w:val="21"/>
                <w:highlight w:val="none"/>
                <w:vertAlign w:val="baseline"/>
                <w:lang w:val="en-US" w:eastAsia="zh-CN"/>
              </w:rPr>
              <w:t>kg/d</w:t>
            </w:r>
          </w:p>
        </w:tc>
        <w:tc>
          <w:tcPr>
            <w:tcW w:w="969" w:type="pct"/>
            <w:noWrap w:val="0"/>
            <w:vAlign w:val="center"/>
          </w:tcPr>
          <w:p w14:paraId="6AB160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0.00013824</w:t>
            </w:r>
            <w:r>
              <w:rPr>
                <w:rFonts w:hint="eastAsia" w:cs="Times New Roman"/>
                <w:sz w:val="21"/>
                <w:szCs w:val="21"/>
                <w:highlight w:val="none"/>
                <w:vertAlign w:val="baseline"/>
                <w:lang w:val="en-US" w:eastAsia="zh-CN"/>
              </w:rPr>
              <w:t>kg/d</w:t>
            </w:r>
          </w:p>
        </w:tc>
        <w:tc>
          <w:tcPr>
            <w:tcW w:w="1102" w:type="pct"/>
            <w:vMerge w:val="restart"/>
            <w:noWrap w:val="0"/>
            <w:vAlign w:val="center"/>
          </w:tcPr>
          <w:p w14:paraId="40D2F0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经</w:t>
            </w:r>
            <w:r>
              <w:rPr>
                <w:rFonts w:hint="eastAsia" w:cs="Times New Roman"/>
                <w:kern w:val="2"/>
                <w:sz w:val="21"/>
                <w:szCs w:val="21"/>
                <w:highlight w:val="none"/>
                <w:u w:val="none" w:color="auto"/>
                <w:lang w:val="en-US" w:eastAsia="zh-CN" w:bidi="ar-SA"/>
              </w:rPr>
              <w:t>重金属</w:t>
            </w:r>
            <w:r>
              <w:rPr>
                <w:rFonts w:hint="eastAsia" w:ascii="Times New Roman" w:hAnsi="Times New Roman" w:eastAsia="宋体" w:cs="Times New Roman"/>
                <w:kern w:val="2"/>
                <w:sz w:val="21"/>
                <w:szCs w:val="21"/>
                <w:highlight w:val="none"/>
                <w:u w:val="none" w:color="auto"/>
                <w:lang w:val="en-US" w:eastAsia="zh-CN" w:bidi="ar-SA"/>
              </w:rPr>
              <w:t>一体化污水处理装置处理后由槽罐车托运至湖南黄金天岳矿业有限公司垂拱洞尾矿库废水处理站进行处理</w:t>
            </w:r>
          </w:p>
        </w:tc>
      </w:tr>
      <w:tr w14:paraId="6F743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276525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1F4E0E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5B2276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总镍</w:t>
            </w:r>
          </w:p>
        </w:tc>
        <w:tc>
          <w:tcPr>
            <w:tcW w:w="915" w:type="pct"/>
            <w:noWrap w:val="0"/>
            <w:vAlign w:val="center"/>
          </w:tcPr>
          <w:p w14:paraId="04905D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eastAsia="宋体"/>
                <w:color w:val="auto"/>
                <w:sz w:val="21"/>
                <w:szCs w:val="21"/>
                <w:highlight w:val="none"/>
                <w:vertAlign w:val="baseline"/>
                <w:lang w:val="en-US" w:eastAsia="zh-CN"/>
              </w:rPr>
              <w:t>0.00035</w:t>
            </w:r>
            <w:r>
              <w:rPr>
                <w:rFonts w:hint="eastAsia" w:cs="Times New Roman"/>
                <w:sz w:val="21"/>
                <w:szCs w:val="21"/>
                <w:highlight w:val="none"/>
                <w:vertAlign w:val="baseline"/>
                <w:lang w:val="en-US" w:eastAsia="zh-CN"/>
              </w:rPr>
              <w:t>kg/d</w:t>
            </w:r>
          </w:p>
        </w:tc>
        <w:tc>
          <w:tcPr>
            <w:tcW w:w="969" w:type="pct"/>
            <w:noWrap w:val="0"/>
            <w:vAlign w:val="center"/>
          </w:tcPr>
          <w:p w14:paraId="21D252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0.00013824</w:t>
            </w:r>
            <w:r>
              <w:rPr>
                <w:rFonts w:hint="eastAsia" w:cs="Times New Roman"/>
                <w:sz w:val="21"/>
                <w:szCs w:val="21"/>
                <w:highlight w:val="none"/>
                <w:vertAlign w:val="baseline"/>
                <w:lang w:val="en-US" w:eastAsia="zh-CN"/>
              </w:rPr>
              <w:t>kg/d</w:t>
            </w:r>
          </w:p>
        </w:tc>
        <w:tc>
          <w:tcPr>
            <w:tcW w:w="1102" w:type="pct"/>
            <w:vMerge w:val="continue"/>
            <w:noWrap w:val="0"/>
            <w:vAlign w:val="center"/>
          </w:tcPr>
          <w:p w14:paraId="34A200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6871E1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EB6F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3EC0D2D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725225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总铜</w:t>
            </w:r>
          </w:p>
        </w:tc>
        <w:tc>
          <w:tcPr>
            <w:tcW w:w="915" w:type="pct"/>
            <w:noWrap w:val="0"/>
            <w:vAlign w:val="center"/>
          </w:tcPr>
          <w:p w14:paraId="731F88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0.0016</w:t>
            </w:r>
            <w:r>
              <w:rPr>
                <w:rFonts w:hint="eastAsia" w:cs="Times New Roman"/>
                <w:sz w:val="21"/>
                <w:szCs w:val="21"/>
                <w:highlight w:val="none"/>
                <w:vertAlign w:val="baseline"/>
                <w:lang w:val="en-US" w:eastAsia="zh-CN"/>
              </w:rPr>
              <w:t>kg/d</w:t>
            </w:r>
          </w:p>
        </w:tc>
        <w:tc>
          <w:tcPr>
            <w:tcW w:w="969" w:type="pct"/>
            <w:noWrap w:val="0"/>
            <w:vAlign w:val="center"/>
          </w:tcPr>
          <w:p w14:paraId="06C453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0.00062208</w:t>
            </w:r>
            <w:r>
              <w:rPr>
                <w:rFonts w:hint="eastAsia" w:cs="Times New Roman"/>
                <w:sz w:val="21"/>
                <w:szCs w:val="21"/>
                <w:highlight w:val="none"/>
                <w:vertAlign w:val="baseline"/>
                <w:lang w:val="en-US" w:eastAsia="zh-CN"/>
              </w:rPr>
              <w:t>kg/d</w:t>
            </w:r>
          </w:p>
        </w:tc>
        <w:tc>
          <w:tcPr>
            <w:tcW w:w="1102" w:type="pct"/>
            <w:vMerge w:val="continue"/>
            <w:noWrap w:val="0"/>
            <w:vAlign w:val="center"/>
          </w:tcPr>
          <w:p w14:paraId="3A615A4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611415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EE282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3735A8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007094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总锌</w:t>
            </w:r>
          </w:p>
        </w:tc>
        <w:tc>
          <w:tcPr>
            <w:tcW w:w="915" w:type="pct"/>
            <w:noWrap w:val="0"/>
            <w:vAlign w:val="center"/>
          </w:tcPr>
          <w:p w14:paraId="00ECBF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0.0059</w:t>
            </w:r>
            <w:r>
              <w:rPr>
                <w:rFonts w:hint="eastAsia" w:cs="Times New Roman"/>
                <w:sz w:val="21"/>
                <w:szCs w:val="21"/>
                <w:highlight w:val="none"/>
                <w:vertAlign w:val="baseline"/>
                <w:lang w:val="en-US" w:eastAsia="zh-CN"/>
              </w:rPr>
              <w:t>kg/d</w:t>
            </w:r>
          </w:p>
        </w:tc>
        <w:tc>
          <w:tcPr>
            <w:tcW w:w="969" w:type="pct"/>
            <w:noWrap w:val="0"/>
            <w:vAlign w:val="center"/>
          </w:tcPr>
          <w:p w14:paraId="4CF890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0.00235008</w:t>
            </w:r>
            <w:r>
              <w:rPr>
                <w:rFonts w:hint="eastAsia" w:cs="Times New Roman"/>
                <w:sz w:val="21"/>
                <w:szCs w:val="21"/>
                <w:highlight w:val="none"/>
                <w:vertAlign w:val="baseline"/>
                <w:lang w:val="en-US" w:eastAsia="zh-CN"/>
              </w:rPr>
              <w:t>kg/d</w:t>
            </w:r>
          </w:p>
        </w:tc>
        <w:tc>
          <w:tcPr>
            <w:tcW w:w="1102" w:type="pct"/>
            <w:vMerge w:val="continue"/>
            <w:noWrap w:val="0"/>
            <w:vAlign w:val="center"/>
          </w:tcPr>
          <w:p w14:paraId="08F8C1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3BF398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7EA132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35DB36D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494BDF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总砷</w:t>
            </w:r>
          </w:p>
        </w:tc>
        <w:tc>
          <w:tcPr>
            <w:tcW w:w="915" w:type="pct"/>
            <w:noWrap w:val="0"/>
            <w:vAlign w:val="center"/>
          </w:tcPr>
          <w:p w14:paraId="43ECCB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0.032</w:t>
            </w:r>
            <w:r>
              <w:rPr>
                <w:rFonts w:hint="eastAsia" w:cs="Times New Roman"/>
                <w:sz w:val="21"/>
                <w:szCs w:val="21"/>
                <w:highlight w:val="none"/>
                <w:vertAlign w:val="baseline"/>
                <w:lang w:val="en-US" w:eastAsia="zh-CN"/>
              </w:rPr>
              <w:t>kg/d</w:t>
            </w:r>
          </w:p>
        </w:tc>
        <w:tc>
          <w:tcPr>
            <w:tcW w:w="969" w:type="pct"/>
            <w:noWrap w:val="0"/>
            <w:vAlign w:val="center"/>
          </w:tcPr>
          <w:p w14:paraId="404B12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0.01271808</w:t>
            </w:r>
            <w:r>
              <w:rPr>
                <w:rFonts w:hint="eastAsia" w:cs="Times New Roman"/>
                <w:sz w:val="21"/>
                <w:szCs w:val="21"/>
                <w:highlight w:val="none"/>
                <w:vertAlign w:val="baseline"/>
                <w:lang w:val="en-US" w:eastAsia="zh-CN"/>
              </w:rPr>
              <w:t>kg/d</w:t>
            </w:r>
          </w:p>
        </w:tc>
        <w:tc>
          <w:tcPr>
            <w:tcW w:w="1102" w:type="pct"/>
            <w:vMerge w:val="continue"/>
            <w:noWrap w:val="0"/>
            <w:vAlign w:val="center"/>
          </w:tcPr>
          <w:p w14:paraId="4D2DD2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60DFE7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711666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6FD78E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608F3A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总镉</w:t>
            </w:r>
          </w:p>
        </w:tc>
        <w:tc>
          <w:tcPr>
            <w:tcW w:w="915" w:type="pct"/>
            <w:noWrap w:val="0"/>
            <w:vAlign w:val="center"/>
          </w:tcPr>
          <w:p w14:paraId="356B39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eastAsia="宋体"/>
                <w:color w:val="auto"/>
                <w:sz w:val="21"/>
                <w:szCs w:val="21"/>
                <w:highlight w:val="none"/>
                <w:vertAlign w:val="baseline"/>
                <w:lang w:val="en-US" w:eastAsia="zh-CN"/>
              </w:rPr>
              <w:t>0.000021</w:t>
            </w:r>
            <w:r>
              <w:rPr>
                <w:rFonts w:hint="eastAsia" w:cs="Times New Roman"/>
                <w:sz w:val="21"/>
                <w:szCs w:val="21"/>
                <w:highlight w:val="none"/>
                <w:vertAlign w:val="baseline"/>
                <w:lang w:val="en-US" w:eastAsia="zh-CN"/>
              </w:rPr>
              <w:t>kg/d</w:t>
            </w:r>
          </w:p>
        </w:tc>
        <w:tc>
          <w:tcPr>
            <w:tcW w:w="969" w:type="pct"/>
            <w:noWrap w:val="0"/>
            <w:vAlign w:val="center"/>
          </w:tcPr>
          <w:p w14:paraId="6C09EC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0.00000829</w:t>
            </w:r>
            <w:r>
              <w:rPr>
                <w:rFonts w:hint="eastAsia" w:cs="Times New Roman"/>
                <w:sz w:val="21"/>
                <w:szCs w:val="21"/>
                <w:highlight w:val="none"/>
                <w:vertAlign w:val="baseline"/>
                <w:lang w:val="en-US" w:eastAsia="zh-CN"/>
              </w:rPr>
              <w:t>kg/d</w:t>
            </w:r>
          </w:p>
        </w:tc>
        <w:tc>
          <w:tcPr>
            <w:tcW w:w="1102" w:type="pct"/>
            <w:vMerge w:val="continue"/>
            <w:noWrap w:val="0"/>
            <w:vAlign w:val="center"/>
          </w:tcPr>
          <w:p w14:paraId="3FE7D5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60BA1B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E0CDB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05C5E29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3BD5D7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总铅</w:t>
            </w:r>
          </w:p>
        </w:tc>
        <w:tc>
          <w:tcPr>
            <w:tcW w:w="915" w:type="pct"/>
            <w:noWrap w:val="0"/>
            <w:vAlign w:val="center"/>
          </w:tcPr>
          <w:p w14:paraId="5AE759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0.000073</w:t>
            </w:r>
            <w:r>
              <w:rPr>
                <w:rFonts w:hint="eastAsia" w:cs="Times New Roman"/>
                <w:sz w:val="21"/>
                <w:szCs w:val="21"/>
                <w:highlight w:val="none"/>
                <w:vertAlign w:val="baseline"/>
                <w:lang w:val="en-US" w:eastAsia="zh-CN"/>
              </w:rPr>
              <w:t>kg/d</w:t>
            </w:r>
          </w:p>
        </w:tc>
        <w:tc>
          <w:tcPr>
            <w:tcW w:w="969" w:type="pct"/>
            <w:noWrap w:val="0"/>
            <w:vAlign w:val="center"/>
          </w:tcPr>
          <w:p w14:paraId="7E0389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0.00002903</w:t>
            </w:r>
            <w:r>
              <w:rPr>
                <w:rFonts w:hint="eastAsia" w:cs="Times New Roman"/>
                <w:sz w:val="21"/>
                <w:szCs w:val="21"/>
                <w:highlight w:val="none"/>
                <w:vertAlign w:val="baseline"/>
                <w:lang w:val="en-US" w:eastAsia="zh-CN"/>
              </w:rPr>
              <w:t>kg/d</w:t>
            </w:r>
          </w:p>
        </w:tc>
        <w:tc>
          <w:tcPr>
            <w:tcW w:w="1102" w:type="pct"/>
            <w:vMerge w:val="continue"/>
            <w:noWrap w:val="0"/>
            <w:vAlign w:val="center"/>
          </w:tcPr>
          <w:p w14:paraId="3806B5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465AE4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5BE318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0BC465A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40CA15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总汞</w:t>
            </w:r>
          </w:p>
        </w:tc>
        <w:tc>
          <w:tcPr>
            <w:tcW w:w="915" w:type="pct"/>
            <w:noWrap w:val="0"/>
            <w:vAlign w:val="center"/>
          </w:tcPr>
          <w:p w14:paraId="77EAE6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0.00000035</w:t>
            </w:r>
            <w:r>
              <w:rPr>
                <w:rFonts w:hint="eastAsia" w:cs="Times New Roman"/>
                <w:sz w:val="21"/>
                <w:szCs w:val="21"/>
                <w:highlight w:val="none"/>
                <w:vertAlign w:val="baseline"/>
                <w:lang w:val="en-US" w:eastAsia="zh-CN"/>
              </w:rPr>
              <w:t>kg/d</w:t>
            </w:r>
          </w:p>
        </w:tc>
        <w:tc>
          <w:tcPr>
            <w:tcW w:w="969" w:type="pct"/>
            <w:noWrap w:val="0"/>
            <w:vAlign w:val="center"/>
          </w:tcPr>
          <w:p w14:paraId="4F7364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0.00000014</w:t>
            </w:r>
            <w:r>
              <w:rPr>
                <w:rFonts w:hint="eastAsia" w:cs="Times New Roman"/>
                <w:sz w:val="21"/>
                <w:szCs w:val="21"/>
                <w:highlight w:val="none"/>
                <w:vertAlign w:val="baseline"/>
                <w:lang w:val="en-US" w:eastAsia="zh-CN"/>
              </w:rPr>
              <w:t>kg/d</w:t>
            </w:r>
          </w:p>
        </w:tc>
        <w:tc>
          <w:tcPr>
            <w:tcW w:w="1102" w:type="pct"/>
            <w:vMerge w:val="continue"/>
            <w:noWrap w:val="0"/>
            <w:vAlign w:val="center"/>
          </w:tcPr>
          <w:p w14:paraId="40D115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23FF20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12D769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D7F54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420718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六价铬</w:t>
            </w:r>
          </w:p>
        </w:tc>
        <w:tc>
          <w:tcPr>
            <w:tcW w:w="915" w:type="pct"/>
            <w:noWrap w:val="0"/>
            <w:vAlign w:val="center"/>
          </w:tcPr>
          <w:p w14:paraId="689C33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eastAsia="宋体"/>
                <w:color w:val="auto"/>
                <w:sz w:val="21"/>
                <w:szCs w:val="21"/>
                <w:highlight w:val="none"/>
                <w:vertAlign w:val="baseline"/>
                <w:lang w:val="en-US" w:eastAsia="zh-CN"/>
              </w:rPr>
              <w:t>0.000069</w:t>
            </w:r>
            <w:r>
              <w:rPr>
                <w:rFonts w:hint="eastAsia" w:cs="Times New Roman"/>
                <w:sz w:val="21"/>
                <w:szCs w:val="21"/>
                <w:highlight w:val="none"/>
                <w:vertAlign w:val="baseline"/>
                <w:lang w:val="en-US" w:eastAsia="zh-CN"/>
              </w:rPr>
              <w:t>kg/d</w:t>
            </w:r>
          </w:p>
        </w:tc>
        <w:tc>
          <w:tcPr>
            <w:tcW w:w="969" w:type="pct"/>
            <w:noWrap w:val="0"/>
            <w:vAlign w:val="center"/>
          </w:tcPr>
          <w:p w14:paraId="1492B1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0.00002765</w:t>
            </w:r>
            <w:r>
              <w:rPr>
                <w:rFonts w:hint="eastAsia" w:cs="Times New Roman"/>
                <w:sz w:val="21"/>
                <w:szCs w:val="21"/>
                <w:highlight w:val="none"/>
                <w:vertAlign w:val="baseline"/>
                <w:lang w:val="en-US" w:eastAsia="zh-CN"/>
              </w:rPr>
              <w:t>kg/d</w:t>
            </w:r>
          </w:p>
        </w:tc>
        <w:tc>
          <w:tcPr>
            <w:tcW w:w="1102" w:type="pct"/>
            <w:vMerge w:val="continue"/>
            <w:noWrap w:val="0"/>
            <w:vAlign w:val="center"/>
          </w:tcPr>
          <w:p w14:paraId="2A8F055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29CE4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EEF40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5A62932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4BF9DF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氰化物</w:t>
            </w:r>
          </w:p>
        </w:tc>
        <w:tc>
          <w:tcPr>
            <w:tcW w:w="915" w:type="pct"/>
            <w:noWrap w:val="0"/>
            <w:vAlign w:val="center"/>
          </w:tcPr>
          <w:p w14:paraId="6B0EAB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eastAsia="宋体"/>
                <w:color w:val="auto"/>
                <w:sz w:val="21"/>
                <w:szCs w:val="21"/>
                <w:highlight w:val="none"/>
                <w:vertAlign w:val="baseline"/>
                <w:lang w:val="en-US" w:eastAsia="zh-CN"/>
              </w:rPr>
              <w:t>0.000069</w:t>
            </w:r>
            <w:r>
              <w:rPr>
                <w:rFonts w:hint="eastAsia" w:cs="Times New Roman"/>
                <w:sz w:val="21"/>
                <w:szCs w:val="21"/>
                <w:highlight w:val="none"/>
                <w:vertAlign w:val="baseline"/>
                <w:lang w:val="en-US" w:eastAsia="zh-CN"/>
              </w:rPr>
              <w:t>kg/d</w:t>
            </w:r>
          </w:p>
        </w:tc>
        <w:tc>
          <w:tcPr>
            <w:tcW w:w="969" w:type="pct"/>
            <w:noWrap w:val="0"/>
            <w:vAlign w:val="center"/>
          </w:tcPr>
          <w:p w14:paraId="1BC2C8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0.00002765</w:t>
            </w:r>
            <w:r>
              <w:rPr>
                <w:rFonts w:hint="eastAsia" w:cs="Times New Roman"/>
                <w:sz w:val="21"/>
                <w:szCs w:val="21"/>
                <w:highlight w:val="none"/>
                <w:vertAlign w:val="baseline"/>
                <w:lang w:val="en-US" w:eastAsia="zh-CN"/>
              </w:rPr>
              <w:t>kg/d</w:t>
            </w:r>
          </w:p>
        </w:tc>
        <w:tc>
          <w:tcPr>
            <w:tcW w:w="1102" w:type="pct"/>
            <w:vMerge w:val="continue"/>
            <w:noWrap w:val="0"/>
            <w:vAlign w:val="center"/>
          </w:tcPr>
          <w:p w14:paraId="5C04C2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r>
      <w:tr w14:paraId="457367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2B6476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restart"/>
            <w:noWrap w:val="0"/>
            <w:vAlign w:val="center"/>
          </w:tcPr>
          <w:p w14:paraId="280F76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生活污水</w:t>
            </w:r>
          </w:p>
          <w:p w14:paraId="40B212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（1.28m</w:t>
            </w:r>
            <w:r>
              <w:rPr>
                <w:rFonts w:hint="eastAsia"/>
                <w:sz w:val="21"/>
                <w:szCs w:val="21"/>
                <w:highlight w:val="none"/>
                <w:u w:val="none" w:color="auto"/>
                <w:vertAlign w:val="superscript"/>
                <w:lang w:val="en-US" w:eastAsia="zh-CN"/>
              </w:rPr>
              <w:t>3</w:t>
            </w:r>
            <w:r>
              <w:rPr>
                <w:rFonts w:hint="eastAsia"/>
                <w:sz w:val="21"/>
                <w:szCs w:val="21"/>
                <w:highlight w:val="none"/>
                <w:u w:val="none" w:color="auto"/>
                <w:vertAlign w:val="baseline"/>
                <w:lang w:val="en-US" w:eastAsia="zh-CN"/>
              </w:rPr>
              <w:t>/d</w:t>
            </w:r>
            <w:r>
              <w:rPr>
                <w:rFonts w:hint="eastAsia"/>
                <w:sz w:val="21"/>
                <w:szCs w:val="21"/>
                <w:highlight w:val="none"/>
                <w:u w:val="none" w:color="auto"/>
                <w:lang w:val="en-US" w:eastAsia="zh-CN"/>
              </w:rPr>
              <w:t>）</w:t>
            </w:r>
          </w:p>
        </w:tc>
        <w:tc>
          <w:tcPr>
            <w:tcW w:w="693" w:type="pct"/>
            <w:noWrap w:val="0"/>
            <w:vAlign w:val="center"/>
          </w:tcPr>
          <w:p w14:paraId="192700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r>
              <w:rPr>
                <w:rFonts w:hint="eastAsia"/>
                <w:sz w:val="21"/>
                <w:szCs w:val="21"/>
                <w:highlight w:val="none"/>
                <w:lang w:val="en-US" w:eastAsia="zh-CN"/>
              </w:rPr>
              <w:t>COD</w:t>
            </w:r>
            <w:r>
              <w:rPr>
                <w:rFonts w:hint="eastAsia"/>
                <w:sz w:val="21"/>
                <w:szCs w:val="21"/>
                <w:highlight w:val="none"/>
                <w:vertAlign w:val="subscript"/>
                <w:lang w:val="en-US" w:eastAsia="zh-CN"/>
              </w:rPr>
              <w:t>Cr</w:t>
            </w:r>
          </w:p>
        </w:tc>
        <w:tc>
          <w:tcPr>
            <w:tcW w:w="915" w:type="pct"/>
            <w:noWrap w:val="0"/>
            <w:vAlign w:val="center"/>
          </w:tcPr>
          <w:p w14:paraId="152773F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0.4096</w:t>
            </w:r>
            <w:r>
              <w:rPr>
                <w:rFonts w:hint="eastAsia" w:cs="Times New Roman"/>
                <w:sz w:val="21"/>
                <w:szCs w:val="21"/>
                <w:highlight w:val="none"/>
                <w:vertAlign w:val="baseline"/>
                <w:lang w:val="en-US" w:eastAsia="zh-CN"/>
              </w:rPr>
              <w:t>kg/d</w:t>
            </w:r>
          </w:p>
        </w:tc>
        <w:tc>
          <w:tcPr>
            <w:tcW w:w="969" w:type="pct"/>
            <w:noWrap w:val="0"/>
            <w:vAlign w:val="center"/>
          </w:tcPr>
          <w:p w14:paraId="61FE2BF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0.4096</w:t>
            </w:r>
            <w:r>
              <w:rPr>
                <w:rFonts w:hint="eastAsia" w:cs="Times New Roman"/>
                <w:sz w:val="21"/>
                <w:szCs w:val="21"/>
                <w:highlight w:val="none"/>
                <w:vertAlign w:val="baseline"/>
                <w:lang w:val="en-US" w:eastAsia="zh-CN"/>
              </w:rPr>
              <w:t>kg/d</w:t>
            </w:r>
          </w:p>
        </w:tc>
        <w:tc>
          <w:tcPr>
            <w:tcW w:w="1102" w:type="pct"/>
            <w:vMerge w:val="restart"/>
            <w:noWrap w:val="0"/>
            <w:vAlign w:val="center"/>
          </w:tcPr>
          <w:p w14:paraId="57F18C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依托化粪池处理后用于农肥，不外排</w:t>
            </w:r>
          </w:p>
        </w:tc>
      </w:tr>
      <w:tr w14:paraId="23DFCD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1ED81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68D4F1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025ECA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BOD</w:t>
            </w:r>
            <w:r>
              <w:rPr>
                <w:rFonts w:hint="eastAsia" w:ascii="Times New Roman" w:hAnsi="Times New Roman" w:eastAsia="宋体" w:cs="Times New Roman"/>
                <w:kern w:val="2"/>
                <w:sz w:val="21"/>
                <w:szCs w:val="21"/>
                <w:highlight w:val="none"/>
                <w:u w:val="none" w:color="auto"/>
                <w:vertAlign w:val="subscript"/>
                <w:lang w:val="en-US" w:eastAsia="zh-CN" w:bidi="ar-SA"/>
              </w:rPr>
              <w:t>5</w:t>
            </w:r>
          </w:p>
        </w:tc>
        <w:tc>
          <w:tcPr>
            <w:tcW w:w="915" w:type="pct"/>
            <w:noWrap w:val="0"/>
            <w:vAlign w:val="center"/>
          </w:tcPr>
          <w:p w14:paraId="0F73B0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0.2304</w:t>
            </w:r>
            <w:r>
              <w:rPr>
                <w:rFonts w:hint="eastAsia" w:cs="Times New Roman"/>
                <w:sz w:val="21"/>
                <w:szCs w:val="21"/>
                <w:highlight w:val="none"/>
                <w:vertAlign w:val="baseline"/>
                <w:lang w:val="en-US" w:eastAsia="zh-CN"/>
              </w:rPr>
              <w:t>kg/d</w:t>
            </w:r>
          </w:p>
        </w:tc>
        <w:tc>
          <w:tcPr>
            <w:tcW w:w="969" w:type="pct"/>
            <w:noWrap w:val="0"/>
            <w:vAlign w:val="center"/>
          </w:tcPr>
          <w:p w14:paraId="11333C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0.2304</w:t>
            </w:r>
            <w:r>
              <w:rPr>
                <w:rFonts w:hint="eastAsia" w:cs="Times New Roman"/>
                <w:sz w:val="21"/>
                <w:szCs w:val="21"/>
                <w:highlight w:val="none"/>
                <w:vertAlign w:val="baseline"/>
                <w:lang w:val="en-US" w:eastAsia="zh-CN"/>
              </w:rPr>
              <w:t>kg/d</w:t>
            </w:r>
          </w:p>
        </w:tc>
        <w:tc>
          <w:tcPr>
            <w:tcW w:w="1102" w:type="pct"/>
            <w:vMerge w:val="continue"/>
            <w:noWrap w:val="0"/>
            <w:vAlign w:val="center"/>
          </w:tcPr>
          <w:p w14:paraId="689D31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118AD7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2BEFA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74E5D7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76158C8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氨氮</w:t>
            </w:r>
          </w:p>
        </w:tc>
        <w:tc>
          <w:tcPr>
            <w:tcW w:w="915" w:type="pct"/>
            <w:noWrap w:val="0"/>
            <w:vAlign w:val="center"/>
          </w:tcPr>
          <w:p w14:paraId="6643EB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0.0384</w:t>
            </w:r>
            <w:r>
              <w:rPr>
                <w:rFonts w:hint="eastAsia" w:cs="Times New Roman"/>
                <w:sz w:val="21"/>
                <w:szCs w:val="21"/>
                <w:highlight w:val="none"/>
                <w:vertAlign w:val="baseline"/>
                <w:lang w:val="en-US" w:eastAsia="zh-CN"/>
              </w:rPr>
              <w:t>kg/d</w:t>
            </w:r>
          </w:p>
        </w:tc>
        <w:tc>
          <w:tcPr>
            <w:tcW w:w="969" w:type="pct"/>
            <w:noWrap w:val="0"/>
            <w:vAlign w:val="center"/>
          </w:tcPr>
          <w:p w14:paraId="60632E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0.0384</w:t>
            </w:r>
            <w:r>
              <w:rPr>
                <w:rFonts w:hint="eastAsia" w:cs="Times New Roman"/>
                <w:sz w:val="21"/>
                <w:szCs w:val="21"/>
                <w:highlight w:val="none"/>
                <w:vertAlign w:val="baseline"/>
                <w:lang w:val="en-US" w:eastAsia="zh-CN"/>
              </w:rPr>
              <w:t>kg/d</w:t>
            </w:r>
          </w:p>
        </w:tc>
        <w:tc>
          <w:tcPr>
            <w:tcW w:w="1102" w:type="pct"/>
            <w:vMerge w:val="continue"/>
            <w:noWrap w:val="0"/>
            <w:vAlign w:val="center"/>
          </w:tcPr>
          <w:p w14:paraId="765CFF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44123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D52D1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8D9035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7FA094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总磷</w:t>
            </w:r>
          </w:p>
        </w:tc>
        <w:tc>
          <w:tcPr>
            <w:tcW w:w="915" w:type="pct"/>
            <w:noWrap w:val="0"/>
            <w:vAlign w:val="center"/>
          </w:tcPr>
          <w:p w14:paraId="008E37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0.00512</w:t>
            </w:r>
            <w:r>
              <w:rPr>
                <w:rFonts w:hint="eastAsia" w:cs="Times New Roman"/>
                <w:sz w:val="21"/>
                <w:szCs w:val="21"/>
                <w:highlight w:val="none"/>
                <w:vertAlign w:val="baseline"/>
                <w:lang w:val="en-US" w:eastAsia="zh-CN"/>
              </w:rPr>
              <w:t>kg/d</w:t>
            </w:r>
          </w:p>
        </w:tc>
        <w:tc>
          <w:tcPr>
            <w:tcW w:w="969" w:type="pct"/>
            <w:noWrap w:val="0"/>
            <w:vAlign w:val="center"/>
          </w:tcPr>
          <w:p w14:paraId="6C3DF9E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0.00512</w:t>
            </w:r>
            <w:r>
              <w:rPr>
                <w:rFonts w:hint="eastAsia" w:cs="Times New Roman"/>
                <w:sz w:val="21"/>
                <w:szCs w:val="21"/>
                <w:highlight w:val="none"/>
                <w:vertAlign w:val="baseline"/>
                <w:lang w:val="en-US" w:eastAsia="zh-CN"/>
              </w:rPr>
              <w:t>kg/d</w:t>
            </w:r>
          </w:p>
        </w:tc>
        <w:tc>
          <w:tcPr>
            <w:tcW w:w="1102" w:type="pct"/>
            <w:vMerge w:val="continue"/>
            <w:noWrap w:val="0"/>
            <w:vAlign w:val="center"/>
          </w:tcPr>
          <w:p w14:paraId="39C76BF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60CB45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7E1DAA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454FDF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221D31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动植物油</w:t>
            </w:r>
          </w:p>
        </w:tc>
        <w:tc>
          <w:tcPr>
            <w:tcW w:w="915" w:type="pct"/>
            <w:noWrap w:val="0"/>
            <w:vAlign w:val="center"/>
          </w:tcPr>
          <w:p w14:paraId="7928CD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0.0256</w:t>
            </w:r>
            <w:r>
              <w:rPr>
                <w:rFonts w:hint="eastAsia" w:cs="Times New Roman"/>
                <w:sz w:val="21"/>
                <w:szCs w:val="21"/>
                <w:highlight w:val="none"/>
                <w:vertAlign w:val="baseline"/>
                <w:lang w:val="en-US" w:eastAsia="zh-CN"/>
              </w:rPr>
              <w:t>kg/d</w:t>
            </w:r>
          </w:p>
        </w:tc>
        <w:tc>
          <w:tcPr>
            <w:tcW w:w="969" w:type="pct"/>
            <w:noWrap w:val="0"/>
            <w:vAlign w:val="center"/>
          </w:tcPr>
          <w:p w14:paraId="47D50A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0.0256</w:t>
            </w:r>
            <w:r>
              <w:rPr>
                <w:rFonts w:hint="eastAsia" w:cs="Times New Roman"/>
                <w:sz w:val="21"/>
                <w:szCs w:val="21"/>
                <w:highlight w:val="none"/>
                <w:vertAlign w:val="baseline"/>
                <w:lang w:val="en-US" w:eastAsia="zh-CN"/>
              </w:rPr>
              <w:t>kg/d</w:t>
            </w:r>
          </w:p>
        </w:tc>
        <w:tc>
          <w:tcPr>
            <w:tcW w:w="1102" w:type="pct"/>
            <w:vMerge w:val="continue"/>
            <w:noWrap w:val="0"/>
            <w:vAlign w:val="center"/>
          </w:tcPr>
          <w:p w14:paraId="03F2DB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56DB52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restart"/>
            <w:noWrap w:val="0"/>
            <w:vAlign w:val="center"/>
          </w:tcPr>
          <w:p w14:paraId="1AE1D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封场期废水</w:t>
            </w:r>
          </w:p>
        </w:tc>
        <w:tc>
          <w:tcPr>
            <w:tcW w:w="814" w:type="pct"/>
            <w:vMerge w:val="restart"/>
            <w:noWrap w:val="0"/>
            <w:vAlign w:val="center"/>
          </w:tcPr>
          <w:p w14:paraId="3A627A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渗滤液</w:t>
            </w:r>
          </w:p>
          <w:p w14:paraId="6B8B96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（7.24m</w:t>
            </w:r>
            <w:r>
              <w:rPr>
                <w:rFonts w:hint="eastAsia"/>
                <w:sz w:val="21"/>
                <w:szCs w:val="21"/>
                <w:highlight w:val="none"/>
                <w:u w:val="none" w:color="auto"/>
                <w:vertAlign w:val="superscript"/>
                <w:lang w:val="en-US" w:eastAsia="zh-CN"/>
              </w:rPr>
              <w:t>3</w:t>
            </w:r>
            <w:r>
              <w:rPr>
                <w:rFonts w:hint="eastAsia"/>
                <w:sz w:val="21"/>
                <w:szCs w:val="21"/>
                <w:highlight w:val="none"/>
                <w:u w:val="none" w:color="auto"/>
                <w:vertAlign w:val="baseline"/>
                <w:lang w:val="en-US" w:eastAsia="zh-CN"/>
              </w:rPr>
              <w:t>/d</w:t>
            </w:r>
            <w:r>
              <w:rPr>
                <w:rFonts w:hint="eastAsia"/>
                <w:sz w:val="21"/>
                <w:szCs w:val="21"/>
                <w:highlight w:val="none"/>
                <w:u w:val="none" w:color="auto"/>
                <w:lang w:val="en-US" w:eastAsia="zh-CN"/>
              </w:rPr>
              <w:t>）</w:t>
            </w:r>
          </w:p>
        </w:tc>
        <w:tc>
          <w:tcPr>
            <w:tcW w:w="693" w:type="pct"/>
            <w:noWrap w:val="0"/>
            <w:vAlign w:val="center"/>
          </w:tcPr>
          <w:p w14:paraId="620A08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总铬</w:t>
            </w:r>
          </w:p>
        </w:tc>
        <w:tc>
          <w:tcPr>
            <w:tcW w:w="915" w:type="pct"/>
            <w:noWrap w:val="0"/>
            <w:vAlign w:val="center"/>
          </w:tcPr>
          <w:p w14:paraId="217F9C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0.000144</w:t>
            </w:r>
            <w:r>
              <w:rPr>
                <w:rFonts w:hint="eastAsia" w:ascii="Times New Roman" w:hAnsi="Times New Roman" w:cs="Times New Roman"/>
                <w:color w:val="000000"/>
                <w:sz w:val="21"/>
                <w:szCs w:val="21"/>
                <w:lang w:val="en-US" w:eastAsia="zh-CN"/>
              </w:rPr>
              <w:t>8</w:t>
            </w:r>
            <w:r>
              <w:rPr>
                <w:rFonts w:hint="eastAsia" w:cs="Times New Roman"/>
                <w:sz w:val="21"/>
                <w:szCs w:val="21"/>
                <w:highlight w:val="none"/>
                <w:vertAlign w:val="baseline"/>
                <w:lang w:val="en-US" w:eastAsia="zh-CN"/>
              </w:rPr>
              <w:t>kg/d</w:t>
            </w:r>
          </w:p>
        </w:tc>
        <w:tc>
          <w:tcPr>
            <w:tcW w:w="969" w:type="pct"/>
            <w:noWrap w:val="0"/>
            <w:vAlign w:val="center"/>
          </w:tcPr>
          <w:p w14:paraId="48D74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w:t>
            </w:r>
            <w:r>
              <w:rPr>
                <w:rFonts w:hint="eastAsia" w:ascii="Times New Roman" w:hAnsi="Times New Roman" w:cs="Times New Roman"/>
                <w:color w:val="000000"/>
                <w:sz w:val="21"/>
                <w:szCs w:val="21"/>
                <w:lang w:val="en-US" w:eastAsia="zh-CN"/>
              </w:rPr>
              <w:t>58</w:t>
            </w:r>
            <w:r>
              <w:rPr>
                <w:rFonts w:hint="eastAsia" w:cs="Times New Roman"/>
                <w:sz w:val="21"/>
                <w:szCs w:val="21"/>
                <w:highlight w:val="none"/>
                <w:vertAlign w:val="baseline"/>
                <w:lang w:val="en-US" w:eastAsia="zh-CN"/>
              </w:rPr>
              <w:t>kg/d</w:t>
            </w:r>
          </w:p>
        </w:tc>
        <w:tc>
          <w:tcPr>
            <w:tcW w:w="1102" w:type="pct"/>
            <w:vMerge w:val="restart"/>
            <w:noWrap w:val="0"/>
            <w:vAlign w:val="center"/>
          </w:tcPr>
          <w:p w14:paraId="14E3E4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经一体化污水处理装置处理后由槽罐车托运至湖南黄金天岳矿业有限公司垂拱洞尾矿库废水处理站进行处理</w:t>
            </w:r>
          </w:p>
        </w:tc>
      </w:tr>
      <w:tr w14:paraId="572E6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4C5DD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4886DD1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68275A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总镍</w:t>
            </w:r>
          </w:p>
        </w:tc>
        <w:tc>
          <w:tcPr>
            <w:tcW w:w="915" w:type="pct"/>
            <w:noWrap w:val="0"/>
            <w:vAlign w:val="center"/>
          </w:tcPr>
          <w:p w14:paraId="63FDCB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0.000144</w:t>
            </w:r>
            <w:r>
              <w:rPr>
                <w:rFonts w:hint="eastAsia" w:ascii="Times New Roman" w:hAnsi="Times New Roman" w:cs="Times New Roman"/>
                <w:color w:val="000000"/>
                <w:sz w:val="21"/>
                <w:szCs w:val="21"/>
                <w:lang w:val="en-US" w:eastAsia="zh-CN"/>
              </w:rPr>
              <w:t>8</w:t>
            </w:r>
            <w:r>
              <w:rPr>
                <w:rFonts w:hint="eastAsia" w:cs="Times New Roman"/>
                <w:sz w:val="21"/>
                <w:szCs w:val="21"/>
                <w:highlight w:val="none"/>
                <w:vertAlign w:val="baseline"/>
                <w:lang w:val="en-US" w:eastAsia="zh-CN"/>
              </w:rPr>
              <w:t>kg/d</w:t>
            </w:r>
          </w:p>
        </w:tc>
        <w:tc>
          <w:tcPr>
            <w:tcW w:w="969" w:type="pct"/>
            <w:noWrap w:val="0"/>
            <w:vAlign w:val="center"/>
          </w:tcPr>
          <w:p w14:paraId="6AC86A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0.000058</w:t>
            </w:r>
            <w:r>
              <w:rPr>
                <w:rFonts w:hint="eastAsia" w:cs="Times New Roman"/>
                <w:sz w:val="21"/>
                <w:szCs w:val="21"/>
                <w:highlight w:val="none"/>
                <w:vertAlign w:val="baseline"/>
                <w:lang w:val="en-US" w:eastAsia="zh-CN"/>
              </w:rPr>
              <w:t>kg/d</w:t>
            </w:r>
          </w:p>
        </w:tc>
        <w:tc>
          <w:tcPr>
            <w:tcW w:w="1102" w:type="pct"/>
            <w:vMerge w:val="continue"/>
            <w:noWrap w:val="0"/>
            <w:vAlign w:val="center"/>
          </w:tcPr>
          <w:p w14:paraId="2A2079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06321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4EB30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5DC26F0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2EC4A3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总铜</w:t>
            </w:r>
          </w:p>
        </w:tc>
        <w:tc>
          <w:tcPr>
            <w:tcW w:w="915" w:type="pct"/>
            <w:noWrap w:val="0"/>
            <w:vAlign w:val="center"/>
          </w:tcPr>
          <w:p w14:paraId="3B8FF6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0.00065</w:t>
            </w:r>
            <w:r>
              <w:rPr>
                <w:rFonts w:hint="eastAsia" w:ascii="Times New Roman" w:hAnsi="Times New Roman" w:cs="Times New Roman"/>
                <w:color w:val="000000"/>
                <w:sz w:val="21"/>
                <w:szCs w:val="21"/>
                <w:lang w:val="en-US" w:eastAsia="zh-CN"/>
              </w:rPr>
              <w:t>16</w:t>
            </w:r>
            <w:r>
              <w:rPr>
                <w:rFonts w:hint="eastAsia" w:cs="Times New Roman"/>
                <w:sz w:val="21"/>
                <w:szCs w:val="21"/>
                <w:highlight w:val="none"/>
                <w:vertAlign w:val="baseline"/>
                <w:lang w:val="en-US" w:eastAsia="zh-CN"/>
              </w:rPr>
              <w:t>kg/d</w:t>
            </w:r>
          </w:p>
        </w:tc>
        <w:tc>
          <w:tcPr>
            <w:tcW w:w="969" w:type="pct"/>
            <w:noWrap w:val="0"/>
            <w:vAlign w:val="center"/>
          </w:tcPr>
          <w:p w14:paraId="0C9D01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0.00026</w:t>
            </w:r>
            <w:r>
              <w:rPr>
                <w:rFonts w:hint="eastAsia" w:ascii="Times New Roman" w:hAnsi="Times New Roman" w:cs="Times New Roman"/>
                <w:color w:val="000000"/>
                <w:sz w:val="21"/>
                <w:szCs w:val="21"/>
                <w:lang w:val="en-US" w:eastAsia="zh-CN"/>
              </w:rPr>
              <w:t>06</w:t>
            </w:r>
            <w:r>
              <w:rPr>
                <w:rFonts w:hint="eastAsia" w:cs="Times New Roman"/>
                <w:sz w:val="21"/>
                <w:szCs w:val="21"/>
                <w:highlight w:val="none"/>
                <w:vertAlign w:val="baseline"/>
                <w:lang w:val="en-US" w:eastAsia="zh-CN"/>
              </w:rPr>
              <w:t>kg/d</w:t>
            </w:r>
          </w:p>
        </w:tc>
        <w:tc>
          <w:tcPr>
            <w:tcW w:w="1102" w:type="pct"/>
            <w:vMerge w:val="continue"/>
            <w:noWrap w:val="0"/>
            <w:vAlign w:val="center"/>
          </w:tcPr>
          <w:p w14:paraId="126C5E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3619C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EC81B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698276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2099E8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总锌</w:t>
            </w:r>
          </w:p>
        </w:tc>
        <w:tc>
          <w:tcPr>
            <w:tcW w:w="915" w:type="pct"/>
            <w:noWrap w:val="0"/>
            <w:vAlign w:val="center"/>
          </w:tcPr>
          <w:p w14:paraId="372F8E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0.002</w:t>
            </w:r>
            <w:r>
              <w:rPr>
                <w:rFonts w:hint="eastAsia" w:ascii="Times New Roman" w:hAnsi="Times New Roman" w:cs="Times New Roman"/>
                <w:color w:val="000000"/>
                <w:sz w:val="21"/>
                <w:szCs w:val="21"/>
                <w:lang w:val="en-US" w:eastAsia="zh-CN"/>
              </w:rPr>
              <w:t>4616</w:t>
            </w:r>
            <w:r>
              <w:rPr>
                <w:rFonts w:hint="eastAsia" w:cs="Times New Roman"/>
                <w:sz w:val="21"/>
                <w:szCs w:val="21"/>
                <w:highlight w:val="none"/>
                <w:vertAlign w:val="baseline"/>
                <w:lang w:val="en-US" w:eastAsia="zh-CN"/>
              </w:rPr>
              <w:t>kg/d</w:t>
            </w:r>
          </w:p>
        </w:tc>
        <w:tc>
          <w:tcPr>
            <w:tcW w:w="969" w:type="pct"/>
            <w:noWrap w:val="0"/>
            <w:vAlign w:val="center"/>
          </w:tcPr>
          <w:p w14:paraId="33E111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0.0009</w:t>
            </w:r>
            <w:r>
              <w:rPr>
                <w:rFonts w:hint="eastAsia" w:ascii="Times New Roman" w:hAnsi="Times New Roman" w:cs="Times New Roman"/>
                <w:color w:val="000000"/>
                <w:sz w:val="21"/>
                <w:szCs w:val="21"/>
                <w:lang w:val="en-US" w:eastAsia="zh-CN"/>
              </w:rPr>
              <w:t>846</w:t>
            </w:r>
            <w:r>
              <w:rPr>
                <w:rFonts w:hint="eastAsia" w:cs="Times New Roman"/>
                <w:sz w:val="21"/>
                <w:szCs w:val="21"/>
                <w:highlight w:val="none"/>
                <w:vertAlign w:val="baseline"/>
                <w:lang w:val="en-US" w:eastAsia="zh-CN"/>
              </w:rPr>
              <w:t>kg/d</w:t>
            </w:r>
          </w:p>
        </w:tc>
        <w:tc>
          <w:tcPr>
            <w:tcW w:w="1102" w:type="pct"/>
            <w:vMerge w:val="continue"/>
            <w:noWrap w:val="0"/>
            <w:vAlign w:val="center"/>
          </w:tcPr>
          <w:p w14:paraId="1191E5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056497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FA834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7002463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6BEDEA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总砷</w:t>
            </w:r>
          </w:p>
        </w:tc>
        <w:tc>
          <w:tcPr>
            <w:tcW w:w="915" w:type="pct"/>
            <w:noWrap w:val="0"/>
            <w:vAlign w:val="center"/>
          </w:tcPr>
          <w:p w14:paraId="3059DD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0.013</w:t>
            </w:r>
            <w:r>
              <w:rPr>
                <w:rFonts w:hint="eastAsia" w:ascii="Times New Roman" w:hAnsi="Times New Roman" w:cs="Times New Roman"/>
                <w:color w:val="000000"/>
                <w:sz w:val="21"/>
                <w:szCs w:val="21"/>
                <w:lang w:val="en-US" w:eastAsia="zh-CN"/>
              </w:rPr>
              <w:t>3216</w:t>
            </w:r>
            <w:r>
              <w:rPr>
                <w:rFonts w:hint="eastAsia" w:cs="Times New Roman"/>
                <w:sz w:val="21"/>
                <w:szCs w:val="21"/>
                <w:highlight w:val="none"/>
                <w:vertAlign w:val="baseline"/>
                <w:lang w:val="en-US" w:eastAsia="zh-CN"/>
              </w:rPr>
              <w:t>kg/d</w:t>
            </w:r>
          </w:p>
        </w:tc>
        <w:tc>
          <w:tcPr>
            <w:tcW w:w="969" w:type="pct"/>
            <w:noWrap w:val="0"/>
            <w:vAlign w:val="center"/>
          </w:tcPr>
          <w:p w14:paraId="3835B7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0.0053</w:t>
            </w:r>
            <w:r>
              <w:rPr>
                <w:rFonts w:hint="eastAsia" w:ascii="Times New Roman" w:hAnsi="Times New Roman" w:cs="Times New Roman"/>
                <w:color w:val="000000"/>
                <w:sz w:val="21"/>
                <w:szCs w:val="21"/>
                <w:lang w:val="en-US" w:eastAsia="zh-CN"/>
              </w:rPr>
              <w:t>29</w:t>
            </w:r>
            <w:r>
              <w:rPr>
                <w:rFonts w:hint="eastAsia" w:cs="Times New Roman"/>
                <w:sz w:val="21"/>
                <w:szCs w:val="21"/>
                <w:highlight w:val="none"/>
                <w:vertAlign w:val="baseline"/>
                <w:lang w:val="en-US" w:eastAsia="zh-CN"/>
              </w:rPr>
              <w:t>kg/d</w:t>
            </w:r>
          </w:p>
        </w:tc>
        <w:tc>
          <w:tcPr>
            <w:tcW w:w="1102" w:type="pct"/>
            <w:vMerge w:val="continue"/>
            <w:noWrap w:val="0"/>
            <w:vAlign w:val="center"/>
          </w:tcPr>
          <w:p w14:paraId="2CAA58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0DD213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371E23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2C97C31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5CEAD3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总镉</w:t>
            </w:r>
          </w:p>
        </w:tc>
        <w:tc>
          <w:tcPr>
            <w:tcW w:w="915" w:type="pct"/>
            <w:noWrap w:val="0"/>
            <w:vAlign w:val="center"/>
          </w:tcPr>
          <w:p w14:paraId="4D3FF4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0.00000867</w:t>
            </w:r>
            <w:r>
              <w:rPr>
                <w:rFonts w:hint="eastAsia" w:cs="Times New Roman"/>
                <w:sz w:val="21"/>
                <w:szCs w:val="21"/>
                <w:highlight w:val="none"/>
                <w:vertAlign w:val="baseline"/>
                <w:lang w:val="en-US" w:eastAsia="zh-CN"/>
              </w:rPr>
              <w:t>kg/d</w:t>
            </w:r>
          </w:p>
        </w:tc>
        <w:tc>
          <w:tcPr>
            <w:tcW w:w="969" w:type="pct"/>
            <w:noWrap w:val="0"/>
            <w:vAlign w:val="center"/>
          </w:tcPr>
          <w:p w14:paraId="5B129F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0.00000347</w:t>
            </w:r>
            <w:r>
              <w:rPr>
                <w:rFonts w:hint="eastAsia" w:cs="Times New Roman"/>
                <w:sz w:val="21"/>
                <w:szCs w:val="21"/>
                <w:highlight w:val="none"/>
                <w:vertAlign w:val="baseline"/>
                <w:lang w:val="en-US" w:eastAsia="zh-CN"/>
              </w:rPr>
              <w:t>kg/d</w:t>
            </w:r>
          </w:p>
        </w:tc>
        <w:tc>
          <w:tcPr>
            <w:tcW w:w="1102" w:type="pct"/>
            <w:vMerge w:val="continue"/>
            <w:noWrap w:val="0"/>
            <w:vAlign w:val="center"/>
          </w:tcPr>
          <w:p w14:paraId="5ED278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3E244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C831B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000D18B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61E6E4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总铅</w:t>
            </w:r>
          </w:p>
        </w:tc>
        <w:tc>
          <w:tcPr>
            <w:tcW w:w="915" w:type="pct"/>
            <w:noWrap w:val="0"/>
            <w:vAlign w:val="center"/>
          </w:tcPr>
          <w:p w14:paraId="3E2F9B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0.000030</w:t>
            </w:r>
            <w:r>
              <w:rPr>
                <w:rFonts w:hint="eastAsia" w:ascii="Times New Roman" w:hAnsi="Times New Roman" w:cs="Times New Roman"/>
                <w:color w:val="000000"/>
                <w:sz w:val="21"/>
                <w:szCs w:val="21"/>
                <w:lang w:val="en-US" w:eastAsia="zh-CN"/>
              </w:rPr>
              <w:t>4</w:t>
            </w:r>
            <w:r>
              <w:rPr>
                <w:rFonts w:hint="eastAsia" w:cs="Times New Roman"/>
                <w:sz w:val="21"/>
                <w:szCs w:val="21"/>
                <w:highlight w:val="none"/>
                <w:vertAlign w:val="baseline"/>
                <w:lang w:val="en-US" w:eastAsia="zh-CN"/>
              </w:rPr>
              <w:t>kg/d</w:t>
            </w:r>
          </w:p>
        </w:tc>
        <w:tc>
          <w:tcPr>
            <w:tcW w:w="969" w:type="pct"/>
            <w:noWrap w:val="0"/>
            <w:vAlign w:val="center"/>
          </w:tcPr>
          <w:p w14:paraId="3FEE28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0.0000121</w:t>
            </w:r>
            <w:r>
              <w:rPr>
                <w:rFonts w:hint="eastAsia" w:ascii="Times New Roman" w:hAnsi="Times New Roman" w:cs="Times New Roman"/>
                <w:color w:val="000000"/>
                <w:sz w:val="21"/>
                <w:szCs w:val="21"/>
                <w:lang w:val="en-US" w:eastAsia="zh-CN"/>
              </w:rPr>
              <w:t>6</w:t>
            </w:r>
            <w:r>
              <w:rPr>
                <w:rFonts w:hint="eastAsia" w:cs="Times New Roman"/>
                <w:sz w:val="21"/>
                <w:szCs w:val="21"/>
                <w:highlight w:val="none"/>
                <w:vertAlign w:val="baseline"/>
                <w:lang w:val="en-US" w:eastAsia="zh-CN"/>
              </w:rPr>
              <w:t>kg/d</w:t>
            </w:r>
          </w:p>
        </w:tc>
        <w:tc>
          <w:tcPr>
            <w:tcW w:w="1102" w:type="pct"/>
            <w:vMerge w:val="continue"/>
            <w:noWrap w:val="0"/>
            <w:vAlign w:val="center"/>
          </w:tcPr>
          <w:p w14:paraId="32101D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220B7D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7451EA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7BF2C15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79A229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总汞</w:t>
            </w:r>
          </w:p>
        </w:tc>
        <w:tc>
          <w:tcPr>
            <w:tcW w:w="915" w:type="pct"/>
            <w:noWrap w:val="0"/>
            <w:vAlign w:val="center"/>
          </w:tcPr>
          <w:p w14:paraId="25C702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0.00000014</w:t>
            </w:r>
            <w:r>
              <w:rPr>
                <w:rFonts w:hint="eastAsia" w:cs="Times New Roman"/>
                <w:sz w:val="21"/>
                <w:szCs w:val="21"/>
                <w:highlight w:val="none"/>
                <w:vertAlign w:val="baseline"/>
                <w:lang w:val="en-US" w:eastAsia="zh-CN"/>
              </w:rPr>
              <w:t>kg/d</w:t>
            </w:r>
          </w:p>
        </w:tc>
        <w:tc>
          <w:tcPr>
            <w:tcW w:w="969" w:type="pct"/>
            <w:noWrap w:val="0"/>
            <w:vAlign w:val="center"/>
          </w:tcPr>
          <w:p w14:paraId="20AEDC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0.00000006</w:t>
            </w:r>
            <w:r>
              <w:rPr>
                <w:rFonts w:hint="eastAsia" w:cs="Times New Roman"/>
                <w:sz w:val="21"/>
                <w:szCs w:val="21"/>
                <w:highlight w:val="none"/>
                <w:vertAlign w:val="baseline"/>
                <w:lang w:val="en-US" w:eastAsia="zh-CN"/>
              </w:rPr>
              <w:t>kg/d</w:t>
            </w:r>
          </w:p>
        </w:tc>
        <w:tc>
          <w:tcPr>
            <w:tcW w:w="1102" w:type="pct"/>
            <w:vMerge w:val="continue"/>
            <w:noWrap w:val="0"/>
            <w:vAlign w:val="center"/>
          </w:tcPr>
          <w:p w14:paraId="7ACE02C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7984C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E9D0A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59306A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21EE3A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六价铬</w:t>
            </w:r>
          </w:p>
        </w:tc>
        <w:tc>
          <w:tcPr>
            <w:tcW w:w="915" w:type="pct"/>
            <w:noWrap w:val="0"/>
            <w:vAlign w:val="center"/>
          </w:tcPr>
          <w:p w14:paraId="52298F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0.00002</w:t>
            </w:r>
            <w:r>
              <w:rPr>
                <w:rFonts w:hint="eastAsia" w:ascii="Times New Roman" w:hAnsi="Times New Roman" w:cs="Times New Roman"/>
                <w:color w:val="000000"/>
                <w:sz w:val="21"/>
                <w:szCs w:val="21"/>
                <w:lang w:val="en-US" w:eastAsia="zh-CN"/>
              </w:rPr>
              <w:t>9</w:t>
            </w:r>
            <w:r>
              <w:rPr>
                <w:rFonts w:hint="eastAsia" w:cs="Times New Roman"/>
                <w:sz w:val="21"/>
                <w:szCs w:val="21"/>
                <w:highlight w:val="none"/>
                <w:vertAlign w:val="baseline"/>
                <w:lang w:val="en-US" w:eastAsia="zh-CN"/>
              </w:rPr>
              <w:t>kg/d</w:t>
            </w:r>
          </w:p>
        </w:tc>
        <w:tc>
          <w:tcPr>
            <w:tcW w:w="969" w:type="pct"/>
            <w:noWrap w:val="0"/>
            <w:vAlign w:val="center"/>
          </w:tcPr>
          <w:p w14:paraId="1ED6E3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0.000011</w:t>
            </w:r>
            <w:r>
              <w:rPr>
                <w:rFonts w:hint="eastAsia" w:ascii="Times New Roman" w:hAnsi="Times New Roman" w:cs="Times New Roman"/>
                <w:color w:val="000000"/>
                <w:sz w:val="21"/>
                <w:szCs w:val="21"/>
                <w:lang w:val="en-US" w:eastAsia="zh-CN"/>
              </w:rPr>
              <w:t>6</w:t>
            </w:r>
            <w:r>
              <w:rPr>
                <w:rFonts w:hint="eastAsia" w:cs="Times New Roman"/>
                <w:sz w:val="21"/>
                <w:szCs w:val="21"/>
                <w:highlight w:val="none"/>
                <w:vertAlign w:val="baseline"/>
                <w:lang w:val="en-US" w:eastAsia="zh-CN"/>
              </w:rPr>
              <w:t>kg/d</w:t>
            </w:r>
          </w:p>
        </w:tc>
        <w:tc>
          <w:tcPr>
            <w:tcW w:w="1102" w:type="pct"/>
            <w:vMerge w:val="continue"/>
            <w:noWrap w:val="0"/>
            <w:vAlign w:val="center"/>
          </w:tcPr>
          <w:p w14:paraId="32B83A5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777B3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E61F5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yellow"/>
                <w:u w:val="none" w:color="auto"/>
                <w:lang w:val="en-US" w:eastAsia="zh-CN"/>
              </w:rPr>
            </w:pPr>
          </w:p>
        </w:tc>
        <w:tc>
          <w:tcPr>
            <w:tcW w:w="814" w:type="pct"/>
            <w:vMerge w:val="continue"/>
            <w:noWrap w:val="0"/>
            <w:vAlign w:val="center"/>
          </w:tcPr>
          <w:p w14:paraId="0F03F8B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yellow"/>
                <w:u w:val="none" w:color="auto"/>
                <w:lang w:val="en-US" w:eastAsia="zh-CN"/>
              </w:rPr>
            </w:pPr>
          </w:p>
        </w:tc>
        <w:tc>
          <w:tcPr>
            <w:tcW w:w="693" w:type="pct"/>
            <w:noWrap w:val="0"/>
            <w:vAlign w:val="center"/>
          </w:tcPr>
          <w:p w14:paraId="6C3839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氰化物</w:t>
            </w:r>
          </w:p>
        </w:tc>
        <w:tc>
          <w:tcPr>
            <w:tcW w:w="915" w:type="pct"/>
            <w:noWrap w:val="0"/>
            <w:vAlign w:val="center"/>
          </w:tcPr>
          <w:p w14:paraId="69F632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0.00002</w:t>
            </w:r>
            <w:r>
              <w:rPr>
                <w:rFonts w:hint="eastAsia" w:ascii="Times New Roman" w:hAnsi="Times New Roman" w:cs="Times New Roman"/>
                <w:color w:val="000000"/>
                <w:sz w:val="21"/>
                <w:szCs w:val="21"/>
                <w:lang w:val="en-US" w:eastAsia="zh-CN"/>
              </w:rPr>
              <w:t>9</w:t>
            </w:r>
            <w:r>
              <w:rPr>
                <w:rFonts w:hint="eastAsia" w:cs="Times New Roman"/>
                <w:sz w:val="21"/>
                <w:szCs w:val="21"/>
                <w:highlight w:val="none"/>
                <w:vertAlign w:val="baseline"/>
                <w:lang w:val="en-US" w:eastAsia="zh-CN"/>
              </w:rPr>
              <w:t>kg/d</w:t>
            </w:r>
          </w:p>
        </w:tc>
        <w:tc>
          <w:tcPr>
            <w:tcW w:w="969" w:type="pct"/>
            <w:noWrap w:val="0"/>
            <w:vAlign w:val="center"/>
          </w:tcPr>
          <w:p w14:paraId="238301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0.0000116</w:t>
            </w:r>
            <w:r>
              <w:rPr>
                <w:rFonts w:hint="eastAsia" w:cs="Times New Roman"/>
                <w:sz w:val="21"/>
                <w:szCs w:val="21"/>
                <w:highlight w:val="none"/>
                <w:vertAlign w:val="baseline"/>
                <w:lang w:val="en-US" w:eastAsia="zh-CN"/>
              </w:rPr>
              <w:t>kg/d</w:t>
            </w:r>
          </w:p>
        </w:tc>
        <w:tc>
          <w:tcPr>
            <w:tcW w:w="1102" w:type="pct"/>
            <w:vMerge w:val="continue"/>
            <w:noWrap w:val="0"/>
            <w:vAlign w:val="center"/>
          </w:tcPr>
          <w:p w14:paraId="38204C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yellow"/>
                <w:u w:val="none" w:color="auto"/>
                <w:lang w:val="en-US" w:eastAsia="zh-CN" w:bidi="ar-SA"/>
              </w:rPr>
            </w:pPr>
          </w:p>
        </w:tc>
      </w:tr>
      <w:tr w14:paraId="7810A3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restart"/>
            <w:noWrap w:val="0"/>
            <w:vAlign w:val="center"/>
          </w:tcPr>
          <w:p w14:paraId="4C7780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施工期固废</w:t>
            </w:r>
          </w:p>
        </w:tc>
        <w:tc>
          <w:tcPr>
            <w:tcW w:w="814" w:type="pct"/>
            <w:vMerge w:val="restart"/>
            <w:noWrap w:val="0"/>
            <w:vAlign w:val="center"/>
          </w:tcPr>
          <w:p w14:paraId="49A5F69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一般固废</w:t>
            </w:r>
          </w:p>
        </w:tc>
        <w:tc>
          <w:tcPr>
            <w:tcW w:w="693" w:type="pct"/>
            <w:noWrap w:val="0"/>
            <w:vAlign w:val="center"/>
          </w:tcPr>
          <w:p w14:paraId="1B1510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废渣区废渣</w:t>
            </w:r>
          </w:p>
        </w:tc>
        <w:tc>
          <w:tcPr>
            <w:tcW w:w="915" w:type="pct"/>
            <w:noWrap w:val="0"/>
            <w:vAlign w:val="center"/>
          </w:tcPr>
          <w:p w14:paraId="772EC98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55999.73m</w:t>
            </w:r>
            <w:r>
              <w:rPr>
                <w:rFonts w:hint="eastAsia" w:cs="Times New Roman"/>
                <w:kern w:val="2"/>
                <w:sz w:val="21"/>
                <w:szCs w:val="21"/>
                <w:highlight w:val="none"/>
                <w:u w:val="none" w:color="auto"/>
                <w:vertAlign w:val="superscript"/>
                <w:lang w:val="en-US" w:eastAsia="zh-CN" w:bidi="ar-SA"/>
              </w:rPr>
              <w:t>3</w:t>
            </w:r>
          </w:p>
        </w:tc>
        <w:tc>
          <w:tcPr>
            <w:tcW w:w="969" w:type="pct"/>
            <w:noWrap w:val="0"/>
            <w:vAlign w:val="center"/>
          </w:tcPr>
          <w:p w14:paraId="471E04E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55999.73m</w:t>
            </w:r>
            <w:r>
              <w:rPr>
                <w:rFonts w:hint="eastAsia" w:cs="Times New Roman"/>
                <w:kern w:val="2"/>
                <w:sz w:val="21"/>
                <w:szCs w:val="21"/>
                <w:highlight w:val="none"/>
                <w:u w:val="none" w:color="auto"/>
                <w:vertAlign w:val="superscript"/>
                <w:lang w:val="en-US" w:eastAsia="zh-CN" w:bidi="ar-SA"/>
              </w:rPr>
              <w:t>3</w:t>
            </w:r>
          </w:p>
        </w:tc>
        <w:tc>
          <w:tcPr>
            <w:tcW w:w="1102" w:type="pct"/>
            <w:vMerge w:val="restart"/>
            <w:noWrap w:val="0"/>
            <w:vAlign w:val="center"/>
          </w:tcPr>
          <w:p w14:paraId="39B523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default" w:ascii="Times New Roman" w:hAnsi="Times New Roman" w:eastAsia="宋体" w:cs="Times New Roman"/>
                <w:kern w:val="2"/>
                <w:sz w:val="21"/>
                <w:szCs w:val="21"/>
                <w:highlight w:val="none"/>
                <w:u w:val="none" w:color="auto"/>
                <w:lang w:val="en-US" w:eastAsia="zh-CN" w:bidi="ar-SA"/>
              </w:rPr>
              <w:t>填埋场进行集中安全填埋处置</w:t>
            </w:r>
          </w:p>
        </w:tc>
      </w:tr>
      <w:tr w14:paraId="558B90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6784AE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vMerge w:val="continue"/>
            <w:noWrap w:val="0"/>
            <w:vAlign w:val="center"/>
          </w:tcPr>
          <w:p w14:paraId="24239BF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p>
        </w:tc>
        <w:tc>
          <w:tcPr>
            <w:tcW w:w="693" w:type="pct"/>
            <w:noWrap w:val="0"/>
            <w:vAlign w:val="center"/>
          </w:tcPr>
          <w:p w14:paraId="44B9C1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沉淀池污泥</w:t>
            </w:r>
          </w:p>
        </w:tc>
        <w:tc>
          <w:tcPr>
            <w:tcW w:w="915" w:type="pct"/>
            <w:noWrap w:val="0"/>
            <w:vAlign w:val="center"/>
          </w:tcPr>
          <w:p w14:paraId="1876E1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4t</w:t>
            </w:r>
          </w:p>
        </w:tc>
        <w:tc>
          <w:tcPr>
            <w:tcW w:w="969" w:type="pct"/>
            <w:noWrap w:val="0"/>
            <w:vAlign w:val="center"/>
          </w:tcPr>
          <w:p w14:paraId="7D2505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4t</w:t>
            </w:r>
          </w:p>
        </w:tc>
        <w:tc>
          <w:tcPr>
            <w:tcW w:w="1102" w:type="pct"/>
            <w:vMerge w:val="continue"/>
            <w:noWrap w:val="0"/>
            <w:vAlign w:val="center"/>
          </w:tcPr>
          <w:p w14:paraId="1D3889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p>
        </w:tc>
      </w:tr>
      <w:tr w14:paraId="299D2D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0D27DB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vMerge w:val="continue"/>
            <w:noWrap w:val="0"/>
            <w:vAlign w:val="center"/>
          </w:tcPr>
          <w:p w14:paraId="6A3ED4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c>
          <w:tcPr>
            <w:tcW w:w="693" w:type="pct"/>
            <w:noWrap w:val="0"/>
            <w:vAlign w:val="center"/>
          </w:tcPr>
          <w:p w14:paraId="72E049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default" w:ascii="Times New Roman" w:hAnsi="Times New Roman" w:eastAsia="宋体" w:cs="Times New Roman"/>
                <w:kern w:val="2"/>
                <w:sz w:val="21"/>
                <w:szCs w:val="21"/>
                <w:highlight w:val="none"/>
                <w:u w:val="none" w:color="auto"/>
                <w:lang w:val="en-US" w:eastAsia="zh-CN" w:bidi="ar-SA"/>
              </w:rPr>
              <w:t>废防渗材料</w:t>
            </w:r>
          </w:p>
        </w:tc>
        <w:tc>
          <w:tcPr>
            <w:tcW w:w="915" w:type="pct"/>
            <w:noWrap w:val="0"/>
            <w:vAlign w:val="center"/>
          </w:tcPr>
          <w:p w14:paraId="177A65C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0.42t</w:t>
            </w:r>
          </w:p>
        </w:tc>
        <w:tc>
          <w:tcPr>
            <w:tcW w:w="969" w:type="pct"/>
            <w:noWrap w:val="0"/>
            <w:vAlign w:val="center"/>
          </w:tcPr>
          <w:p w14:paraId="422A5D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0.42t</w:t>
            </w:r>
          </w:p>
        </w:tc>
        <w:tc>
          <w:tcPr>
            <w:tcW w:w="1102" w:type="pct"/>
            <w:noWrap w:val="0"/>
            <w:vAlign w:val="center"/>
          </w:tcPr>
          <w:p w14:paraId="4C2F52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经收集后集中外售</w:t>
            </w:r>
          </w:p>
        </w:tc>
      </w:tr>
      <w:tr w14:paraId="3CE9A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493DD9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vMerge w:val="continue"/>
            <w:noWrap w:val="0"/>
            <w:vAlign w:val="center"/>
          </w:tcPr>
          <w:p w14:paraId="2BB7728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c>
          <w:tcPr>
            <w:tcW w:w="693" w:type="pct"/>
            <w:noWrap w:val="0"/>
            <w:vAlign w:val="center"/>
          </w:tcPr>
          <w:p w14:paraId="1FAA47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废包装袋</w:t>
            </w:r>
          </w:p>
        </w:tc>
        <w:tc>
          <w:tcPr>
            <w:tcW w:w="915" w:type="pct"/>
            <w:noWrap w:val="0"/>
            <w:vAlign w:val="center"/>
          </w:tcPr>
          <w:p w14:paraId="6F22AE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0.1t</w:t>
            </w:r>
          </w:p>
        </w:tc>
        <w:tc>
          <w:tcPr>
            <w:tcW w:w="969" w:type="pct"/>
            <w:noWrap w:val="0"/>
            <w:vAlign w:val="center"/>
          </w:tcPr>
          <w:p w14:paraId="3C20A18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0.1t</w:t>
            </w:r>
          </w:p>
        </w:tc>
        <w:tc>
          <w:tcPr>
            <w:tcW w:w="1102" w:type="pct"/>
            <w:noWrap w:val="0"/>
            <w:vAlign w:val="center"/>
          </w:tcPr>
          <w:p w14:paraId="56588E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经收集后集中外售</w:t>
            </w:r>
          </w:p>
        </w:tc>
      </w:tr>
      <w:tr w14:paraId="0EA24A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7A728C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vMerge w:val="continue"/>
            <w:noWrap w:val="0"/>
            <w:vAlign w:val="center"/>
          </w:tcPr>
          <w:p w14:paraId="5F8DE2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c>
          <w:tcPr>
            <w:tcW w:w="693" w:type="pct"/>
            <w:noWrap w:val="0"/>
            <w:vAlign w:val="center"/>
          </w:tcPr>
          <w:p w14:paraId="6420D47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建筑垃圾</w:t>
            </w:r>
          </w:p>
        </w:tc>
        <w:tc>
          <w:tcPr>
            <w:tcW w:w="915" w:type="pct"/>
            <w:noWrap w:val="0"/>
            <w:vAlign w:val="center"/>
          </w:tcPr>
          <w:p w14:paraId="0D5442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2t</w:t>
            </w:r>
          </w:p>
        </w:tc>
        <w:tc>
          <w:tcPr>
            <w:tcW w:w="969" w:type="pct"/>
            <w:noWrap w:val="0"/>
            <w:vAlign w:val="center"/>
          </w:tcPr>
          <w:p w14:paraId="26D55B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2t</w:t>
            </w:r>
          </w:p>
        </w:tc>
        <w:tc>
          <w:tcPr>
            <w:tcW w:w="1102" w:type="pct"/>
            <w:noWrap w:val="0"/>
            <w:vAlign w:val="center"/>
          </w:tcPr>
          <w:p w14:paraId="295315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交由环卫部门统一清运</w:t>
            </w:r>
          </w:p>
        </w:tc>
      </w:tr>
      <w:tr w14:paraId="78FF0B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66ADDB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vMerge w:val="continue"/>
            <w:noWrap w:val="0"/>
            <w:vAlign w:val="center"/>
          </w:tcPr>
          <w:p w14:paraId="7F0F5E4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p>
        </w:tc>
        <w:tc>
          <w:tcPr>
            <w:tcW w:w="693" w:type="pct"/>
            <w:noWrap w:val="0"/>
            <w:vAlign w:val="center"/>
          </w:tcPr>
          <w:p w14:paraId="387C0B2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填埋区表土</w:t>
            </w:r>
          </w:p>
        </w:tc>
        <w:tc>
          <w:tcPr>
            <w:tcW w:w="915" w:type="pct"/>
            <w:noWrap w:val="0"/>
            <w:vAlign w:val="center"/>
          </w:tcPr>
          <w:p w14:paraId="686DC4D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4205m</w:t>
            </w:r>
            <w:r>
              <w:rPr>
                <w:rFonts w:hint="eastAsia" w:cs="Times New Roman"/>
                <w:kern w:val="2"/>
                <w:sz w:val="21"/>
                <w:szCs w:val="21"/>
                <w:highlight w:val="none"/>
                <w:u w:val="none" w:color="auto"/>
                <w:vertAlign w:val="superscript"/>
                <w:lang w:val="en-US" w:eastAsia="zh-CN" w:bidi="ar-SA"/>
              </w:rPr>
              <w:t>3</w:t>
            </w:r>
          </w:p>
        </w:tc>
        <w:tc>
          <w:tcPr>
            <w:tcW w:w="969" w:type="pct"/>
            <w:noWrap w:val="0"/>
            <w:vAlign w:val="center"/>
          </w:tcPr>
          <w:p w14:paraId="2D4BD68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4205m</w:t>
            </w:r>
            <w:r>
              <w:rPr>
                <w:rFonts w:hint="eastAsia" w:cs="Times New Roman"/>
                <w:kern w:val="2"/>
                <w:sz w:val="21"/>
                <w:szCs w:val="21"/>
                <w:highlight w:val="none"/>
                <w:u w:val="none" w:color="auto"/>
                <w:vertAlign w:val="superscript"/>
                <w:lang w:val="en-US" w:eastAsia="zh-CN" w:bidi="ar-SA"/>
              </w:rPr>
              <w:t>3</w:t>
            </w:r>
          </w:p>
        </w:tc>
        <w:tc>
          <w:tcPr>
            <w:tcW w:w="1102" w:type="pct"/>
            <w:noWrap w:val="0"/>
            <w:vAlign w:val="center"/>
          </w:tcPr>
          <w:p w14:paraId="646F29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用于填埋废渣后回填覆土</w:t>
            </w:r>
          </w:p>
        </w:tc>
      </w:tr>
      <w:tr w14:paraId="0E312B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3" w:type="pct"/>
            <w:vMerge w:val="continue"/>
            <w:noWrap w:val="0"/>
            <w:vAlign w:val="center"/>
          </w:tcPr>
          <w:p w14:paraId="3E7E8D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noWrap w:val="0"/>
            <w:vAlign w:val="center"/>
          </w:tcPr>
          <w:p w14:paraId="706999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危险废物</w:t>
            </w:r>
          </w:p>
        </w:tc>
        <w:tc>
          <w:tcPr>
            <w:tcW w:w="693" w:type="pct"/>
            <w:noWrap w:val="0"/>
            <w:vAlign w:val="center"/>
          </w:tcPr>
          <w:p w14:paraId="73BD213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污水处理</w:t>
            </w:r>
          </w:p>
          <w:p w14:paraId="3BCB6B0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污泥</w:t>
            </w:r>
          </w:p>
        </w:tc>
        <w:tc>
          <w:tcPr>
            <w:tcW w:w="915" w:type="pct"/>
            <w:noWrap w:val="0"/>
            <w:vAlign w:val="center"/>
          </w:tcPr>
          <w:p w14:paraId="2B90B7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1.5t</w:t>
            </w:r>
          </w:p>
        </w:tc>
        <w:tc>
          <w:tcPr>
            <w:tcW w:w="969" w:type="pct"/>
            <w:noWrap w:val="0"/>
            <w:vAlign w:val="center"/>
          </w:tcPr>
          <w:p w14:paraId="60E85D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1.5t</w:t>
            </w:r>
          </w:p>
        </w:tc>
        <w:tc>
          <w:tcPr>
            <w:tcW w:w="1102" w:type="pct"/>
            <w:noWrap w:val="0"/>
            <w:vAlign w:val="center"/>
          </w:tcPr>
          <w:p w14:paraId="33B79D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委托有资质单位处理处置</w:t>
            </w:r>
          </w:p>
        </w:tc>
      </w:tr>
      <w:tr w14:paraId="7CB4C4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vMerge w:val="continue"/>
            <w:noWrap w:val="0"/>
            <w:vAlign w:val="center"/>
          </w:tcPr>
          <w:p w14:paraId="70120A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14" w:type="pct"/>
            <w:noWrap w:val="0"/>
            <w:vAlign w:val="center"/>
          </w:tcPr>
          <w:p w14:paraId="62CDB3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生活垃圾</w:t>
            </w:r>
          </w:p>
        </w:tc>
        <w:tc>
          <w:tcPr>
            <w:tcW w:w="693" w:type="pct"/>
            <w:noWrap w:val="0"/>
            <w:vAlign w:val="center"/>
          </w:tcPr>
          <w:p w14:paraId="6D8688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生活垃圾</w:t>
            </w:r>
          </w:p>
        </w:tc>
        <w:tc>
          <w:tcPr>
            <w:tcW w:w="915" w:type="pct"/>
            <w:noWrap w:val="0"/>
            <w:vAlign w:val="center"/>
          </w:tcPr>
          <w:p w14:paraId="5DF9D5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10kg/d</w:t>
            </w:r>
          </w:p>
        </w:tc>
        <w:tc>
          <w:tcPr>
            <w:tcW w:w="969" w:type="pct"/>
            <w:noWrap w:val="0"/>
            <w:vAlign w:val="center"/>
          </w:tcPr>
          <w:p w14:paraId="665531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10kg/d</w:t>
            </w:r>
          </w:p>
        </w:tc>
        <w:tc>
          <w:tcPr>
            <w:tcW w:w="1102" w:type="pct"/>
            <w:noWrap w:val="0"/>
            <w:vAlign w:val="center"/>
          </w:tcPr>
          <w:p w14:paraId="363F09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ascii="Times New Roman" w:hAnsi="Times New Roman" w:eastAsia="宋体" w:cs="Times New Roman"/>
                <w:kern w:val="2"/>
                <w:sz w:val="21"/>
                <w:szCs w:val="21"/>
                <w:highlight w:val="none"/>
                <w:u w:val="none" w:color="auto"/>
                <w:lang w:val="en-US" w:eastAsia="zh-CN" w:bidi="ar-SA"/>
              </w:rPr>
              <w:t>交由环卫部门统一清运</w:t>
            </w:r>
          </w:p>
        </w:tc>
      </w:tr>
      <w:tr w14:paraId="6B4F01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3" w:type="pct"/>
            <w:noWrap w:val="0"/>
            <w:vAlign w:val="center"/>
          </w:tcPr>
          <w:p w14:paraId="19460F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封场后固废</w:t>
            </w:r>
          </w:p>
        </w:tc>
        <w:tc>
          <w:tcPr>
            <w:tcW w:w="814" w:type="pct"/>
            <w:noWrap w:val="0"/>
            <w:vAlign w:val="center"/>
          </w:tcPr>
          <w:p w14:paraId="418651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危险废物</w:t>
            </w:r>
          </w:p>
        </w:tc>
        <w:tc>
          <w:tcPr>
            <w:tcW w:w="693" w:type="pct"/>
            <w:noWrap w:val="0"/>
            <w:vAlign w:val="center"/>
          </w:tcPr>
          <w:p w14:paraId="2C5BE0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kern w:val="2"/>
                <w:sz w:val="21"/>
                <w:szCs w:val="21"/>
                <w:highlight w:val="none"/>
                <w:u w:val="none" w:color="auto"/>
                <w:lang w:val="en-US" w:eastAsia="zh-CN" w:bidi="ar-SA"/>
              </w:rPr>
            </w:pPr>
            <w:r>
              <w:rPr>
                <w:rFonts w:hint="eastAsia" w:cs="Times New Roman"/>
                <w:kern w:val="2"/>
                <w:sz w:val="21"/>
                <w:szCs w:val="21"/>
                <w:highlight w:val="none"/>
                <w:u w:val="none" w:color="auto"/>
                <w:lang w:val="en-US" w:eastAsia="zh-CN" w:bidi="ar-SA"/>
              </w:rPr>
              <w:t>污水处理</w:t>
            </w:r>
          </w:p>
          <w:p w14:paraId="69DBFA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cs="Times New Roman"/>
                <w:kern w:val="2"/>
                <w:sz w:val="21"/>
                <w:szCs w:val="21"/>
                <w:highlight w:val="none"/>
                <w:u w:val="none" w:color="auto"/>
                <w:lang w:val="en-US" w:eastAsia="zh-CN" w:bidi="ar-SA"/>
              </w:rPr>
              <w:t>污泥</w:t>
            </w:r>
          </w:p>
        </w:tc>
        <w:tc>
          <w:tcPr>
            <w:tcW w:w="915" w:type="pct"/>
            <w:noWrap w:val="0"/>
            <w:vAlign w:val="center"/>
          </w:tcPr>
          <w:p w14:paraId="6A6474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2.0t</w:t>
            </w:r>
          </w:p>
        </w:tc>
        <w:tc>
          <w:tcPr>
            <w:tcW w:w="969" w:type="pct"/>
            <w:noWrap w:val="0"/>
            <w:vAlign w:val="center"/>
          </w:tcPr>
          <w:p w14:paraId="0EA902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2.0t</w:t>
            </w:r>
          </w:p>
        </w:tc>
        <w:tc>
          <w:tcPr>
            <w:tcW w:w="1102" w:type="pct"/>
            <w:noWrap w:val="0"/>
            <w:vAlign w:val="center"/>
          </w:tcPr>
          <w:p w14:paraId="5BC4F3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default" w:ascii="Times New Roman" w:hAnsi="Times New Roman" w:eastAsia="宋体" w:cs="Times New Roman"/>
                <w:kern w:val="2"/>
                <w:sz w:val="21"/>
                <w:szCs w:val="21"/>
                <w:highlight w:val="none"/>
                <w:u w:val="none" w:color="auto"/>
                <w:lang w:val="en-US" w:eastAsia="zh-CN" w:bidi="ar-SA"/>
              </w:rPr>
              <w:t>委托有资质单位处理处置</w:t>
            </w:r>
          </w:p>
        </w:tc>
      </w:tr>
    </w:tbl>
    <w:p w14:paraId="461CBB03">
      <w:pPr>
        <w:pageBreakBefore w:val="0"/>
        <w:widowControl w:val="0"/>
        <w:kinsoku/>
        <w:topLinePunct w:val="0"/>
        <w:bidi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u w:val="none" w:color="auto"/>
        </w:rPr>
      </w:pPr>
    </w:p>
    <w:p w14:paraId="4F4AC2B9">
      <w:pPr>
        <w:pageBreakBefore w:val="0"/>
        <w:widowControl w:val="0"/>
        <w:kinsoku/>
        <w:topLinePunct w:val="0"/>
        <w:bidi w:val="0"/>
        <w:snapToGrid w:val="0"/>
        <w:ind w:firstLine="0" w:firstLineChars="0"/>
        <w:rPr>
          <w:rFonts w:hint="default" w:ascii="Times New Roman" w:hAnsi="Times New Roman" w:eastAsia="宋体" w:cs="Times New Roman"/>
          <w:color w:val="auto"/>
          <w:sz w:val="21"/>
          <w:highlight w:val="none"/>
          <w:u w:val="none" w:color="auto"/>
        </w:rPr>
        <w:sectPr>
          <w:headerReference r:id="rId10" w:type="default"/>
          <w:footerReference r:id="rId11" w:type="default"/>
          <w:pgSz w:w="11906" w:h="16838"/>
          <w:pgMar w:top="1417" w:right="1417" w:bottom="1417" w:left="1417" w:header="898" w:footer="1194" w:gutter="0"/>
          <w:pgBorders>
            <w:top w:val="none" w:sz="0" w:space="0"/>
            <w:left w:val="none" w:sz="0" w:space="0"/>
            <w:bottom w:val="none" w:sz="0" w:space="0"/>
            <w:right w:val="none" w:sz="0" w:space="0"/>
          </w:pgBorders>
          <w:pgNumType w:fmt="decimal"/>
          <w:cols w:space="720" w:num="1"/>
          <w:docGrid w:type="lines" w:linePitch="333" w:charSpace="0"/>
        </w:sectPr>
      </w:pPr>
    </w:p>
    <w:p w14:paraId="78C8E1C6">
      <w:pPr>
        <w:pStyle w:val="2"/>
        <w:keepNext w:val="0"/>
        <w:keepLines w:val="0"/>
        <w:numPr>
          <w:ilvl w:val="0"/>
          <w:numId w:val="0"/>
        </w:numPr>
        <w:topLinePunct w:val="0"/>
        <w:rPr>
          <w:rFonts w:hint="default" w:ascii="Times New Roman" w:hAnsi="Times New Roman" w:cs="Times New Roman"/>
          <w:color w:val="auto"/>
          <w:sz w:val="36"/>
          <w:szCs w:val="36"/>
          <w:highlight w:val="none"/>
          <w:u w:val="none" w:color="auto"/>
        </w:rPr>
      </w:pPr>
      <w:bookmarkStart w:id="347" w:name="_bookmark32"/>
      <w:bookmarkEnd w:id="347"/>
      <w:bookmarkStart w:id="348" w:name="_bookmark31"/>
      <w:bookmarkEnd w:id="348"/>
      <w:bookmarkStart w:id="349" w:name="_Toc29553"/>
      <w:bookmarkStart w:id="350" w:name="_Toc9184"/>
      <w:bookmarkStart w:id="351" w:name="_Toc30003"/>
      <w:bookmarkStart w:id="352" w:name="_Toc291"/>
      <w:bookmarkStart w:id="353" w:name="_Toc5655"/>
      <w:bookmarkStart w:id="354" w:name="_Toc10370"/>
      <w:bookmarkStart w:id="355" w:name="_Toc12730"/>
      <w:bookmarkStart w:id="356" w:name="_Toc4631"/>
      <w:bookmarkStart w:id="357" w:name="_Toc23590"/>
      <w:bookmarkStart w:id="358" w:name="_Toc522"/>
      <w:bookmarkStart w:id="359" w:name="_Toc17997"/>
      <w:bookmarkStart w:id="360" w:name="_Toc18100"/>
      <w:bookmarkStart w:id="361" w:name="_Toc31477"/>
      <w:bookmarkStart w:id="362" w:name="_Toc447"/>
      <w:bookmarkStart w:id="363" w:name="_Toc1693"/>
      <w:r>
        <w:rPr>
          <w:rFonts w:hint="eastAsia" w:cs="Times New Roman"/>
          <w:color w:val="auto"/>
          <w:sz w:val="36"/>
          <w:szCs w:val="36"/>
          <w:highlight w:val="none"/>
          <w:u w:val="none" w:color="auto"/>
          <w:lang w:val="en-US" w:eastAsia="zh-CN"/>
        </w:rPr>
        <w:t>4</w:t>
      </w:r>
      <w:r>
        <w:rPr>
          <w:rFonts w:hint="default" w:ascii="Times New Roman" w:hAnsi="Times New Roman" w:cs="Times New Roman"/>
          <w:color w:val="auto"/>
          <w:sz w:val="36"/>
          <w:szCs w:val="36"/>
          <w:highlight w:val="none"/>
          <w:u w:val="none" w:color="auto"/>
        </w:rPr>
        <w:t xml:space="preserve"> 环境现状调查与评价</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14:paraId="34CD81B8">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364" w:name="_Toc12741"/>
      <w:bookmarkStart w:id="365" w:name="_Toc1376"/>
      <w:bookmarkStart w:id="366" w:name="_Toc2827"/>
      <w:bookmarkStart w:id="367" w:name="_Toc17001"/>
      <w:bookmarkStart w:id="368" w:name="_Toc26725"/>
      <w:bookmarkStart w:id="369" w:name="_Toc19961"/>
      <w:bookmarkStart w:id="370" w:name="_Toc15334"/>
      <w:bookmarkStart w:id="371" w:name="_Toc27347"/>
      <w:bookmarkStart w:id="372" w:name="_Toc24537"/>
      <w:bookmarkStart w:id="373" w:name="_Toc20702"/>
      <w:bookmarkStart w:id="374" w:name="_Toc19074"/>
      <w:bookmarkStart w:id="375" w:name="_Toc22662"/>
      <w:bookmarkStart w:id="376" w:name="_Toc17546"/>
      <w:bookmarkStart w:id="377" w:name="_Toc21543"/>
      <w:r>
        <w:rPr>
          <w:rFonts w:hint="eastAsia" w:ascii="Times New Roman" w:hAnsi="Times New Roman" w:eastAsia="宋体" w:cs="Times New Roman"/>
          <w:color w:val="auto"/>
          <w:sz w:val="30"/>
          <w:szCs w:val="30"/>
          <w:highlight w:val="none"/>
          <w:u w:val="none" w:color="auto"/>
          <w:lang w:val="en-US" w:eastAsia="zh-CN"/>
        </w:rPr>
        <w:t>4</w:t>
      </w:r>
      <w:r>
        <w:rPr>
          <w:rFonts w:hint="default" w:ascii="Times New Roman" w:hAnsi="Times New Roman" w:eastAsia="宋体" w:cs="Times New Roman"/>
          <w:color w:val="auto"/>
          <w:sz w:val="30"/>
          <w:szCs w:val="30"/>
          <w:highlight w:val="none"/>
          <w:u w:val="none" w:color="auto"/>
          <w:lang w:val="en-US"/>
        </w:rPr>
        <w:t>.1自然环境概况</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37A37C60">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378" w:name="_Toc14319"/>
      <w:bookmarkStart w:id="379" w:name="_Toc9829"/>
      <w:bookmarkStart w:id="380" w:name="_Toc26356"/>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.1.1地理位置</w:t>
      </w:r>
      <w:bookmarkEnd w:id="378"/>
      <w:bookmarkEnd w:id="379"/>
      <w:bookmarkEnd w:id="380"/>
    </w:p>
    <w:p w14:paraId="2CA49080">
      <w:pPr>
        <w:rPr>
          <w:rFonts w:hint="default"/>
          <w:sz w:val="24"/>
          <w:szCs w:val="24"/>
          <w:highlight w:val="yellow"/>
          <w:lang w:val="en-US" w:eastAsia="zh-CN"/>
        </w:rPr>
      </w:pPr>
      <w:r>
        <w:rPr>
          <w:rFonts w:hint="default"/>
          <w:sz w:val="24"/>
          <w:szCs w:val="24"/>
          <w:highlight w:val="none"/>
          <w:lang w:val="en-US" w:eastAsia="zh-CN"/>
        </w:rPr>
        <w:t>平江县位于湖南省东北部。东与江西省修水、铜鼓县交界，北与湖北省通城县和岳阳县相连，南与浏阳市接壤，西与长沙县、汨罗市毗邻。隶属于湖南省岳阳市，位于湖南省东北部</w:t>
      </w:r>
      <w:r>
        <w:rPr>
          <w:rFonts w:hint="eastAsia"/>
          <w:sz w:val="24"/>
          <w:szCs w:val="24"/>
          <w:highlight w:val="none"/>
          <w:lang w:val="en-US" w:eastAsia="zh-CN"/>
        </w:rPr>
        <w:t>，地</w:t>
      </w:r>
      <w:r>
        <w:rPr>
          <w:rFonts w:hint="default"/>
          <w:sz w:val="24"/>
          <w:szCs w:val="24"/>
          <w:highlight w:val="none"/>
          <w:lang w:val="en-US" w:eastAsia="zh-CN"/>
        </w:rPr>
        <w:t>处汨水、罗水上游，汨罗江自东向西贯穿全境，东与江西省修水县、铜鼓县交界，北与湖北省通城县和湖南省岳阳县相连，南与浏阳市接壤，西与长沙县、汨罗市毗邻。三阳乡位于平江县西南部，分别与瓮江镇、安定镇、三市镇、城关镇、天岳开发区接壤</w:t>
      </w:r>
      <w:r>
        <w:rPr>
          <w:rFonts w:hint="eastAsia"/>
          <w:sz w:val="24"/>
          <w:szCs w:val="24"/>
          <w:highlight w:val="none"/>
          <w:lang w:val="en-US" w:eastAsia="zh-CN"/>
        </w:rPr>
        <w:t>，</w:t>
      </w:r>
      <w:r>
        <w:rPr>
          <w:rFonts w:hint="default"/>
          <w:sz w:val="24"/>
          <w:szCs w:val="24"/>
          <w:highlight w:val="none"/>
          <w:lang w:val="en-US" w:eastAsia="zh-CN"/>
        </w:rPr>
        <w:t>面积214</w:t>
      </w:r>
      <w:r>
        <w:rPr>
          <w:rFonts w:hint="eastAsia"/>
          <w:sz w:val="24"/>
          <w:szCs w:val="24"/>
          <w:highlight w:val="none"/>
          <w:lang w:val="en-US" w:eastAsia="zh-CN"/>
        </w:rPr>
        <w:t>km</w:t>
      </w:r>
      <w:r>
        <w:rPr>
          <w:rFonts w:hint="eastAsia"/>
          <w:sz w:val="24"/>
          <w:szCs w:val="24"/>
          <w:highlight w:val="none"/>
          <w:vertAlign w:val="superscript"/>
          <w:lang w:val="en-US" w:eastAsia="zh-CN"/>
        </w:rPr>
        <w:t>2</w:t>
      </w:r>
      <w:r>
        <w:rPr>
          <w:rFonts w:hint="default"/>
          <w:sz w:val="24"/>
          <w:szCs w:val="24"/>
          <w:highlight w:val="none"/>
          <w:lang w:val="en-US" w:eastAsia="zh-CN"/>
        </w:rPr>
        <w:t>。乡政府驻三阳街，已经融入平江县城区。106国道和207省道、308省道过境</w:t>
      </w:r>
      <w:r>
        <w:rPr>
          <w:rFonts w:hint="eastAsia"/>
          <w:sz w:val="24"/>
          <w:szCs w:val="24"/>
          <w:highlight w:val="none"/>
          <w:lang w:val="en-US" w:eastAsia="zh-CN"/>
        </w:rPr>
        <w:t>。</w:t>
      </w:r>
    </w:p>
    <w:p w14:paraId="37487FB5">
      <w:pPr>
        <w:topLinePunct w:val="0"/>
        <w:ind w:firstLine="480"/>
        <w:rPr>
          <w:rFonts w:hint="default" w:ascii="Times New Roman" w:hAnsi="Times New Roman" w:cs="Times New Roman"/>
          <w:color w:val="auto"/>
          <w:sz w:val="24"/>
          <w:szCs w:val="24"/>
          <w:highlight w:val="none"/>
          <w:u w:val="none" w:color="auto"/>
        </w:rPr>
      </w:pPr>
      <w:r>
        <w:rPr>
          <w:rFonts w:hint="default"/>
          <w:sz w:val="24"/>
          <w:szCs w:val="24"/>
          <w:highlight w:val="none"/>
          <w:lang w:val="en-US" w:eastAsia="zh-CN"/>
        </w:rPr>
        <w:t>本项目历史遗留</w:t>
      </w:r>
      <w:r>
        <w:rPr>
          <w:rFonts w:hint="eastAsia"/>
          <w:sz w:val="24"/>
          <w:szCs w:val="24"/>
          <w:highlight w:val="none"/>
          <w:lang w:val="en-US" w:eastAsia="zh-CN"/>
        </w:rPr>
        <w:t>重金属</w:t>
      </w:r>
      <w:r>
        <w:rPr>
          <w:rFonts w:hint="default"/>
          <w:sz w:val="24"/>
          <w:szCs w:val="24"/>
          <w:highlight w:val="none"/>
          <w:lang w:val="en-US" w:eastAsia="zh-CN"/>
        </w:rPr>
        <w:t>废渣地块位于平江县三阳乡，</w:t>
      </w:r>
      <w:r>
        <w:rPr>
          <w:rFonts w:hint="eastAsia"/>
          <w:sz w:val="24"/>
          <w:szCs w:val="24"/>
          <w:highlight w:val="none"/>
          <w:lang w:val="en-US" w:eastAsia="zh-CN"/>
        </w:rPr>
        <w:t>1#废渣堆</w:t>
      </w:r>
      <w:r>
        <w:rPr>
          <w:rFonts w:hint="default"/>
          <w:sz w:val="24"/>
          <w:szCs w:val="24"/>
          <w:highlight w:val="none"/>
          <w:lang w:val="en-US" w:eastAsia="zh-CN"/>
        </w:rPr>
        <w:t>中心坐标为：</w:t>
      </w:r>
      <w:r>
        <w:rPr>
          <w:rFonts w:hint="default" w:ascii="Times New Roman" w:hAnsi="Times New Roman" w:cs="Times New Roman"/>
          <w:sz w:val="24"/>
          <w:szCs w:val="24"/>
          <w:highlight w:val="none"/>
          <w:lang w:val="en-US" w:eastAsia="zh-CN"/>
        </w:rPr>
        <w:t>东经113°34′24.340″，北纬28°37′46.12</w:t>
      </w:r>
      <w:r>
        <w:rPr>
          <w:rFonts w:hint="eastAsia"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lang w:val="en-US" w:eastAsia="zh-CN"/>
        </w:rPr>
        <w:t>″；2</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废渣</w:t>
      </w:r>
      <w:r>
        <w:rPr>
          <w:rFonts w:hint="eastAsia" w:cs="Times New Roman"/>
          <w:sz w:val="24"/>
          <w:szCs w:val="24"/>
          <w:highlight w:val="none"/>
          <w:lang w:val="en-US" w:eastAsia="zh-CN"/>
        </w:rPr>
        <w:t>堆</w:t>
      </w:r>
      <w:r>
        <w:rPr>
          <w:rFonts w:hint="default" w:ascii="Times New Roman" w:hAnsi="Times New Roman" w:cs="Times New Roman"/>
          <w:sz w:val="24"/>
          <w:szCs w:val="24"/>
          <w:highlight w:val="none"/>
          <w:lang w:val="en-US" w:eastAsia="zh-CN"/>
        </w:rPr>
        <w:t>中心坐标为：113°34′18.72</w:t>
      </w:r>
      <w:r>
        <w:rPr>
          <w:rFonts w:hint="eastAsia"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lang w:val="en-US" w:eastAsia="zh-CN"/>
        </w:rPr>
        <w:t>″，北纬28°37′42.550″；</w:t>
      </w:r>
      <w:r>
        <w:rPr>
          <w:rFonts w:hint="eastAsia"/>
          <w:sz w:val="24"/>
          <w:szCs w:val="24"/>
          <w:highlight w:val="none"/>
          <w:lang w:val="en-US" w:eastAsia="zh-CN"/>
        </w:rPr>
        <w:t>3A#废渣堆</w:t>
      </w:r>
      <w:r>
        <w:rPr>
          <w:rFonts w:hint="default"/>
          <w:sz w:val="24"/>
          <w:szCs w:val="24"/>
          <w:highlight w:val="none"/>
          <w:lang w:val="en-US" w:eastAsia="zh-CN"/>
        </w:rPr>
        <w:t>中心坐标为：</w:t>
      </w:r>
      <w:r>
        <w:rPr>
          <w:rFonts w:hint="default" w:ascii="Times New Roman" w:hAnsi="Times New Roman" w:cs="Times New Roman"/>
          <w:sz w:val="24"/>
          <w:szCs w:val="24"/>
          <w:highlight w:val="none"/>
          <w:lang w:val="en-US" w:eastAsia="zh-CN"/>
        </w:rPr>
        <w:t>东经113°34′5.69</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″，北纬28°37′58.30</w:t>
      </w:r>
      <w:r>
        <w:rPr>
          <w:rFonts w:hint="eastAsia"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3B</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废渣</w:t>
      </w:r>
      <w:r>
        <w:rPr>
          <w:rFonts w:hint="eastAsia" w:cs="Times New Roman"/>
          <w:sz w:val="24"/>
          <w:szCs w:val="24"/>
          <w:highlight w:val="none"/>
          <w:lang w:val="en-US" w:eastAsia="zh-CN"/>
        </w:rPr>
        <w:t>堆</w:t>
      </w:r>
      <w:r>
        <w:rPr>
          <w:rFonts w:hint="default" w:ascii="Times New Roman" w:hAnsi="Times New Roman" w:cs="Times New Roman"/>
          <w:sz w:val="24"/>
          <w:szCs w:val="24"/>
          <w:highlight w:val="none"/>
          <w:lang w:val="en-US" w:eastAsia="zh-CN"/>
        </w:rPr>
        <w:t>中心坐标为：113°34′2.07</w:t>
      </w:r>
      <w:r>
        <w:rPr>
          <w:rFonts w:hint="eastAsia"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lang w:val="en-US" w:eastAsia="zh-CN"/>
        </w:rPr>
        <w:t>″，北纬28°37′59.467″；填埋区中心坐标为：东经113°34′14.93</w:t>
      </w:r>
      <w:r>
        <w:rPr>
          <w:rFonts w:hint="eastAsia"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lang w:val="en-US" w:eastAsia="zh-CN"/>
        </w:rPr>
        <w:t>″，北纬28°37′52.05</w:t>
      </w:r>
      <w:r>
        <w:rPr>
          <w:rFonts w:hint="eastAsia"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lang w:val="en-US" w:eastAsia="zh-CN"/>
        </w:rPr>
        <w:t>″。</w:t>
      </w:r>
      <w:r>
        <w:rPr>
          <w:rFonts w:hint="eastAsia"/>
          <w:sz w:val="24"/>
          <w:szCs w:val="24"/>
          <w:highlight w:val="none"/>
          <w:lang w:val="en-US" w:eastAsia="zh-CN"/>
        </w:rPr>
        <w:t>具体</w:t>
      </w:r>
      <w:r>
        <w:rPr>
          <w:rFonts w:hint="default"/>
          <w:sz w:val="24"/>
          <w:szCs w:val="24"/>
          <w:highlight w:val="none"/>
          <w:lang w:val="en-US" w:eastAsia="zh-CN"/>
        </w:rPr>
        <w:t>地理位置详见附图1。</w:t>
      </w:r>
    </w:p>
    <w:p w14:paraId="040CEB2D">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381" w:name="_Toc20501"/>
      <w:bookmarkStart w:id="382" w:name="_Toc26024"/>
      <w:bookmarkStart w:id="383" w:name="_Toc14598"/>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.1.2气候气象</w:t>
      </w:r>
      <w:bookmarkEnd w:id="381"/>
      <w:bookmarkEnd w:id="382"/>
      <w:bookmarkEnd w:id="383"/>
    </w:p>
    <w:p w14:paraId="53DAEAE6">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平江县境属大陆性季风气候区，东亚热带向北亚热带</w:t>
      </w:r>
      <w:r>
        <w:rPr>
          <w:rFonts w:hint="eastAsia" w:cs="Times New Roman"/>
          <w:sz w:val="24"/>
          <w:szCs w:val="24"/>
          <w:highlight w:val="none"/>
          <w:lang w:val="en-US" w:eastAsia="zh-CN"/>
        </w:rPr>
        <w:t>过渡</w:t>
      </w:r>
      <w:r>
        <w:rPr>
          <w:rFonts w:hint="default" w:ascii="Times New Roman" w:hAnsi="Times New Roman" w:cs="Times New Roman"/>
          <w:sz w:val="24"/>
          <w:szCs w:val="24"/>
          <w:highlight w:val="none"/>
          <w:lang w:val="en-US" w:eastAsia="zh-CN"/>
        </w:rPr>
        <w:t>气候带。主要气候特征为：春温多雨、寒流频繁，降水集中；夏秋多旱；严寒期短，无霜期长；风小、雾多、湿度大，全年无霜期263天。</w:t>
      </w:r>
    </w:p>
    <w:p w14:paraId="2DEA2846">
      <w:pPr>
        <w:rPr>
          <w:rFonts w:hint="default" w:ascii="Times New Roman" w:hAnsi="Times New Roman" w:cs="Times New Roman"/>
          <w:sz w:val="24"/>
          <w:szCs w:val="24"/>
          <w:highlight w:val="none"/>
          <w:lang w:val="en-US" w:eastAsia="zh-CN"/>
        </w:rPr>
      </w:pPr>
      <w:r>
        <w:rPr>
          <w:rFonts w:hint="default" w:ascii="Times New Roman" w:hAnsi="Times New Roman" w:cs="Times New Roman"/>
          <w:b/>
          <w:bCs/>
          <w:sz w:val="24"/>
          <w:szCs w:val="24"/>
          <w:highlight w:val="none"/>
          <w:lang w:val="en-US" w:eastAsia="zh-CN"/>
        </w:rPr>
        <w:t>气温：</w:t>
      </w:r>
      <w:r>
        <w:rPr>
          <w:rFonts w:hint="default" w:ascii="Times New Roman" w:hAnsi="Times New Roman" w:cs="Times New Roman"/>
          <w:sz w:val="24"/>
          <w:szCs w:val="24"/>
          <w:highlight w:val="none"/>
          <w:lang w:val="en-US" w:eastAsia="zh-CN"/>
        </w:rPr>
        <w:t>平江县气候属亚热带湿润季风气候，四季分明，平均气温18.4℃，一月份平均气温4.9℃，极端最低气温为-12℃（1972年2月9日），七月份平均气温28.6℃，极端最高气温40.3℃（1971年7月26日），年平均气温5℃以上的时期为295天。</w:t>
      </w:r>
    </w:p>
    <w:p w14:paraId="5BBC537C">
      <w:pPr>
        <w:rPr>
          <w:rFonts w:hint="default" w:ascii="Times New Roman" w:hAnsi="Times New Roman" w:cs="Times New Roman"/>
          <w:sz w:val="24"/>
          <w:szCs w:val="24"/>
          <w:highlight w:val="none"/>
          <w:lang w:val="en-US" w:eastAsia="zh-CN"/>
        </w:rPr>
      </w:pPr>
      <w:r>
        <w:rPr>
          <w:rFonts w:hint="default" w:ascii="Times New Roman" w:hAnsi="Times New Roman" w:cs="Times New Roman"/>
          <w:b/>
          <w:bCs/>
          <w:sz w:val="24"/>
          <w:szCs w:val="24"/>
          <w:highlight w:val="none"/>
          <w:lang w:val="en-US" w:eastAsia="zh-CN"/>
        </w:rPr>
        <w:t>日照：</w:t>
      </w:r>
      <w:r>
        <w:rPr>
          <w:rFonts w:hint="default" w:ascii="Times New Roman" w:hAnsi="Times New Roman" w:cs="Times New Roman"/>
          <w:sz w:val="24"/>
          <w:szCs w:val="24"/>
          <w:highlight w:val="none"/>
          <w:lang w:val="en-US" w:eastAsia="zh-CN"/>
        </w:rPr>
        <w:t>年均日照时数1731.1小时。</w:t>
      </w:r>
    </w:p>
    <w:p w14:paraId="01114875">
      <w:pPr>
        <w:rPr>
          <w:rFonts w:hint="default" w:ascii="Times New Roman" w:hAnsi="Times New Roman" w:cs="Times New Roman"/>
          <w:sz w:val="24"/>
          <w:szCs w:val="24"/>
          <w:highlight w:val="none"/>
          <w:lang w:val="en-US" w:eastAsia="zh-CN"/>
        </w:rPr>
      </w:pPr>
      <w:r>
        <w:rPr>
          <w:rFonts w:hint="default" w:ascii="Times New Roman" w:hAnsi="Times New Roman" w:cs="Times New Roman"/>
          <w:b/>
          <w:bCs/>
          <w:sz w:val="24"/>
          <w:szCs w:val="24"/>
          <w:highlight w:val="none"/>
          <w:lang w:val="en-US" w:eastAsia="zh-CN"/>
        </w:rPr>
        <w:t>风向风速：</w:t>
      </w:r>
      <w:r>
        <w:rPr>
          <w:rFonts w:hint="default" w:ascii="Times New Roman" w:hAnsi="Times New Roman" w:cs="Times New Roman"/>
          <w:sz w:val="24"/>
          <w:szCs w:val="24"/>
          <w:highlight w:val="none"/>
          <w:lang w:val="en-US" w:eastAsia="zh-CN"/>
        </w:rPr>
        <w:t>平江县地处湿润的大陆季风气候区，属中亚热带向北区亚热带</w:t>
      </w:r>
      <w:r>
        <w:rPr>
          <w:rFonts w:hint="eastAsia" w:cs="Times New Roman"/>
          <w:sz w:val="24"/>
          <w:szCs w:val="24"/>
          <w:highlight w:val="none"/>
          <w:lang w:val="en-US" w:eastAsia="zh-CN"/>
        </w:rPr>
        <w:t>过渡</w:t>
      </w:r>
      <w:r>
        <w:rPr>
          <w:rFonts w:hint="default" w:ascii="Times New Roman" w:hAnsi="Times New Roman" w:cs="Times New Roman"/>
          <w:sz w:val="24"/>
          <w:szCs w:val="24"/>
          <w:highlight w:val="none"/>
          <w:lang w:val="en-US" w:eastAsia="zh-CN"/>
        </w:rPr>
        <w:t>气候带，夏季多东南风，冬季多西北风，偏西风占20%，偏南风占5%，静风日142天，</w:t>
      </w:r>
      <w:r>
        <w:rPr>
          <w:rFonts w:hint="eastAsia" w:cs="Times New Roman"/>
          <w:sz w:val="24"/>
          <w:szCs w:val="24"/>
          <w:highlight w:val="none"/>
          <w:lang w:val="en-US" w:eastAsia="zh-CN"/>
        </w:rPr>
        <w:t>常年</w:t>
      </w:r>
      <w:r>
        <w:rPr>
          <w:rFonts w:hint="default" w:ascii="Times New Roman" w:hAnsi="Times New Roman" w:cs="Times New Roman"/>
          <w:sz w:val="24"/>
          <w:szCs w:val="24"/>
          <w:highlight w:val="none"/>
          <w:lang w:val="en-US" w:eastAsia="zh-CN"/>
        </w:rPr>
        <w:t>静风期占39%。多年均风速为1.4</w:t>
      </w:r>
      <w:r>
        <w:rPr>
          <w:rFonts w:hint="eastAsia" w:ascii="Times New Roman" w:hAnsi="Times New Roman" w:cs="Times New Roman"/>
          <w:sz w:val="24"/>
          <w:szCs w:val="24"/>
          <w:highlight w:val="none"/>
          <w:lang w:val="en-US" w:eastAsia="zh-CN"/>
        </w:rPr>
        <w:t>m</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s</w:t>
      </w:r>
      <w:r>
        <w:rPr>
          <w:rFonts w:hint="default" w:ascii="Times New Roman" w:hAnsi="Times New Roman" w:cs="Times New Roman"/>
          <w:sz w:val="24"/>
          <w:szCs w:val="24"/>
          <w:highlight w:val="none"/>
          <w:lang w:val="en-US" w:eastAsia="zh-CN"/>
        </w:rPr>
        <w:t>，最大风速为28</w:t>
      </w:r>
      <w:r>
        <w:rPr>
          <w:rFonts w:hint="eastAsia" w:ascii="Times New Roman" w:hAnsi="Times New Roman" w:cs="Times New Roman"/>
          <w:sz w:val="24"/>
          <w:szCs w:val="24"/>
          <w:highlight w:val="none"/>
          <w:lang w:val="en-US" w:eastAsia="zh-CN"/>
        </w:rPr>
        <w:t>m</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s</w:t>
      </w:r>
      <w:r>
        <w:rPr>
          <w:rFonts w:hint="default" w:ascii="Times New Roman" w:hAnsi="Times New Roman" w:cs="Times New Roman"/>
          <w:sz w:val="24"/>
          <w:szCs w:val="24"/>
          <w:highlight w:val="none"/>
          <w:lang w:val="en-US" w:eastAsia="zh-CN"/>
        </w:rPr>
        <w:t>（1957年6月4日），大风发生的机会以4、7、8月较多，占全年大风天数的57.8%。</w:t>
      </w:r>
    </w:p>
    <w:p w14:paraId="6BE6D645">
      <w:pPr>
        <w:rPr>
          <w:color w:val="auto"/>
          <w:sz w:val="24"/>
          <w:szCs w:val="24"/>
          <w:u w:val="none" w:color="auto"/>
        </w:rPr>
      </w:pPr>
      <w:r>
        <w:rPr>
          <w:rFonts w:hint="default" w:ascii="Times New Roman" w:hAnsi="Times New Roman" w:cs="Times New Roman"/>
          <w:b/>
          <w:bCs/>
          <w:sz w:val="24"/>
          <w:szCs w:val="24"/>
          <w:highlight w:val="none"/>
          <w:lang w:val="en-US" w:eastAsia="zh-CN"/>
        </w:rPr>
        <w:t>降水：</w:t>
      </w:r>
      <w:r>
        <w:rPr>
          <w:rFonts w:hint="default" w:ascii="Times New Roman" w:hAnsi="Times New Roman" w:cs="Times New Roman"/>
          <w:sz w:val="24"/>
          <w:szCs w:val="24"/>
          <w:highlight w:val="none"/>
          <w:lang w:val="en-US" w:eastAsia="zh-CN"/>
        </w:rPr>
        <w:t>平江县由于地形复杂，降水地域分布有较大差异，年降水量自西向东沿汨罗江顺流而上逐步增加。下游栗山年降水为1310</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，上游浆市为1610</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，最多年份为2020</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，相差710</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。由于受季风和副热带高气压的影响，降水量在年内也分布不均匀，呈春夏多秋冬少的规律，多年平均降雨量1550.78</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，年最大降水量2749.9</w:t>
      </w:r>
      <w:r>
        <w:rPr>
          <w:rFonts w:hint="eastAsia" w:ascii="Times New Roman" w:hAnsi="Times New Roman" w:cs="Times New Roman"/>
          <w:sz w:val="24"/>
          <w:szCs w:val="24"/>
          <w:highlight w:val="none"/>
          <w:lang w:val="en-US" w:eastAsia="zh-CN"/>
        </w:rPr>
        <w:t>mm</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最小降雨量992.8</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；春秋雨季降雨量905.65</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，占年降雨量的58.4%，年均蒸发量为741.5</w:t>
      </w:r>
      <w:r>
        <w:rPr>
          <w:rFonts w:hint="eastAsia" w:ascii="Times New Roman" w:hAnsi="Times New Roman" w:cs="Times New Roman"/>
          <w:sz w:val="24"/>
          <w:szCs w:val="24"/>
          <w:highlight w:val="none"/>
          <w:lang w:val="en-US" w:eastAsia="zh-CN"/>
        </w:rPr>
        <w:t>mm</w:t>
      </w:r>
      <w:r>
        <w:rPr>
          <w:rFonts w:hint="default" w:ascii="Times New Roman" w:hAnsi="Times New Roman" w:cs="Times New Roman"/>
          <w:sz w:val="24"/>
          <w:szCs w:val="24"/>
          <w:highlight w:val="none"/>
          <w:lang w:val="en-US" w:eastAsia="zh-CN"/>
        </w:rPr>
        <w:t>，相对湿度为82%，最小相对湿度为9%。多年平均降水日为160天，降水年际变化大</w:t>
      </w:r>
      <w:r>
        <w:rPr>
          <w:rFonts w:hint="eastAsia" w:cs="Times New Roman"/>
          <w:sz w:val="24"/>
          <w:szCs w:val="24"/>
          <w:highlight w:val="none"/>
          <w:lang w:val="en-US" w:eastAsia="zh-CN"/>
        </w:rPr>
        <w:t>。</w:t>
      </w:r>
    </w:p>
    <w:p w14:paraId="37EB1CAB">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bookmarkStart w:id="384" w:name="_Toc23535"/>
      <w:bookmarkStart w:id="385" w:name="_Toc30516"/>
      <w:bookmarkStart w:id="386" w:name="_Toc15491"/>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.1.3地</w:t>
      </w:r>
      <w:r>
        <w:rPr>
          <w:rFonts w:hint="eastAsia" w:ascii="Times New Roman" w:hAnsi="Times New Roman" w:cs="Times New Roman"/>
          <w:color w:val="auto"/>
          <w:sz w:val="28"/>
          <w:szCs w:val="28"/>
          <w:highlight w:val="none"/>
          <w:u w:val="none" w:color="auto"/>
          <w:lang w:val="en-US" w:eastAsia="zh-CN"/>
        </w:rPr>
        <w:t>形</w:t>
      </w:r>
      <w:r>
        <w:rPr>
          <w:rFonts w:hint="default" w:ascii="Times New Roman" w:hAnsi="Times New Roman" w:cs="Times New Roman"/>
          <w:color w:val="auto"/>
          <w:sz w:val="28"/>
          <w:szCs w:val="28"/>
          <w:highlight w:val="none"/>
          <w:u w:val="none" w:color="auto"/>
        </w:rPr>
        <w:t>、地貌</w:t>
      </w:r>
      <w:r>
        <w:rPr>
          <w:rFonts w:hint="eastAsia" w:ascii="Times New Roman" w:hAnsi="Times New Roman" w:cs="Times New Roman"/>
          <w:color w:val="auto"/>
          <w:sz w:val="28"/>
          <w:szCs w:val="28"/>
          <w:highlight w:val="none"/>
          <w:u w:val="none" w:color="auto"/>
          <w:lang w:eastAsia="zh-CN"/>
        </w:rPr>
        <w:t>、</w:t>
      </w:r>
      <w:r>
        <w:rPr>
          <w:rFonts w:hint="eastAsia" w:ascii="Times New Roman" w:hAnsi="Times New Roman" w:cs="Times New Roman"/>
          <w:color w:val="auto"/>
          <w:sz w:val="28"/>
          <w:szCs w:val="28"/>
          <w:highlight w:val="none"/>
          <w:u w:val="none" w:color="auto"/>
          <w:lang w:val="en-US" w:eastAsia="zh-CN"/>
        </w:rPr>
        <w:t>地质</w:t>
      </w:r>
      <w:bookmarkEnd w:id="384"/>
      <w:bookmarkEnd w:id="385"/>
      <w:bookmarkEnd w:id="386"/>
    </w:p>
    <w:p w14:paraId="416A87BA">
      <w:pPr>
        <w:rPr>
          <w:rFonts w:hint="eastAsia"/>
          <w:sz w:val="24"/>
          <w:szCs w:val="24"/>
          <w:highlight w:val="yellow"/>
          <w:lang w:val="en-US" w:eastAsia="zh-CN"/>
        </w:rPr>
      </w:pPr>
      <w:r>
        <w:rPr>
          <w:rFonts w:hint="eastAsia"/>
          <w:sz w:val="24"/>
          <w:szCs w:val="24"/>
          <w:highlight w:val="none"/>
          <w:lang w:val="en-US" w:eastAsia="zh-CN"/>
        </w:rPr>
        <w:t>平江县地貌类型多样，山地、丘陵、岗地、平原俱全。其中山地1164.28km</w:t>
      </w:r>
      <w:r>
        <w:rPr>
          <w:rFonts w:hint="eastAsia"/>
          <w:sz w:val="24"/>
          <w:szCs w:val="24"/>
          <w:highlight w:val="none"/>
          <w:vertAlign w:val="superscript"/>
          <w:lang w:val="en-US" w:eastAsia="zh-CN"/>
        </w:rPr>
        <w:t>2</w:t>
      </w:r>
      <w:r>
        <w:rPr>
          <w:rFonts w:hint="eastAsia"/>
          <w:sz w:val="24"/>
          <w:szCs w:val="24"/>
          <w:highlight w:val="none"/>
          <w:lang w:val="en-US" w:eastAsia="zh-CN"/>
        </w:rPr>
        <w:t>，占总面积的46.62%；丘陵385.05km</w:t>
      </w:r>
      <w:r>
        <w:rPr>
          <w:rFonts w:hint="eastAsia"/>
          <w:sz w:val="24"/>
          <w:szCs w:val="24"/>
          <w:highlight w:val="none"/>
          <w:vertAlign w:val="superscript"/>
          <w:lang w:val="en-US" w:eastAsia="zh-CN"/>
        </w:rPr>
        <w:t>2</w:t>
      </w:r>
      <w:r>
        <w:rPr>
          <w:rFonts w:hint="eastAsia"/>
          <w:sz w:val="24"/>
          <w:szCs w:val="24"/>
          <w:highlight w:val="none"/>
          <w:lang w:val="en-US" w:eastAsia="zh-CN"/>
        </w:rPr>
        <w:t>，占总面积的15.42%；岗地390.01km</w:t>
      </w:r>
      <w:r>
        <w:rPr>
          <w:rFonts w:hint="eastAsia"/>
          <w:sz w:val="24"/>
          <w:szCs w:val="24"/>
          <w:highlight w:val="none"/>
          <w:vertAlign w:val="superscript"/>
          <w:lang w:val="en-US" w:eastAsia="zh-CN"/>
        </w:rPr>
        <w:t>2</w:t>
      </w:r>
      <w:r>
        <w:rPr>
          <w:rFonts w:hint="eastAsia"/>
          <w:sz w:val="24"/>
          <w:szCs w:val="24"/>
          <w:highlight w:val="none"/>
          <w:lang w:val="en-US" w:eastAsia="zh-CN"/>
        </w:rPr>
        <w:t>，占15.625%；平原498.59km</w:t>
      </w:r>
      <w:r>
        <w:rPr>
          <w:rFonts w:hint="eastAsia"/>
          <w:sz w:val="24"/>
          <w:szCs w:val="24"/>
          <w:highlight w:val="none"/>
          <w:vertAlign w:val="superscript"/>
          <w:lang w:val="en-US" w:eastAsia="zh-CN"/>
        </w:rPr>
        <w:t>2</w:t>
      </w:r>
      <w:r>
        <w:rPr>
          <w:rFonts w:hint="eastAsia"/>
          <w:sz w:val="24"/>
          <w:szCs w:val="24"/>
          <w:highlight w:val="none"/>
          <w:lang w:val="en-US" w:eastAsia="zh-CN"/>
        </w:rPr>
        <w:t>，占总用地面积的19.975%；水面59.10km</w:t>
      </w:r>
      <w:r>
        <w:rPr>
          <w:rFonts w:hint="eastAsia"/>
          <w:sz w:val="24"/>
          <w:szCs w:val="24"/>
          <w:highlight w:val="none"/>
          <w:vertAlign w:val="superscript"/>
          <w:lang w:val="en-US" w:eastAsia="zh-CN"/>
        </w:rPr>
        <w:t>2</w:t>
      </w:r>
      <w:r>
        <w:rPr>
          <w:rFonts w:hint="eastAsia"/>
          <w:sz w:val="24"/>
          <w:szCs w:val="24"/>
          <w:highlight w:val="none"/>
          <w:lang w:val="en-US" w:eastAsia="zh-CN"/>
        </w:rPr>
        <w:t>，占2.36%。县境地势起伏大，海拔相对高差大。全县有海拔300m以上的山峰1498座，海拔高度1000~1500m的150座，最高的连云山海拔为1600.3m。</w:t>
      </w:r>
    </w:p>
    <w:p w14:paraId="3E98D5F2">
      <w:pPr>
        <w:bidi w:val="0"/>
        <w:rPr>
          <w:rFonts w:hint="default"/>
          <w:color w:val="auto"/>
          <w:sz w:val="24"/>
          <w:szCs w:val="24"/>
          <w:u w:val="none" w:color="auto"/>
        </w:rPr>
      </w:pPr>
      <w:r>
        <w:rPr>
          <w:rFonts w:hint="eastAsia"/>
          <w:sz w:val="24"/>
          <w:szCs w:val="24"/>
          <w:highlight w:val="none"/>
          <w:lang w:val="en-US" w:eastAsia="zh-CN"/>
        </w:rPr>
        <w:t>根据《中国地震动参数区划图》（GB18306-2015），拟建项目所在区域地震动峰值加速度</w:t>
      </w:r>
      <w:r>
        <w:rPr>
          <w:rFonts w:hint="default" w:ascii="Times New Roman" w:hAnsi="Times New Roman" w:cs="Times New Roman"/>
          <w:sz w:val="24"/>
          <w:szCs w:val="24"/>
          <w:highlight w:val="none"/>
          <w:lang w:val="en-US" w:eastAsia="zh-CN"/>
        </w:rPr>
        <w:t>˂</w:t>
      </w:r>
      <w:r>
        <w:rPr>
          <w:rFonts w:hint="eastAsia"/>
          <w:sz w:val="24"/>
          <w:szCs w:val="24"/>
          <w:highlight w:val="none"/>
          <w:lang w:val="en-US" w:eastAsia="zh-CN"/>
        </w:rPr>
        <w:t>0.05g，地震反应谱特征周期为0.35s，地震基本烈度小于</w:t>
      </w:r>
      <w:r>
        <w:rPr>
          <w:rFonts w:hint="default" w:ascii="Times New Roman" w:hAnsi="Times New Roman" w:eastAsia="微软雅黑" w:cs="Times New Roman"/>
          <w:sz w:val="24"/>
          <w:szCs w:val="24"/>
          <w:highlight w:val="none"/>
          <w:lang w:val="en-US" w:eastAsia="zh-CN"/>
        </w:rPr>
        <w:t>Ⅵ</w:t>
      </w:r>
      <w:r>
        <w:rPr>
          <w:rFonts w:hint="eastAsia"/>
          <w:sz w:val="24"/>
          <w:szCs w:val="24"/>
          <w:highlight w:val="none"/>
          <w:lang w:val="en-US" w:eastAsia="zh-CN"/>
        </w:rPr>
        <w:t>度。</w:t>
      </w:r>
    </w:p>
    <w:p w14:paraId="12B47D66">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387" w:name="_Toc3059"/>
      <w:bookmarkStart w:id="388" w:name="_Toc30049"/>
      <w:bookmarkStart w:id="389" w:name="_Toc26498"/>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.1.4水文水系</w:t>
      </w:r>
      <w:bookmarkEnd w:id="387"/>
      <w:bookmarkEnd w:id="388"/>
      <w:bookmarkEnd w:id="389"/>
    </w:p>
    <w:p w14:paraId="10379793">
      <w:pPr>
        <w:rPr>
          <w:rFonts w:hint="default" w:ascii="Times New Roman" w:hAnsi="Times New Roman" w:cs="Times New Roman"/>
          <w:b/>
          <w:bCs/>
          <w:sz w:val="24"/>
          <w:szCs w:val="24"/>
          <w:highlight w:val="none"/>
          <w:u w:val="none" w:color="auto"/>
          <w:lang w:val="en-US" w:eastAsia="zh-CN"/>
        </w:rPr>
      </w:pPr>
      <w:r>
        <w:rPr>
          <w:rFonts w:hint="eastAsia" w:cs="Times New Roman"/>
          <w:b/>
          <w:bCs/>
          <w:sz w:val="24"/>
          <w:szCs w:val="24"/>
          <w:highlight w:val="none"/>
          <w:u w:val="none" w:color="auto"/>
          <w:lang w:val="en-US" w:eastAsia="zh-CN"/>
        </w:rPr>
        <w:t>（1）地表水</w:t>
      </w:r>
    </w:p>
    <w:p w14:paraId="33888B9E">
      <w:pPr>
        <w:rPr>
          <w:rFonts w:hint="default" w:ascii="Times New Roman" w:hAnsi="Times New Roman" w:cs="Times New Roman"/>
          <w:sz w:val="24"/>
          <w:szCs w:val="24"/>
          <w:highlight w:val="none"/>
          <w:u w:val="none" w:color="auto"/>
          <w:lang w:val="en-US" w:eastAsia="zh-CN"/>
        </w:rPr>
      </w:pPr>
      <w:r>
        <w:rPr>
          <w:rFonts w:hint="default" w:ascii="Times New Roman" w:hAnsi="Times New Roman" w:cs="Times New Roman"/>
          <w:sz w:val="24"/>
          <w:szCs w:val="24"/>
          <w:highlight w:val="none"/>
          <w:u w:val="none" w:color="auto"/>
          <w:lang w:val="en-US" w:eastAsia="zh-CN"/>
        </w:rPr>
        <w:t>平江县境内河网密布，分属汨罗江和新墙河两大水系。汨罗江流域面积占96.1%；新墙河流面积占3.9%。</w:t>
      </w:r>
      <w:r>
        <w:rPr>
          <w:rFonts w:hint="eastAsia" w:cs="Times New Roman"/>
          <w:sz w:val="24"/>
          <w:szCs w:val="24"/>
          <w:highlight w:val="none"/>
          <w:u w:val="none" w:color="auto"/>
          <w:lang w:val="en-US" w:eastAsia="zh-CN"/>
        </w:rPr>
        <w:t>汨罗江</w:t>
      </w:r>
      <w:r>
        <w:rPr>
          <w:rFonts w:hint="default" w:ascii="Times New Roman" w:hAnsi="Times New Roman" w:cs="Times New Roman"/>
          <w:sz w:val="24"/>
          <w:szCs w:val="24"/>
          <w:highlight w:val="none"/>
          <w:u w:val="none" w:color="auto"/>
          <w:lang w:val="en-US" w:eastAsia="zh-CN"/>
        </w:rPr>
        <w:t>自东向西贯穿全境，境内全长192.9</w:t>
      </w:r>
      <w:r>
        <w:rPr>
          <w:rFonts w:hint="eastAsia" w:ascii="Times New Roman" w:hAnsi="Times New Roman" w:cs="Times New Roman"/>
          <w:sz w:val="24"/>
          <w:szCs w:val="24"/>
          <w:highlight w:val="none"/>
          <w:u w:val="none" w:color="auto"/>
          <w:lang w:val="en-US" w:eastAsia="zh-CN"/>
        </w:rPr>
        <w:t>km</w:t>
      </w:r>
      <w:r>
        <w:rPr>
          <w:rFonts w:hint="default" w:ascii="Times New Roman" w:hAnsi="Times New Roman" w:cs="Times New Roman"/>
          <w:sz w:val="24"/>
          <w:szCs w:val="24"/>
          <w:highlight w:val="none"/>
          <w:u w:val="none" w:color="auto"/>
          <w:lang w:val="en-US" w:eastAsia="zh-CN"/>
        </w:rPr>
        <w:t>，有大小支流141条，总长2656.9</w:t>
      </w:r>
      <w:r>
        <w:rPr>
          <w:rFonts w:hint="eastAsia" w:ascii="Times New Roman" w:hAnsi="Times New Roman" w:cs="Times New Roman"/>
          <w:sz w:val="24"/>
          <w:szCs w:val="24"/>
          <w:highlight w:val="none"/>
          <w:u w:val="none" w:color="auto"/>
          <w:lang w:val="en-US" w:eastAsia="zh-CN"/>
        </w:rPr>
        <w:t>km</w:t>
      </w:r>
      <w:r>
        <w:rPr>
          <w:rFonts w:hint="default" w:ascii="Times New Roman" w:hAnsi="Times New Roman" w:cs="Times New Roman"/>
          <w:sz w:val="24"/>
          <w:szCs w:val="24"/>
          <w:highlight w:val="none"/>
          <w:u w:val="none" w:color="auto"/>
          <w:lang w:val="en-US" w:eastAsia="zh-CN"/>
        </w:rPr>
        <w:t>，河网密度0.64</w:t>
      </w:r>
      <w:r>
        <w:rPr>
          <w:rFonts w:hint="eastAsia" w:ascii="Times New Roman" w:hAnsi="Times New Roman" w:cs="Times New Roman"/>
          <w:sz w:val="24"/>
          <w:szCs w:val="24"/>
          <w:highlight w:val="none"/>
          <w:u w:val="none" w:color="auto"/>
          <w:lang w:val="en-US" w:eastAsia="zh-CN"/>
        </w:rPr>
        <w:t>km</w:t>
      </w:r>
      <w:r>
        <w:rPr>
          <w:rFonts w:hint="default" w:ascii="Times New Roman" w:hAnsi="Times New Roman" w:cs="Times New Roman"/>
          <w:sz w:val="24"/>
          <w:szCs w:val="24"/>
          <w:highlight w:val="none"/>
          <w:u w:val="none" w:color="auto"/>
          <w:lang w:val="en-US" w:eastAsia="zh-CN"/>
        </w:rPr>
        <w:t>/</w:t>
      </w:r>
      <w:r>
        <w:rPr>
          <w:rFonts w:hint="eastAsia" w:ascii="Times New Roman" w:hAnsi="Times New Roman" w:cs="Times New Roman"/>
          <w:sz w:val="24"/>
          <w:szCs w:val="24"/>
          <w:highlight w:val="none"/>
          <w:u w:val="none" w:color="auto"/>
          <w:lang w:val="en-US" w:eastAsia="zh-CN"/>
        </w:rPr>
        <w:t>km</w:t>
      </w:r>
      <w:r>
        <w:rPr>
          <w:rFonts w:hint="eastAsia" w:ascii="Times New Roman" w:hAnsi="Times New Roman" w:cs="Times New Roman"/>
          <w:sz w:val="24"/>
          <w:szCs w:val="24"/>
          <w:highlight w:val="none"/>
          <w:u w:val="none" w:color="auto"/>
          <w:vertAlign w:val="superscript"/>
          <w:lang w:val="en-US" w:eastAsia="zh-CN"/>
        </w:rPr>
        <w:t>2</w:t>
      </w:r>
      <w:r>
        <w:rPr>
          <w:rFonts w:hint="default" w:ascii="Times New Roman" w:hAnsi="Times New Roman" w:cs="Times New Roman"/>
          <w:sz w:val="24"/>
          <w:szCs w:val="24"/>
          <w:highlight w:val="none"/>
          <w:u w:val="none" w:color="auto"/>
          <w:lang w:val="en-US" w:eastAsia="zh-CN"/>
        </w:rPr>
        <w:t>。径流总量32.56亿</w:t>
      </w:r>
      <w:r>
        <w:rPr>
          <w:rFonts w:hint="eastAsia" w:ascii="Times New Roman" w:hAnsi="Times New Roman" w:cs="Times New Roman"/>
          <w:sz w:val="24"/>
          <w:szCs w:val="24"/>
          <w:highlight w:val="none"/>
          <w:u w:val="none" w:color="auto"/>
          <w:lang w:val="en-US" w:eastAsia="zh-CN"/>
        </w:rPr>
        <w:t>m</w:t>
      </w:r>
      <w:r>
        <w:rPr>
          <w:rFonts w:hint="eastAsia"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w:t>
      </w:r>
    </w:p>
    <w:p w14:paraId="44A4AC03">
      <w:pPr>
        <w:rPr>
          <w:rFonts w:hint="eastAsia"/>
          <w:sz w:val="24"/>
          <w:szCs w:val="24"/>
          <w:highlight w:val="yellow"/>
          <w:u w:val="none" w:color="auto"/>
          <w:lang w:val="en-US" w:eastAsia="zh-CN"/>
        </w:rPr>
      </w:pPr>
      <w:r>
        <w:rPr>
          <w:rFonts w:hint="default" w:ascii="Times New Roman" w:hAnsi="Times New Roman" w:cs="Times New Roman"/>
          <w:sz w:val="24"/>
          <w:szCs w:val="24"/>
          <w:highlight w:val="none"/>
          <w:u w:val="none" w:color="auto"/>
          <w:lang w:val="en-US" w:eastAsia="zh-CN"/>
        </w:rPr>
        <w:t>汨罗江发源于黄龙山梨树埚（江西修水县境）。经修水白石桥至龙门进入县境，自东向西贯穿全县，由新市街入汨罗市。境内全长192.9</w:t>
      </w:r>
      <w:r>
        <w:rPr>
          <w:rFonts w:hint="eastAsia" w:ascii="Times New Roman" w:hAnsi="Times New Roman" w:cs="Times New Roman"/>
          <w:sz w:val="24"/>
          <w:szCs w:val="24"/>
          <w:highlight w:val="none"/>
          <w:u w:val="none" w:color="auto"/>
          <w:lang w:val="en-US" w:eastAsia="zh-CN"/>
        </w:rPr>
        <w:t>km</w:t>
      </w:r>
      <w:r>
        <w:rPr>
          <w:rFonts w:hint="default" w:ascii="Times New Roman" w:hAnsi="Times New Roman" w:cs="Times New Roman"/>
          <w:sz w:val="24"/>
          <w:szCs w:val="24"/>
          <w:highlight w:val="none"/>
          <w:u w:val="none" w:color="auto"/>
          <w:lang w:val="en-US" w:eastAsia="zh-CN"/>
        </w:rPr>
        <w:t>，流经金龙、长寿、嘉义、安定、三阳、城关、瓮江、谈岑、栗山等9个区（镇）、22个乡、122个村。流域面积4053.3</w:t>
      </w:r>
      <w:r>
        <w:rPr>
          <w:rFonts w:hint="eastAsia" w:ascii="Times New Roman" w:hAnsi="Times New Roman" w:cs="Times New Roman"/>
          <w:sz w:val="24"/>
          <w:szCs w:val="24"/>
          <w:highlight w:val="none"/>
          <w:u w:val="none" w:color="auto"/>
          <w:lang w:val="en-US" w:eastAsia="zh-CN"/>
        </w:rPr>
        <w:t>km</w:t>
      </w:r>
      <w:r>
        <w:rPr>
          <w:rFonts w:hint="eastAsia" w:ascii="Times New Roman" w:hAnsi="Times New Roman" w:cs="Times New Roman"/>
          <w:sz w:val="24"/>
          <w:szCs w:val="24"/>
          <w:highlight w:val="none"/>
          <w:u w:val="none" w:color="auto"/>
          <w:vertAlign w:val="superscript"/>
          <w:lang w:val="en-US" w:eastAsia="zh-CN"/>
        </w:rPr>
        <w:t>2</w:t>
      </w:r>
      <w:r>
        <w:rPr>
          <w:rFonts w:hint="default" w:ascii="Times New Roman" w:hAnsi="Times New Roman" w:cs="Times New Roman"/>
          <w:sz w:val="24"/>
          <w:szCs w:val="24"/>
          <w:highlight w:val="none"/>
          <w:u w:val="none" w:color="auto"/>
          <w:lang w:val="en-US" w:eastAsia="zh-CN"/>
        </w:rPr>
        <w:t>，落差107.5</w:t>
      </w:r>
      <w:r>
        <w:rPr>
          <w:rFonts w:hint="eastAsia" w:ascii="Times New Roman" w:hAnsi="Times New Roman" w:cs="Times New Roman"/>
          <w:sz w:val="24"/>
          <w:szCs w:val="24"/>
          <w:highlight w:val="none"/>
          <w:u w:val="none" w:color="auto"/>
          <w:lang w:val="en-US" w:eastAsia="zh-CN"/>
        </w:rPr>
        <w:t>m</w:t>
      </w:r>
      <w:r>
        <w:rPr>
          <w:rFonts w:hint="default" w:ascii="Times New Roman" w:hAnsi="Times New Roman" w:cs="Times New Roman"/>
          <w:sz w:val="24"/>
          <w:szCs w:val="24"/>
          <w:highlight w:val="none"/>
          <w:u w:val="none" w:color="auto"/>
          <w:lang w:val="en-US" w:eastAsia="zh-CN"/>
        </w:rPr>
        <w:t>。汨罗江流域降水量充沛，雨量多发在4</w:t>
      </w:r>
      <w:r>
        <w:rPr>
          <w:rFonts w:hint="eastAsia" w:ascii="Times New Roman" w:hAnsi="Times New Roman" w:cs="Times New Roman"/>
          <w:sz w:val="24"/>
          <w:szCs w:val="24"/>
          <w:highlight w:val="none"/>
          <w:u w:val="none" w:color="auto"/>
          <w:lang w:val="en-US" w:eastAsia="zh-CN"/>
        </w:rPr>
        <w:t>~</w:t>
      </w:r>
      <w:r>
        <w:rPr>
          <w:rFonts w:hint="default" w:ascii="Times New Roman" w:hAnsi="Times New Roman" w:cs="Times New Roman"/>
          <w:sz w:val="24"/>
          <w:szCs w:val="24"/>
          <w:highlight w:val="none"/>
          <w:u w:val="none" w:color="auto"/>
          <w:lang w:val="en-US" w:eastAsia="zh-CN"/>
        </w:rPr>
        <w:t>8月，河水受降水影响明显。根据当地黄旗水文站资料，该河流域历史最高水位为47.69m，最低水位为31.5m，河流断面流量825m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/s，平均流速0.95m/s，水面宽230</w:t>
      </w:r>
      <w:r>
        <w:rPr>
          <w:rFonts w:hint="eastAsia" w:ascii="Times New Roman" w:hAnsi="Times New Roman" w:cs="Times New Roman"/>
          <w:sz w:val="24"/>
          <w:szCs w:val="24"/>
          <w:highlight w:val="none"/>
          <w:u w:val="none" w:color="auto"/>
          <w:lang w:val="en-US" w:eastAsia="zh-CN"/>
        </w:rPr>
        <w:t>m</w:t>
      </w:r>
      <w:r>
        <w:rPr>
          <w:rFonts w:hint="default" w:ascii="Times New Roman" w:hAnsi="Times New Roman" w:cs="Times New Roman"/>
          <w:sz w:val="24"/>
          <w:szCs w:val="24"/>
          <w:highlight w:val="none"/>
          <w:u w:val="none" w:color="auto"/>
          <w:lang w:val="en-US" w:eastAsia="zh-CN"/>
        </w:rPr>
        <w:t>，平均水深3.9m，最大水深5.7m，历史未发生特大水灾及断流。干流多年平均径流量为43.04亿</w:t>
      </w:r>
      <w:r>
        <w:rPr>
          <w:rFonts w:hint="eastAsia" w:ascii="Times New Roman" w:hAnsi="Times New Roman" w:cs="Times New Roman"/>
          <w:sz w:val="24"/>
          <w:szCs w:val="24"/>
          <w:highlight w:val="none"/>
          <w:u w:val="none" w:color="auto"/>
          <w:lang w:val="en-US" w:eastAsia="zh-CN"/>
        </w:rPr>
        <w:t>m</w:t>
      </w:r>
      <w:r>
        <w:rPr>
          <w:rFonts w:hint="eastAsia"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，汛期为5</w:t>
      </w:r>
      <w:r>
        <w:rPr>
          <w:rFonts w:hint="eastAsia" w:ascii="Times New Roman" w:hAnsi="Times New Roman" w:cs="Times New Roman"/>
          <w:sz w:val="24"/>
          <w:szCs w:val="24"/>
          <w:highlight w:val="none"/>
          <w:u w:val="none" w:color="auto"/>
          <w:lang w:val="en-US" w:eastAsia="zh-CN"/>
        </w:rPr>
        <w:t>~</w:t>
      </w:r>
      <w:r>
        <w:rPr>
          <w:rFonts w:hint="default" w:ascii="Times New Roman" w:hAnsi="Times New Roman" w:cs="Times New Roman"/>
          <w:sz w:val="24"/>
          <w:szCs w:val="24"/>
          <w:highlight w:val="none"/>
          <w:u w:val="none" w:color="auto"/>
          <w:lang w:val="en-US" w:eastAsia="zh-CN"/>
        </w:rPr>
        <w:t>8月，径流量占全年总量46.2%，保证率95%的枯水年径流量为5.33亿</w:t>
      </w:r>
      <w:r>
        <w:rPr>
          <w:rFonts w:hint="eastAsia" w:ascii="Times New Roman" w:hAnsi="Times New Roman" w:cs="Times New Roman"/>
          <w:sz w:val="24"/>
          <w:szCs w:val="24"/>
          <w:highlight w:val="none"/>
          <w:u w:val="none" w:color="auto"/>
          <w:lang w:val="en-US" w:eastAsia="zh-CN"/>
        </w:rPr>
        <w:t>m</w:t>
      </w:r>
      <w:r>
        <w:rPr>
          <w:rFonts w:hint="eastAsia"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，多年平均流量129m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/s，多年最大月平均流量231m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/s（5月），最小月平均流量26.2m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/s（1月、12月）。</w:t>
      </w:r>
    </w:p>
    <w:p w14:paraId="4F0427FE">
      <w:pPr>
        <w:rPr>
          <w:rFonts w:hint="eastAsia"/>
          <w:sz w:val="24"/>
          <w:szCs w:val="24"/>
          <w:highlight w:val="none"/>
          <w:u w:val="none" w:color="auto"/>
          <w:lang w:val="en-US" w:eastAsia="zh-CN"/>
        </w:rPr>
      </w:pPr>
      <w:r>
        <w:rPr>
          <w:rFonts w:hint="eastAsia"/>
          <w:sz w:val="24"/>
          <w:szCs w:val="24"/>
          <w:highlight w:val="none"/>
          <w:u w:val="none" w:color="auto"/>
          <w:lang w:val="en-US" w:eastAsia="zh-CN"/>
        </w:rPr>
        <w:t>项目位于平江县三阳乡，项目所在地主要的地表水系为白荆水库以及山涧小溪，山涧小溪沿地形最终汇流至汨罗江。</w:t>
      </w:r>
    </w:p>
    <w:p w14:paraId="06CFCF81">
      <w:pPr>
        <w:rPr>
          <w:rFonts w:hint="default"/>
          <w:b/>
          <w:bCs/>
          <w:sz w:val="24"/>
          <w:szCs w:val="24"/>
          <w:highlight w:val="none"/>
          <w:u w:val="none" w:color="auto"/>
          <w:lang w:val="en-US" w:eastAsia="zh-CN"/>
        </w:rPr>
      </w:pPr>
      <w:r>
        <w:rPr>
          <w:rFonts w:hint="eastAsia"/>
          <w:b/>
          <w:bCs/>
          <w:sz w:val="24"/>
          <w:szCs w:val="24"/>
          <w:highlight w:val="none"/>
          <w:u w:val="none" w:color="auto"/>
          <w:lang w:val="en-US" w:eastAsia="zh-CN"/>
        </w:rPr>
        <w:t>（2）地下水</w:t>
      </w:r>
    </w:p>
    <w:p w14:paraId="5A032831">
      <w:pPr>
        <w:rPr>
          <w:rFonts w:hint="eastAsia"/>
          <w:sz w:val="24"/>
          <w:szCs w:val="24"/>
          <w:highlight w:val="none"/>
          <w:u w:val="none" w:color="auto"/>
          <w:lang w:val="en-US" w:eastAsia="zh-CN"/>
        </w:rPr>
      </w:pPr>
      <w:r>
        <w:rPr>
          <w:rFonts w:hint="eastAsia"/>
          <w:sz w:val="24"/>
          <w:szCs w:val="24"/>
          <w:highlight w:val="none"/>
          <w:u w:val="none" w:color="auto"/>
          <w:lang w:val="en-US" w:eastAsia="zh-CN"/>
        </w:rPr>
        <w:t>项目区域位于湘东北断褶山地丘陵水文地质系统内，含水层以裂隙水为主，局部发育岩溶水‌。主要含水层为古生代碳酸盐岩（如石炭系、二叠系）和碎屑岩（如板溪群浅变质岩），其中碳酸盐岩区岩溶发育，形成管状地下河系统，单条地下河长度可达数十公里，最大流量超过7000L/s‌。碎屑岩区则以网状裂隙水为主，富水性受构造控制明显。</w:t>
      </w:r>
    </w:p>
    <w:p w14:paraId="0167C4E3">
      <w:pPr>
        <w:rPr>
          <w:rFonts w:hint="eastAsia"/>
          <w:sz w:val="24"/>
          <w:szCs w:val="24"/>
          <w:highlight w:val="none"/>
          <w:u w:val="none" w:color="auto"/>
          <w:lang w:val="en-US" w:eastAsia="zh-CN"/>
        </w:rPr>
      </w:pPr>
      <w:r>
        <w:rPr>
          <w:rFonts w:hint="eastAsia"/>
          <w:sz w:val="24"/>
          <w:szCs w:val="24"/>
          <w:highlight w:val="none"/>
          <w:u w:val="none" w:color="auto"/>
          <w:lang w:val="en-US" w:eastAsia="zh-CN"/>
        </w:rPr>
        <w:t>‌补给‌：降水通过岩溶洼地、落水洞等垂直渗入，年均补给量受地形坡度影响显著，山区补给强度高于丘陵区‌。</w:t>
      </w:r>
    </w:p>
    <w:p w14:paraId="4BE18CE8">
      <w:pPr>
        <w:rPr>
          <w:rFonts w:hint="eastAsia"/>
          <w:sz w:val="24"/>
          <w:szCs w:val="24"/>
          <w:highlight w:val="none"/>
          <w:u w:val="none" w:color="auto"/>
          <w:lang w:val="en-US" w:eastAsia="zh-CN"/>
        </w:rPr>
      </w:pPr>
      <w:r>
        <w:rPr>
          <w:rFonts w:hint="eastAsia"/>
          <w:sz w:val="24"/>
          <w:szCs w:val="24"/>
          <w:highlight w:val="none"/>
          <w:u w:val="none" w:color="auto"/>
          <w:lang w:val="en-US" w:eastAsia="zh-CN"/>
        </w:rPr>
        <w:t>‌径流‌：地下水沿北东向断裂带运移，岩溶水以树枝状或管状径流为主，非岩溶区则沿裂隙网络缓慢径流‌。</w:t>
      </w:r>
    </w:p>
    <w:p w14:paraId="37908B7E">
      <w:pPr>
        <w:rPr>
          <w:rFonts w:hint="eastAsia"/>
          <w:sz w:val="24"/>
          <w:szCs w:val="24"/>
          <w:highlight w:val="none"/>
          <w:u w:val="none" w:color="auto"/>
          <w:lang w:val="en-US" w:eastAsia="zh-CN"/>
        </w:rPr>
      </w:pPr>
      <w:r>
        <w:rPr>
          <w:rFonts w:hint="eastAsia"/>
          <w:sz w:val="24"/>
          <w:szCs w:val="24"/>
          <w:highlight w:val="none"/>
          <w:u w:val="none" w:color="auto"/>
          <w:lang w:val="en-US" w:eastAsia="zh-CN"/>
        </w:rPr>
        <w:t>‌排泄‌：以泉群和地下河出口形式集中排泄，部分通过侧向径流进入湘江支流‌</w:t>
      </w:r>
    </w:p>
    <w:p w14:paraId="59B31E53">
      <w:pPr>
        <w:pStyle w:val="4"/>
        <w:keepNext w:val="0"/>
        <w:keepLines w:val="0"/>
        <w:numPr>
          <w:ilvl w:val="0"/>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390" w:name="_Toc24697"/>
      <w:bookmarkStart w:id="391" w:name="_Toc32264"/>
      <w:bookmarkStart w:id="392" w:name="_Toc20430"/>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.1.</w:t>
      </w:r>
      <w:r>
        <w:rPr>
          <w:rFonts w:hint="eastAsia" w:ascii="Times New Roman" w:hAnsi="Times New Roman" w:cs="Times New Roman"/>
          <w:color w:val="auto"/>
          <w:sz w:val="28"/>
          <w:szCs w:val="28"/>
          <w:highlight w:val="none"/>
          <w:u w:val="none" w:color="auto"/>
          <w:lang w:val="en-US" w:eastAsia="zh-CN"/>
        </w:rPr>
        <w:t>5</w:t>
      </w:r>
      <w:r>
        <w:rPr>
          <w:rFonts w:hint="default" w:ascii="Times New Roman" w:hAnsi="Times New Roman" w:cs="Times New Roman"/>
          <w:color w:val="auto"/>
          <w:sz w:val="28"/>
          <w:szCs w:val="28"/>
          <w:highlight w:val="none"/>
          <w:u w:val="none" w:color="auto"/>
        </w:rPr>
        <w:t>生态环境</w:t>
      </w:r>
      <w:bookmarkEnd w:id="390"/>
      <w:bookmarkEnd w:id="391"/>
      <w:bookmarkEnd w:id="392"/>
    </w:p>
    <w:p w14:paraId="121D16E8">
      <w:pPr>
        <w:rPr>
          <w:rFonts w:hint="default"/>
          <w:sz w:val="24"/>
          <w:szCs w:val="24"/>
          <w:highlight w:val="none"/>
          <w:lang w:val="en-US" w:eastAsia="zh-CN"/>
        </w:rPr>
      </w:pPr>
      <w:r>
        <w:rPr>
          <w:rFonts w:hint="eastAsia"/>
          <w:sz w:val="24"/>
          <w:szCs w:val="24"/>
          <w:highlight w:val="none"/>
          <w:lang w:val="en-US" w:eastAsia="zh-CN"/>
        </w:rPr>
        <w:t>1、土地利用现状</w:t>
      </w:r>
    </w:p>
    <w:p w14:paraId="0CCDAFBC">
      <w:pPr>
        <w:rPr>
          <w:rFonts w:hint="eastAsia"/>
          <w:sz w:val="24"/>
          <w:szCs w:val="24"/>
          <w:highlight w:val="none"/>
          <w:lang w:val="en-US" w:eastAsia="zh-CN"/>
        </w:rPr>
      </w:pPr>
      <w:r>
        <w:rPr>
          <w:rFonts w:hint="eastAsia"/>
          <w:sz w:val="24"/>
          <w:szCs w:val="24"/>
          <w:highlight w:val="none"/>
          <w:lang w:val="en-US" w:eastAsia="zh-CN"/>
        </w:rPr>
        <w:t>根据现场调查，本项目土地利用现状详见下表。</w:t>
      </w:r>
    </w:p>
    <w:p w14:paraId="798E0CC8">
      <w:pPr>
        <w:bidi w:val="0"/>
        <w:spacing w:line="240" w:lineRule="auto"/>
        <w:ind w:left="0" w:leftChars="0" w:firstLine="0" w:firstLineChars="0"/>
        <w:jc w:val="center"/>
        <w:rPr>
          <w:rFonts w:hint="default" w:ascii="Times New Roman" w:hAnsi="Times New Roman" w:cs="Times New Roman"/>
          <w:b/>
          <w:bCs/>
          <w:sz w:val="21"/>
          <w:szCs w:val="21"/>
          <w:u w:val="none"/>
          <w:lang w:val="en-US" w:eastAsia="zh-CN"/>
        </w:rPr>
      </w:pPr>
      <w:r>
        <w:rPr>
          <w:rFonts w:hint="default" w:ascii="Times New Roman" w:hAnsi="Times New Roman" w:cs="Times New Roman"/>
          <w:b/>
          <w:bCs/>
          <w:sz w:val="21"/>
          <w:szCs w:val="21"/>
          <w:u w:val="none"/>
          <w:lang w:val="en-US" w:eastAsia="zh-CN"/>
        </w:rPr>
        <w:t>表</w:t>
      </w:r>
      <w:r>
        <w:rPr>
          <w:rFonts w:hint="eastAsia" w:cs="Times New Roman"/>
          <w:b/>
          <w:bCs/>
          <w:sz w:val="21"/>
          <w:szCs w:val="21"/>
          <w:u w:val="none"/>
          <w:lang w:val="en-US" w:eastAsia="zh-CN"/>
        </w:rPr>
        <w:t>4.1-1</w:t>
      </w:r>
      <w:r>
        <w:rPr>
          <w:rFonts w:hint="default" w:ascii="Times New Roman" w:hAnsi="Times New Roman" w:cs="Times New Roman"/>
          <w:b/>
          <w:bCs/>
          <w:sz w:val="21"/>
          <w:szCs w:val="21"/>
          <w:u w:val="none"/>
          <w:lang w:val="en-US" w:eastAsia="zh-CN"/>
        </w:rPr>
        <w:t xml:space="preserve">  </w:t>
      </w:r>
      <w:r>
        <w:rPr>
          <w:rFonts w:hint="eastAsia" w:cs="Times New Roman"/>
          <w:b/>
          <w:bCs/>
          <w:sz w:val="21"/>
          <w:szCs w:val="21"/>
          <w:u w:val="none"/>
          <w:lang w:val="en-US" w:eastAsia="zh-CN"/>
        </w:rPr>
        <w:t>用地利用现状</w:t>
      </w:r>
      <w:r>
        <w:rPr>
          <w:rFonts w:hint="default" w:ascii="Times New Roman" w:hAnsi="Times New Roman" w:cs="Times New Roman"/>
          <w:b/>
          <w:bCs/>
          <w:sz w:val="21"/>
          <w:szCs w:val="21"/>
          <w:u w:val="none"/>
          <w:lang w:val="en-US" w:eastAsia="zh-CN"/>
        </w:rPr>
        <w:t>一览表</w:t>
      </w:r>
    </w:p>
    <w:tbl>
      <w:tblPr>
        <w:tblStyle w:val="4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60"/>
        <w:gridCol w:w="1707"/>
        <w:gridCol w:w="1902"/>
        <w:gridCol w:w="1365"/>
        <w:gridCol w:w="2207"/>
      </w:tblGrid>
      <w:tr w14:paraId="16AEA6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3429AC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序号</w:t>
            </w:r>
          </w:p>
        </w:tc>
        <w:tc>
          <w:tcPr>
            <w:tcW w:w="786" w:type="pct"/>
            <w:tcBorders>
              <w:tl2br w:val="nil"/>
              <w:tr2bl w:val="nil"/>
            </w:tcBorders>
            <w:noWrap w:val="0"/>
            <w:vAlign w:val="center"/>
          </w:tcPr>
          <w:p w14:paraId="47FAAF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占地性质</w:t>
            </w:r>
          </w:p>
        </w:tc>
        <w:tc>
          <w:tcPr>
            <w:tcW w:w="919" w:type="pct"/>
            <w:tcBorders>
              <w:tl2br w:val="nil"/>
              <w:tr2bl w:val="nil"/>
            </w:tcBorders>
            <w:noWrap w:val="0"/>
            <w:vAlign w:val="center"/>
          </w:tcPr>
          <w:p w14:paraId="324AAF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项目组成</w:t>
            </w:r>
          </w:p>
        </w:tc>
        <w:tc>
          <w:tcPr>
            <w:tcW w:w="1023" w:type="pct"/>
            <w:tcBorders>
              <w:tl2br w:val="nil"/>
              <w:tr2bl w:val="nil"/>
            </w:tcBorders>
            <w:noWrap w:val="0"/>
            <w:vAlign w:val="center"/>
          </w:tcPr>
          <w:p w14:paraId="1FAB71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占地类型</w:t>
            </w:r>
          </w:p>
        </w:tc>
        <w:tc>
          <w:tcPr>
            <w:tcW w:w="735" w:type="pct"/>
            <w:tcBorders>
              <w:tl2br w:val="nil"/>
              <w:tr2bl w:val="nil"/>
            </w:tcBorders>
            <w:noWrap w:val="0"/>
            <w:vAlign w:val="center"/>
          </w:tcPr>
          <w:p w14:paraId="5583EA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面积（m</w:t>
            </w:r>
            <w:r>
              <w:rPr>
                <w:rFonts w:hint="eastAsia"/>
                <w:b/>
                <w:bCs/>
                <w:sz w:val="21"/>
                <w:szCs w:val="21"/>
                <w:u w:val="none"/>
                <w:vertAlign w:val="superscript"/>
                <w:lang w:val="en-US" w:eastAsia="zh-CN"/>
              </w:rPr>
              <w:t>2</w:t>
            </w:r>
            <w:r>
              <w:rPr>
                <w:rFonts w:hint="eastAsia"/>
                <w:b/>
                <w:bCs/>
                <w:sz w:val="21"/>
                <w:szCs w:val="21"/>
                <w:u w:val="none"/>
                <w:lang w:val="en-US" w:eastAsia="zh-CN"/>
              </w:rPr>
              <w:t>）</w:t>
            </w:r>
          </w:p>
        </w:tc>
        <w:tc>
          <w:tcPr>
            <w:tcW w:w="1188" w:type="pct"/>
            <w:tcBorders>
              <w:tl2br w:val="nil"/>
              <w:tr2bl w:val="nil"/>
            </w:tcBorders>
            <w:noWrap w:val="0"/>
            <w:vAlign w:val="center"/>
          </w:tcPr>
          <w:p w14:paraId="0A09E0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占项目用地比例（%）</w:t>
            </w:r>
          </w:p>
        </w:tc>
      </w:tr>
      <w:tr w14:paraId="0B4ABB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3D481C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1</w:t>
            </w:r>
          </w:p>
        </w:tc>
        <w:tc>
          <w:tcPr>
            <w:tcW w:w="786" w:type="pct"/>
            <w:vMerge w:val="restart"/>
            <w:tcBorders>
              <w:tl2br w:val="nil"/>
              <w:tr2bl w:val="nil"/>
            </w:tcBorders>
            <w:noWrap w:val="0"/>
            <w:vAlign w:val="center"/>
          </w:tcPr>
          <w:p w14:paraId="15FCE9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永久占地</w:t>
            </w:r>
          </w:p>
        </w:tc>
        <w:tc>
          <w:tcPr>
            <w:tcW w:w="919" w:type="pct"/>
            <w:vMerge w:val="restart"/>
            <w:tcBorders>
              <w:tl2br w:val="nil"/>
              <w:tr2bl w:val="nil"/>
            </w:tcBorders>
            <w:noWrap w:val="0"/>
            <w:vAlign w:val="center"/>
          </w:tcPr>
          <w:p w14:paraId="32F21B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填埋区</w:t>
            </w:r>
          </w:p>
        </w:tc>
        <w:tc>
          <w:tcPr>
            <w:tcW w:w="1023" w:type="pct"/>
            <w:tcBorders>
              <w:tl2br w:val="nil"/>
              <w:tr2bl w:val="nil"/>
            </w:tcBorders>
            <w:noWrap w:val="0"/>
            <w:vAlign w:val="center"/>
          </w:tcPr>
          <w:p w14:paraId="314832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乔木林（林地）</w:t>
            </w:r>
          </w:p>
        </w:tc>
        <w:tc>
          <w:tcPr>
            <w:tcW w:w="735" w:type="pct"/>
            <w:tcBorders>
              <w:tl2br w:val="nil"/>
              <w:tr2bl w:val="nil"/>
            </w:tcBorders>
            <w:noWrap w:val="0"/>
            <w:vAlign w:val="center"/>
          </w:tcPr>
          <w:p w14:paraId="1CCAD2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6809.22</w:t>
            </w:r>
          </w:p>
        </w:tc>
        <w:tc>
          <w:tcPr>
            <w:tcW w:w="1188" w:type="pct"/>
            <w:tcBorders>
              <w:tl2br w:val="nil"/>
              <w:tr2bl w:val="nil"/>
            </w:tcBorders>
            <w:noWrap w:val="0"/>
            <w:vAlign w:val="center"/>
          </w:tcPr>
          <w:p w14:paraId="6EE489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19.71</w:t>
            </w:r>
          </w:p>
        </w:tc>
      </w:tr>
      <w:tr w14:paraId="6F8734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0216F4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2</w:t>
            </w:r>
          </w:p>
        </w:tc>
        <w:tc>
          <w:tcPr>
            <w:tcW w:w="786" w:type="pct"/>
            <w:vMerge w:val="continue"/>
            <w:tcBorders>
              <w:tl2br w:val="nil"/>
              <w:tr2bl w:val="nil"/>
            </w:tcBorders>
            <w:noWrap w:val="0"/>
            <w:vAlign w:val="center"/>
          </w:tcPr>
          <w:p w14:paraId="3FA3DD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1B751D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48978E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highlight w:val="none"/>
                <w:u w:val="none"/>
                <w:lang w:val="en-US" w:eastAsia="zh-CN"/>
              </w:rPr>
              <w:t>其他林地</w:t>
            </w:r>
          </w:p>
        </w:tc>
        <w:tc>
          <w:tcPr>
            <w:tcW w:w="735" w:type="pct"/>
            <w:tcBorders>
              <w:tl2br w:val="nil"/>
              <w:tr2bl w:val="nil"/>
            </w:tcBorders>
            <w:noWrap w:val="0"/>
            <w:vAlign w:val="center"/>
          </w:tcPr>
          <w:p w14:paraId="60C7CB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1708.13</w:t>
            </w:r>
          </w:p>
        </w:tc>
        <w:tc>
          <w:tcPr>
            <w:tcW w:w="1188" w:type="pct"/>
            <w:tcBorders>
              <w:tl2br w:val="nil"/>
              <w:tr2bl w:val="nil"/>
            </w:tcBorders>
            <w:noWrap w:val="0"/>
            <w:vAlign w:val="center"/>
          </w:tcPr>
          <w:p w14:paraId="7CAC32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4.94</w:t>
            </w:r>
          </w:p>
        </w:tc>
      </w:tr>
      <w:tr w14:paraId="1C8292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76" w:type="pct"/>
            <w:gridSpan w:val="4"/>
            <w:tcBorders>
              <w:tl2br w:val="nil"/>
              <w:tr2bl w:val="nil"/>
            </w:tcBorders>
            <w:noWrap w:val="0"/>
            <w:vAlign w:val="center"/>
          </w:tcPr>
          <w:p w14:paraId="646D28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小计</w:t>
            </w:r>
          </w:p>
        </w:tc>
        <w:tc>
          <w:tcPr>
            <w:tcW w:w="735" w:type="pct"/>
            <w:tcBorders>
              <w:tl2br w:val="nil"/>
              <w:tr2bl w:val="nil"/>
            </w:tcBorders>
            <w:noWrap w:val="0"/>
            <w:vAlign w:val="center"/>
          </w:tcPr>
          <w:p w14:paraId="5CA99B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8517.35</w:t>
            </w:r>
          </w:p>
        </w:tc>
        <w:tc>
          <w:tcPr>
            <w:tcW w:w="1188" w:type="pct"/>
            <w:tcBorders>
              <w:tl2br w:val="nil"/>
              <w:tr2bl w:val="nil"/>
            </w:tcBorders>
            <w:noWrap w:val="0"/>
            <w:vAlign w:val="center"/>
          </w:tcPr>
          <w:p w14:paraId="180CD1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24.65</w:t>
            </w:r>
          </w:p>
        </w:tc>
      </w:tr>
      <w:tr w14:paraId="53C7BA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3287FB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3</w:t>
            </w:r>
          </w:p>
        </w:tc>
        <w:tc>
          <w:tcPr>
            <w:tcW w:w="786" w:type="pct"/>
            <w:vMerge w:val="restart"/>
            <w:tcBorders>
              <w:tl2br w:val="nil"/>
              <w:tr2bl w:val="nil"/>
            </w:tcBorders>
            <w:noWrap w:val="0"/>
            <w:vAlign w:val="center"/>
          </w:tcPr>
          <w:p w14:paraId="4E22FC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临时占地</w:t>
            </w:r>
          </w:p>
        </w:tc>
        <w:tc>
          <w:tcPr>
            <w:tcW w:w="919" w:type="pct"/>
            <w:vMerge w:val="restart"/>
            <w:tcBorders>
              <w:tl2br w:val="nil"/>
              <w:tr2bl w:val="nil"/>
            </w:tcBorders>
            <w:noWrap w:val="0"/>
            <w:vAlign w:val="center"/>
          </w:tcPr>
          <w:p w14:paraId="2D4E37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废渣区</w:t>
            </w:r>
          </w:p>
        </w:tc>
        <w:tc>
          <w:tcPr>
            <w:tcW w:w="1023" w:type="pct"/>
            <w:tcBorders>
              <w:tl2br w:val="nil"/>
              <w:tr2bl w:val="nil"/>
            </w:tcBorders>
            <w:noWrap w:val="0"/>
            <w:vAlign w:val="center"/>
          </w:tcPr>
          <w:p w14:paraId="62E5DD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乔木林（林地）</w:t>
            </w:r>
          </w:p>
        </w:tc>
        <w:tc>
          <w:tcPr>
            <w:tcW w:w="735" w:type="pct"/>
            <w:tcBorders>
              <w:tl2br w:val="nil"/>
              <w:tr2bl w:val="nil"/>
            </w:tcBorders>
            <w:noWrap w:val="0"/>
            <w:vAlign w:val="center"/>
          </w:tcPr>
          <w:p w14:paraId="332066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12674.99</w:t>
            </w:r>
          </w:p>
        </w:tc>
        <w:tc>
          <w:tcPr>
            <w:tcW w:w="1188" w:type="pct"/>
            <w:tcBorders>
              <w:tl2br w:val="nil"/>
              <w:tr2bl w:val="nil"/>
            </w:tcBorders>
            <w:noWrap w:val="0"/>
            <w:vAlign w:val="center"/>
          </w:tcPr>
          <w:p w14:paraId="58C3D0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36.68</w:t>
            </w:r>
          </w:p>
        </w:tc>
      </w:tr>
      <w:tr w14:paraId="74860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200E3A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4</w:t>
            </w:r>
          </w:p>
        </w:tc>
        <w:tc>
          <w:tcPr>
            <w:tcW w:w="786" w:type="pct"/>
            <w:vMerge w:val="continue"/>
            <w:tcBorders>
              <w:tl2br w:val="nil"/>
              <w:tr2bl w:val="nil"/>
            </w:tcBorders>
            <w:noWrap w:val="0"/>
            <w:vAlign w:val="center"/>
          </w:tcPr>
          <w:p w14:paraId="74804F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641B67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21B51F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农业植被（耕地）</w:t>
            </w:r>
          </w:p>
        </w:tc>
        <w:tc>
          <w:tcPr>
            <w:tcW w:w="735" w:type="pct"/>
            <w:tcBorders>
              <w:tl2br w:val="nil"/>
              <w:tr2bl w:val="nil"/>
            </w:tcBorders>
            <w:noWrap w:val="0"/>
            <w:vAlign w:val="center"/>
          </w:tcPr>
          <w:p w14:paraId="3C9B44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2240.58</w:t>
            </w:r>
          </w:p>
        </w:tc>
        <w:tc>
          <w:tcPr>
            <w:tcW w:w="1188" w:type="pct"/>
            <w:tcBorders>
              <w:tl2br w:val="nil"/>
              <w:tr2bl w:val="nil"/>
            </w:tcBorders>
            <w:noWrap w:val="0"/>
            <w:vAlign w:val="center"/>
          </w:tcPr>
          <w:p w14:paraId="196916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6.48</w:t>
            </w:r>
          </w:p>
        </w:tc>
      </w:tr>
      <w:tr w14:paraId="739CC1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606CED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5</w:t>
            </w:r>
          </w:p>
        </w:tc>
        <w:tc>
          <w:tcPr>
            <w:tcW w:w="786" w:type="pct"/>
            <w:vMerge w:val="continue"/>
            <w:tcBorders>
              <w:tl2br w:val="nil"/>
              <w:tr2bl w:val="nil"/>
            </w:tcBorders>
            <w:noWrap w:val="0"/>
            <w:vAlign w:val="center"/>
          </w:tcPr>
          <w:p w14:paraId="594331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60AABC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6BFEA9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水域</w:t>
            </w:r>
          </w:p>
        </w:tc>
        <w:tc>
          <w:tcPr>
            <w:tcW w:w="735" w:type="pct"/>
            <w:tcBorders>
              <w:tl2br w:val="nil"/>
              <w:tr2bl w:val="nil"/>
            </w:tcBorders>
            <w:noWrap w:val="0"/>
            <w:vAlign w:val="center"/>
          </w:tcPr>
          <w:p w14:paraId="5AE3BA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372.01</w:t>
            </w:r>
          </w:p>
        </w:tc>
        <w:tc>
          <w:tcPr>
            <w:tcW w:w="1188" w:type="pct"/>
            <w:tcBorders>
              <w:tl2br w:val="nil"/>
              <w:tr2bl w:val="nil"/>
            </w:tcBorders>
            <w:noWrap w:val="0"/>
            <w:vAlign w:val="center"/>
          </w:tcPr>
          <w:p w14:paraId="7936E7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1.07</w:t>
            </w:r>
          </w:p>
        </w:tc>
      </w:tr>
      <w:tr w14:paraId="5D24C3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047000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6</w:t>
            </w:r>
          </w:p>
        </w:tc>
        <w:tc>
          <w:tcPr>
            <w:tcW w:w="786" w:type="pct"/>
            <w:vMerge w:val="continue"/>
            <w:tcBorders>
              <w:tl2br w:val="nil"/>
              <w:tr2bl w:val="nil"/>
            </w:tcBorders>
            <w:noWrap w:val="0"/>
            <w:vAlign w:val="center"/>
          </w:tcPr>
          <w:p w14:paraId="7A04DA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tcBorders>
              <w:tl2br w:val="nil"/>
              <w:tr2bl w:val="nil"/>
            </w:tcBorders>
            <w:noWrap w:val="0"/>
            <w:vAlign w:val="center"/>
          </w:tcPr>
          <w:p w14:paraId="50C2E4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取土场</w:t>
            </w:r>
          </w:p>
        </w:tc>
        <w:tc>
          <w:tcPr>
            <w:tcW w:w="1023" w:type="pct"/>
            <w:tcBorders>
              <w:tl2br w:val="nil"/>
              <w:tr2bl w:val="nil"/>
            </w:tcBorders>
            <w:noWrap w:val="0"/>
            <w:vAlign w:val="center"/>
          </w:tcPr>
          <w:p w14:paraId="73DD56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乔木林（林地）</w:t>
            </w:r>
          </w:p>
        </w:tc>
        <w:tc>
          <w:tcPr>
            <w:tcW w:w="735" w:type="pct"/>
            <w:tcBorders>
              <w:tl2br w:val="nil"/>
              <w:tr2bl w:val="nil"/>
            </w:tcBorders>
            <w:noWrap w:val="0"/>
            <w:vAlign w:val="center"/>
          </w:tcPr>
          <w:p w14:paraId="31C387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2459.24</w:t>
            </w:r>
          </w:p>
        </w:tc>
        <w:tc>
          <w:tcPr>
            <w:tcW w:w="1188" w:type="pct"/>
            <w:tcBorders>
              <w:tl2br w:val="nil"/>
              <w:tr2bl w:val="nil"/>
            </w:tcBorders>
            <w:noWrap w:val="0"/>
            <w:vAlign w:val="center"/>
          </w:tcPr>
          <w:p w14:paraId="6A046F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7.12</w:t>
            </w:r>
          </w:p>
        </w:tc>
      </w:tr>
      <w:tr w14:paraId="6AF707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693093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7</w:t>
            </w:r>
          </w:p>
        </w:tc>
        <w:tc>
          <w:tcPr>
            <w:tcW w:w="786" w:type="pct"/>
            <w:vMerge w:val="continue"/>
            <w:tcBorders>
              <w:tl2br w:val="nil"/>
              <w:tr2bl w:val="nil"/>
            </w:tcBorders>
            <w:noWrap w:val="0"/>
            <w:vAlign w:val="center"/>
          </w:tcPr>
          <w:p w14:paraId="4AA6EE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restart"/>
            <w:tcBorders>
              <w:tl2br w:val="nil"/>
              <w:tr2bl w:val="nil"/>
            </w:tcBorders>
            <w:noWrap w:val="0"/>
            <w:vAlign w:val="center"/>
          </w:tcPr>
          <w:p w14:paraId="2442F4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临时道路</w:t>
            </w:r>
          </w:p>
        </w:tc>
        <w:tc>
          <w:tcPr>
            <w:tcW w:w="1023" w:type="pct"/>
            <w:tcBorders>
              <w:tl2br w:val="nil"/>
              <w:tr2bl w:val="nil"/>
            </w:tcBorders>
            <w:noWrap w:val="0"/>
            <w:vAlign w:val="center"/>
          </w:tcPr>
          <w:p w14:paraId="61F7B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农业植被（耕地）</w:t>
            </w:r>
          </w:p>
        </w:tc>
        <w:tc>
          <w:tcPr>
            <w:tcW w:w="735" w:type="pct"/>
            <w:tcBorders>
              <w:tl2br w:val="nil"/>
              <w:tr2bl w:val="nil"/>
            </w:tcBorders>
            <w:noWrap w:val="0"/>
            <w:vAlign w:val="center"/>
          </w:tcPr>
          <w:p w14:paraId="03F12A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1869.89</w:t>
            </w:r>
          </w:p>
        </w:tc>
        <w:tc>
          <w:tcPr>
            <w:tcW w:w="1188" w:type="pct"/>
            <w:tcBorders>
              <w:tl2br w:val="nil"/>
              <w:tr2bl w:val="nil"/>
            </w:tcBorders>
            <w:noWrap w:val="0"/>
            <w:vAlign w:val="center"/>
          </w:tcPr>
          <w:p w14:paraId="248ADC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5.41</w:t>
            </w:r>
          </w:p>
        </w:tc>
      </w:tr>
      <w:tr w14:paraId="373674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02AD5A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8</w:t>
            </w:r>
          </w:p>
        </w:tc>
        <w:tc>
          <w:tcPr>
            <w:tcW w:w="786" w:type="pct"/>
            <w:vMerge w:val="continue"/>
            <w:tcBorders>
              <w:tl2br w:val="nil"/>
              <w:tr2bl w:val="nil"/>
            </w:tcBorders>
            <w:noWrap w:val="0"/>
            <w:vAlign w:val="center"/>
          </w:tcPr>
          <w:p w14:paraId="12C547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327988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2B3E4F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乔木林（林地）</w:t>
            </w:r>
          </w:p>
        </w:tc>
        <w:tc>
          <w:tcPr>
            <w:tcW w:w="735" w:type="pct"/>
            <w:tcBorders>
              <w:tl2br w:val="nil"/>
              <w:tr2bl w:val="nil"/>
            </w:tcBorders>
            <w:noWrap w:val="0"/>
            <w:vAlign w:val="center"/>
          </w:tcPr>
          <w:p w14:paraId="7EA0F9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2685.15</w:t>
            </w:r>
          </w:p>
        </w:tc>
        <w:tc>
          <w:tcPr>
            <w:tcW w:w="1188" w:type="pct"/>
            <w:tcBorders>
              <w:tl2br w:val="nil"/>
              <w:tr2bl w:val="nil"/>
            </w:tcBorders>
            <w:noWrap w:val="0"/>
            <w:vAlign w:val="center"/>
          </w:tcPr>
          <w:p w14:paraId="6EC736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7.77</w:t>
            </w:r>
          </w:p>
        </w:tc>
      </w:tr>
      <w:tr w14:paraId="1F72B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6E328B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cs="Times New Roman"/>
                <w:kern w:val="2"/>
                <w:sz w:val="21"/>
                <w:szCs w:val="21"/>
                <w:u w:val="none"/>
                <w:lang w:val="en-US" w:eastAsia="zh-CN" w:bidi="ar-SA"/>
              </w:rPr>
              <w:t>9</w:t>
            </w:r>
          </w:p>
        </w:tc>
        <w:tc>
          <w:tcPr>
            <w:tcW w:w="786" w:type="pct"/>
            <w:vMerge w:val="continue"/>
            <w:tcBorders>
              <w:tl2br w:val="nil"/>
              <w:tr2bl w:val="nil"/>
            </w:tcBorders>
            <w:noWrap w:val="0"/>
            <w:vAlign w:val="center"/>
          </w:tcPr>
          <w:p w14:paraId="1934DD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0847BA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7E0A0E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交通运输（道路）</w:t>
            </w:r>
          </w:p>
        </w:tc>
        <w:tc>
          <w:tcPr>
            <w:tcW w:w="735" w:type="pct"/>
            <w:tcBorders>
              <w:tl2br w:val="nil"/>
              <w:tr2bl w:val="nil"/>
            </w:tcBorders>
            <w:noWrap w:val="0"/>
            <w:vAlign w:val="center"/>
          </w:tcPr>
          <w:p w14:paraId="02B229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3738.47</w:t>
            </w:r>
          </w:p>
        </w:tc>
        <w:tc>
          <w:tcPr>
            <w:tcW w:w="1188" w:type="pct"/>
            <w:tcBorders>
              <w:tl2br w:val="nil"/>
              <w:tr2bl w:val="nil"/>
            </w:tcBorders>
            <w:noWrap w:val="0"/>
            <w:vAlign w:val="center"/>
          </w:tcPr>
          <w:p w14:paraId="05A98B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10.82</w:t>
            </w:r>
          </w:p>
        </w:tc>
      </w:tr>
      <w:tr w14:paraId="3F2DCC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76" w:type="pct"/>
            <w:gridSpan w:val="4"/>
            <w:tcBorders>
              <w:tl2br w:val="nil"/>
              <w:tr2bl w:val="nil"/>
            </w:tcBorders>
            <w:noWrap w:val="0"/>
            <w:vAlign w:val="center"/>
          </w:tcPr>
          <w:p w14:paraId="19CB25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小计</w:t>
            </w:r>
          </w:p>
        </w:tc>
        <w:tc>
          <w:tcPr>
            <w:tcW w:w="735" w:type="pct"/>
            <w:tcBorders>
              <w:tl2br w:val="nil"/>
              <w:tr2bl w:val="nil"/>
            </w:tcBorders>
            <w:noWrap w:val="0"/>
            <w:vAlign w:val="center"/>
          </w:tcPr>
          <w:p w14:paraId="4520FA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26040.33</w:t>
            </w:r>
          </w:p>
        </w:tc>
        <w:tc>
          <w:tcPr>
            <w:tcW w:w="1188" w:type="pct"/>
            <w:tcBorders>
              <w:tl2br w:val="nil"/>
              <w:tr2bl w:val="nil"/>
            </w:tcBorders>
            <w:noWrap w:val="0"/>
            <w:vAlign w:val="center"/>
          </w:tcPr>
          <w:p w14:paraId="1665D5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75.35</w:t>
            </w:r>
          </w:p>
        </w:tc>
      </w:tr>
      <w:tr w14:paraId="233FEC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76" w:type="pct"/>
            <w:gridSpan w:val="4"/>
            <w:tcBorders>
              <w:tl2br w:val="nil"/>
              <w:tr2bl w:val="nil"/>
            </w:tcBorders>
            <w:noWrap w:val="0"/>
            <w:vAlign w:val="center"/>
          </w:tcPr>
          <w:p w14:paraId="078995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合计</w:t>
            </w:r>
          </w:p>
        </w:tc>
        <w:tc>
          <w:tcPr>
            <w:tcW w:w="735" w:type="pct"/>
            <w:tcBorders>
              <w:tl2br w:val="nil"/>
              <w:tr2bl w:val="nil"/>
            </w:tcBorders>
            <w:noWrap w:val="0"/>
            <w:vAlign w:val="center"/>
          </w:tcPr>
          <w:p w14:paraId="68F42E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34557.68</w:t>
            </w:r>
          </w:p>
        </w:tc>
        <w:tc>
          <w:tcPr>
            <w:tcW w:w="1188" w:type="pct"/>
            <w:tcBorders>
              <w:tl2br w:val="nil"/>
              <w:tr2bl w:val="nil"/>
            </w:tcBorders>
            <w:noWrap w:val="0"/>
            <w:vAlign w:val="center"/>
          </w:tcPr>
          <w:p w14:paraId="32AD3D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100</w:t>
            </w:r>
          </w:p>
        </w:tc>
      </w:tr>
    </w:tbl>
    <w:p w14:paraId="45BFE198">
      <w:pPr>
        <w:rPr>
          <w:rFonts w:hint="eastAsia"/>
          <w:sz w:val="24"/>
          <w:szCs w:val="24"/>
          <w:highlight w:val="none"/>
          <w:lang w:val="en-US" w:eastAsia="zh-CN"/>
        </w:rPr>
      </w:pPr>
      <w:r>
        <w:rPr>
          <w:rFonts w:hint="eastAsia"/>
          <w:sz w:val="24"/>
          <w:szCs w:val="24"/>
          <w:highlight w:val="none"/>
          <w:lang w:val="en-US" w:eastAsia="zh-CN"/>
        </w:rPr>
        <w:t>2、植被</w:t>
      </w:r>
    </w:p>
    <w:p w14:paraId="7CDE26E0">
      <w:pPr>
        <w:rPr>
          <w:rFonts w:hint="default"/>
          <w:sz w:val="24"/>
          <w:szCs w:val="24"/>
          <w:highlight w:val="none"/>
          <w:lang w:val="en-US" w:eastAsia="zh-CN"/>
        </w:rPr>
      </w:pPr>
      <w:r>
        <w:rPr>
          <w:rFonts w:hint="default"/>
          <w:sz w:val="24"/>
          <w:szCs w:val="24"/>
          <w:highlight w:val="none"/>
          <w:lang w:val="en-US" w:eastAsia="zh-CN"/>
        </w:rPr>
        <w:t>（1）种类组成</w:t>
      </w:r>
    </w:p>
    <w:p w14:paraId="3155287A">
      <w:pPr>
        <w:rPr>
          <w:rFonts w:hint="eastAsia"/>
          <w:sz w:val="24"/>
          <w:szCs w:val="24"/>
          <w:highlight w:val="none"/>
          <w:lang w:eastAsia="zh-CN"/>
        </w:rPr>
      </w:pPr>
      <w:r>
        <w:rPr>
          <w:rFonts w:hint="default"/>
          <w:sz w:val="24"/>
          <w:szCs w:val="24"/>
          <w:highlight w:val="none"/>
          <w:lang w:val="en-US" w:eastAsia="zh-CN"/>
        </w:rPr>
        <w:t>根据现场调查，本</w:t>
      </w:r>
      <w:r>
        <w:rPr>
          <w:rFonts w:hint="eastAsia"/>
          <w:sz w:val="24"/>
          <w:szCs w:val="24"/>
          <w:highlight w:val="none"/>
          <w:lang w:val="en-US" w:eastAsia="zh-CN"/>
        </w:rPr>
        <w:t>项目</w:t>
      </w:r>
      <w:r>
        <w:rPr>
          <w:rFonts w:hint="default"/>
          <w:sz w:val="24"/>
          <w:szCs w:val="24"/>
          <w:highlight w:val="none"/>
          <w:lang w:val="en-US" w:eastAsia="zh-CN"/>
        </w:rPr>
        <w:t>评价范围内</w:t>
      </w:r>
      <w:r>
        <w:rPr>
          <w:rFonts w:hint="eastAsia"/>
          <w:sz w:val="24"/>
          <w:szCs w:val="24"/>
          <w:highlight w:val="none"/>
          <w:lang w:val="en-US" w:eastAsia="zh-CN"/>
        </w:rPr>
        <w:t>植被类型主要为</w:t>
      </w:r>
      <w:r>
        <w:rPr>
          <w:rFonts w:hint="eastAsia"/>
          <w:sz w:val="24"/>
          <w:szCs w:val="24"/>
          <w:highlight w:val="none"/>
        </w:rPr>
        <w:t>自然植被和人工植被，其中自然植被包括针叶林、针阔混交林、阔叶林和灌丛</w:t>
      </w:r>
      <w:r>
        <w:rPr>
          <w:rFonts w:hint="eastAsia"/>
          <w:sz w:val="24"/>
          <w:szCs w:val="24"/>
          <w:highlight w:val="none"/>
          <w:lang w:eastAsia="zh-CN"/>
        </w:rPr>
        <w:t>。</w:t>
      </w:r>
    </w:p>
    <w:p w14:paraId="6C46E20D">
      <w:pPr>
        <w:rPr>
          <w:rFonts w:hint="default"/>
          <w:sz w:val="24"/>
          <w:szCs w:val="24"/>
          <w:highlight w:val="none"/>
          <w:lang w:val="en-US" w:eastAsia="zh-CN"/>
        </w:rPr>
      </w:pPr>
      <w:r>
        <w:rPr>
          <w:rFonts w:hint="default"/>
          <w:sz w:val="24"/>
          <w:szCs w:val="24"/>
          <w:highlight w:val="none"/>
          <w:lang w:val="en-US" w:eastAsia="zh-CN"/>
        </w:rPr>
        <w:t>乔木主要以马尾松、毛竹、棕榈等为主；灌木主要以苎麻、糯米条、玉竹、李氏禾、人面竹、檵木、盐肤木灌丛、牡荆等为主；草本植物主要以鸡眼草、狗尾巴草、爵床、五节芒等为主。</w:t>
      </w:r>
    </w:p>
    <w:p w14:paraId="694DBC4F">
      <w:pPr>
        <w:rPr>
          <w:rFonts w:hint="default"/>
          <w:sz w:val="24"/>
          <w:szCs w:val="24"/>
          <w:highlight w:val="none"/>
          <w:lang w:val="en-US" w:eastAsia="zh-CN"/>
        </w:rPr>
      </w:pPr>
      <w:r>
        <w:rPr>
          <w:rFonts w:hint="default"/>
          <w:sz w:val="24"/>
          <w:szCs w:val="24"/>
          <w:highlight w:val="none"/>
          <w:lang w:val="en-US" w:eastAsia="zh-CN"/>
        </w:rPr>
        <w:t>（2）重点保护植物和古树名木</w:t>
      </w:r>
    </w:p>
    <w:p w14:paraId="32F50016">
      <w:pPr>
        <w:rPr>
          <w:rFonts w:hint="default"/>
          <w:sz w:val="24"/>
          <w:szCs w:val="24"/>
          <w:highlight w:val="none"/>
          <w:lang w:val="en-US" w:eastAsia="zh-CN"/>
        </w:rPr>
      </w:pPr>
      <w:r>
        <w:rPr>
          <w:rFonts w:hint="default"/>
          <w:sz w:val="24"/>
          <w:szCs w:val="24"/>
          <w:highlight w:val="none"/>
          <w:lang w:val="en-US" w:eastAsia="zh-CN"/>
        </w:rPr>
        <w:t>根据调查，本项目生态评价范围内不涉及重点保护植物和古树名木。</w:t>
      </w:r>
    </w:p>
    <w:p w14:paraId="6E1D4986">
      <w:pPr>
        <w:rPr>
          <w:rFonts w:hint="default"/>
          <w:sz w:val="24"/>
          <w:szCs w:val="24"/>
          <w:highlight w:val="none"/>
          <w:lang w:val="en-US" w:eastAsia="zh-CN"/>
        </w:rPr>
      </w:pPr>
      <w:r>
        <w:rPr>
          <w:rFonts w:hint="eastAsia"/>
          <w:sz w:val="24"/>
          <w:szCs w:val="24"/>
          <w:highlight w:val="none"/>
          <w:lang w:val="en-US" w:eastAsia="zh-CN"/>
        </w:rPr>
        <w:t>3</w:t>
      </w:r>
      <w:r>
        <w:rPr>
          <w:rFonts w:hint="default"/>
          <w:sz w:val="24"/>
          <w:szCs w:val="24"/>
          <w:highlight w:val="none"/>
          <w:lang w:val="en-US" w:eastAsia="zh-CN"/>
        </w:rPr>
        <w:t>、动物</w:t>
      </w:r>
    </w:p>
    <w:p w14:paraId="1C4D05E2">
      <w:pPr>
        <w:rPr>
          <w:rFonts w:hint="default"/>
          <w:sz w:val="24"/>
          <w:szCs w:val="24"/>
          <w:highlight w:val="none"/>
          <w:lang w:val="en-US" w:eastAsia="zh-CN"/>
        </w:rPr>
      </w:pPr>
      <w:r>
        <w:rPr>
          <w:rFonts w:hint="default"/>
          <w:sz w:val="24"/>
          <w:szCs w:val="24"/>
          <w:highlight w:val="none"/>
          <w:lang w:val="en-US" w:eastAsia="zh-CN"/>
        </w:rPr>
        <w:t>（1）两栖类</w:t>
      </w:r>
    </w:p>
    <w:p w14:paraId="69F41FDD">
      <w:pPr>
        <w:rPr>
          <w:rFonts w:hint="default"/>
          <w:sz w:val="24"/>
          <w:szCs w:val="24"/>
          <w:highlight w:val="none"/>
          <w:lang w:val="en-US" w:eastAsia="zh-CN"/>
        </w:rPr>
      </w:pPr>
      <w:r>
        <w:rPr>
          <w:rFonts w:hint="default"/>
          <w:sz w:val="24"/>
          <w:szCs w:val="24"/>
          <w:highlight w:val="none"/>
          <w:lang w:val="en-US" w:eastAsia="zh-CN"/>
        </w:rPr>
        <w:t>①种类组成</w:t>
      </w:r>
    </w:p>
    <w:p w14:paraId="7BCC1380">
      <w:pPr>
        <w:rPr>
          <w:rFonts w:hint="default"/>
          <w:sz w:val="24"/>
          <w:szCs w:val="24"/>
          <w:highlight w:val="none"/>
          <w:lang w:val="en-US" w:eastAsia="zh-CN"/>
        </w:rPr>
      </w:pPr>
      <w:r>
        <w:rPr>
          <w:rFonts w:hint="default"/>
          <w:sz w:val="24"/>
          <w:szCs w:val="24"/>
          <w:highlight w:val="none"/>
          <w:lang w:val="en-US" w:eastAsia="zh-CN"/>
        </w:rPr>
        <w:t>根据现场调查，本</w:t>
      </w:r>
      <w:r>
        <w:rPr>
          <w:rFonts w:hint="eastAsia"/>
          <w:sz w:val="24"/>
          <w:szCs w:val="24"/>
          <w:highlight w:val="none"/>
          <w:lang w:val="en-US" w:eastAsia="zh-CN"/>
        </w:rPr>
        <w:t>项目</w:t>
      </w:r>
      <w:r>
        <w:rPr>
          <w:rFonts w:hint="default"/>
          <w:sz w:val="24"/>
          <w:szCs w:val="24"/>
          <w:highlight w:val="none"/>
          <w:lang w:val="en-US" w:eastAsia="zh-CN"/>
        </w:rPr>
        <w:t>评价范围内两栖类主要以沼水蛙、中国林蛙、小弧斑姬蛙、泽陆蛙、三港雨蛙、中国雨蛙为主，数量较少。经查阅资料，两栖类繁殖期主要集中在5月至7月，越冬期主要在11月左右，迁徙期主要为4月，主要活动范围主要集中于稻田、池塘等周边区域。</w:t>
      </w:r>
    </w:p>
    <w:p w14:paraId="5130882A">
      <w:pPr>
        <w:rPr>
          <w:rFonts w:hint="default"/>
          <w:sz w:val="24"/>
          <w:szCs w:val="24"/>
          <w:highlight w:val="none"/>
          <w:lang w:val="en-US" w:eastAsia="zh-CN"/>
        </w:rPr>
      </w:pPr>
      <w:r>
        <w:rPr>
          <w:rFonts w:hint="default"/>
          <w:sz w:val="24"/>
          <w:szCs w:val="24"/>
          <w:highlight w:val="none"/>
          <w:lang w:val="en-US" w:eastAsia="zh-CN"/>
        </w:rPr>
        <w:t>②国家重点保护种</w:t>
      </w:r>
    </w:p>
    <w:p w14:paraId="45A8AB36">
      <w:pPr>
        <w:rPr>
          <w:rFonts w:hint="default"/>
          <w:sz w:val="24"/>
          <w:szCs w:val="24"/>
          <w:highlight w:val="none"/>
          <w:lang w:val="en-US" w:eastAsia="zh-CN"/>
        </w:rPr>
      </w:pPr>
      <w:r>
        <w:rPr>
          <w:rFonts w:hint="default"/>
          <w:sz w:val="24"/>
          <w:szCs w:val="24"/>
          <w:highlight w:val="none"/>
          <w:lang w:val="en-US" w:eastAsia="zh-CN"/>
        </w:rPr>
        <w:t>两栖动物中无国家重点保护野生种。</w:t>
      </w:r>
    </w:p>
    <w:p w14:paraId="085B56DB">
      <w:pPr>
        <w:rPr>
          <w:rFonts w:hint="default"/>
          <w:sz w:val="24"/>
          <w:szCs w:val="24"/>
          <w:highlight w:val="none"/>
          <w:lang w:val="en-US" w:eastAsia="zh-CN"/>
        </w:rPr>
      </w:pPr>
      <w:r>
        <w:rPr>
          <w:rFonts w:hint="default"/>
          <w:sz w:val="24"/>
          <w:szCs w:val="24"/>
          <w:highlight w:val="none"/>
          <w:lang w:val="en-US" w:eastAsia="zh-CN"/>
        </w:rPr>
        <w:t>（2）爬行类</w:t>
      </w:r>
    </w:p>
    <w:p w14:paraId="67330422">
      <w:pPr>
        <w:rPr>
          <w:rFonts w:hint="default"/>
          <w:sz w:val="24"/>
          <w:szCs w:val="24"/>
          <w:highlight w:val="none"/>
          <w:lang w:val="en-US" w:eastAsia="zh-CN"/>
        </w:rPr>
      </w:pPr>
      <w:r>
        <w:rPr>
          <w:rFonts w:hint="default"/>
          <w:sz w:val="24"/>
          <w:szCs w:val="24"/>
          <w:highlight w:val="none"/>
          <w:lang w:val="en-US" w:eastAsia="zh-CN"/>
        </w:rPr>
        <w:t>①种类组成</w:t>
      </w:r>
    </w:p>
    <w:p w14:paraId="457D4E8C">
      <w:pPr>
        <w:rPr>
          <w:rFonts w:hint="default"/>
          <w:sz w:val="24"/>
          <w:szCs w:val="24"/>
          <w:highlight w:val="none"/>
          <w:lang w:val="en-US" w:eastAsia="zh-CN"/>
        </w:rPr>
      </w:pPr>
      <w:r>
        <w:rPr>
          <w:rFonts w:hint="default"/>
          <w:sz w:val="24"/>
          <w:szCs w:val="24"/>
          <w:highlight w:val="none"/>
          <w:lang w:val="en-US" w:eastAsia="zh-CN"/>
        </w:rPr>
        <w:t>根据现场调查，本</w:t>
      </w:r>
      <w:r>
        <w:rPr>
          <w:rFonts w:hint="eastAsia"/>
          <w:sz w:val="24"/>
          <w:szCs w:val="24"/>
          <w:highlight w:val="none"/>
          <w:lang w:val="en-US" w:eastAsia="zh-CN"/>
        </w:rPr>
        <w:t>项目</w:t>
      </w:r>
      <w:r>
        <w:rPr>
          <w:rFonts w:hint="default"/>
          <w:sz w:val="24"/>
          <w:szCs w:val="24"/>
          <w:highlight w:val="none"/>
          <w:lang w:val="en-US" w:eastAsia="zh-CN"/>
        </w:rPr>
        <w:t>评价范围内爬行类主要以有鳞目壁虎科、蜥蜴科为主，均为广布种。经查阅资料，爬行类繁殖期主要集中在5月至7月，越冬期主要在11月至翌年4月左右，迁徙期主要为4月。</w:t>
      </w:r>
    </w:p>
    <w:p w14:paraId="337E12DD">
      <w:pPr>
        <w:rPr>
          <w:rFonts w:hint="default"/>
          <w:sz w:val="24"/>
          <w:szCs w:val="24"/>
          <w:highlight w:val="none"/>
          <w:lang w:val="en-US" w:eastAsia="zh-CN"/>
        </w:rPr>
      </w:pPr>
      <w:r>
        <w:rPr>
          <w:rFonts w:hint="default"/>
          <w:sz w:val="24"/>
          <w:szCs w:val="24"/>
          <w:highlight w:val="none"/>
          <w:lang w:val="en-US" w:eastAsia="zh-CN"/>
        </w:rPr>
        <w:t>②国家重点保护种</w:t>
      </w:r>
    </w:p>
    <w:p w14:paraId="1FB4DF30">
      <w:pPr>
        <w:rPr>
          <w:rFonts w:hint="default"/>
          <w:sz w:val="24"/>
          <w:szCs w:val="24"/>
          <w:highlight w:val="none"/>
          <w:lang w:val="en-US" w:eastAsia="zh-CN"/>
        </w:rPr>
      </w:pPr>
      <w:r>
        <w:rPr>
          <w:rFonts w:hint="default"/>
          <w:sz w:val="24"/>
          <w:szCs w:val="24"/>
          <w:highlight w:val="none"/>
          <w:lang w:val="en-US" w:eastAsia="zh-CN"/>
        </w:rPr>
        <w:t>爬行动物中无国家重点保护种。</w:t>
      </w:r>
    </w:p>
    <w:p w14:paraId="1834429E">
      <w:pPr>
        <w:rPr>
          <w:rFonts w:hint="default"/>
          <w:sz w:val="24"/>
          <w:szCs w:val="24"/>
          <w:highlight w:val="none"/>
          <w:lang w:val="en-US" w:eastAsia="zh-CN"/>
        </w:rPr>
      </w:pPr>
      <w:r>
        <w:rPr>
          <w:rFonts w:hint="default"/>
          <w:sz w:val="24"/>
          <w:szCs w:val="24"/>
          <w:highlight w:val="none"/>
          <w:lang w:val="en-US" w:eastAsia="zh-CN"/>
        </w:rPr>
        <w:t>（3）鸟类</w:t>
      </w:r>
    </w:p>
    <w:p w14:paraId="74977C56">
      <w:pPr>
        <w:rPr>
          <w:rFonts w:hint="default"/>
          <w:sz w:val="24"/>
          <w:szCs w:val="24"/>
          <w:highlight w:val="none"/>
          <w:lang w:val="en-US" w:eastAsia="zh-CN"/>
        </w:rPr>
      </w:pPr>
      <w:r>
        <w:rPr>
          <w:rFonts w:hint="default"/>
          <w:sz w:val="24"/>
          <w:szCs w:val="24"/>
          <w:highlight w:val="none"/>
          <w:lang w:val="en-US" w:eastAsia="zh-CN"/>
        </w:rPr>
        <w:t>①种类组成</w:t>
      </w:r>
    </w:p>
    <w:p w14:paraId="427F7B55">
      <w:pPr>
        <w:rPr>
          <w:rFonts w:hint="default"/>
          <w:sz w:val="24"/>
          <w:szCs w:val="24"/>
          <w:highlight w:val="none"/>
          <w:lang w:val="en-US" w:eastAsia="zh-CN"/>
        </w:rPr>
      </w:pPr>
      <w:r>
        <w:rPr>
          <w:rFonts w:hint="default"/>
          <w:sz w:val="24"/>
          <w:szCs w:val="24"/>
          <w:highlight w:val="none"/>
          <w:lang w:val="en-US" w:eastAsia="zh-CN"/>
        </w:rPr>
        <w:t>根据现场调查，本</w:t>
      </w:r>
      <w:r>
        <w:rPr>
          <w:rFonts w:hint="eastAsia"/>
          <w:sz w:val="24"/>
          <w:szCs w:val="24"/>
          <w:highlight w:val="none"/>
          <w:lang w:val="en-US" w:eastAsia="zh-CN"/>
        </w:rPr>
        <w:t>项目</w:t>
      </w:r>
      <w:r>
        <w:rPr>
          <w:rFonts w:hint="default"/>
          <w:sz w:val="24"/>
          <w:szCs w:val="24"/>
          <w:highlight w:val="none"/>
          <w:lang w:val="en-US" w:eastAsia="zh-CN"/>
        </w:rPr>
        <w:t>评价范围内鸟类主要以家燕、麻雀等为主。经查阅资料，家燕的繁殖期主要集中在‌4月至7月‌，多数一年繁殖两窝，第一窝通常在4~6月，第二窝多在6~7月；繁殖活动包括求偶、筑巢、孵化和育雏，雌雄亲鸟共同参与；家燕在越冬地停留时间主要在‌12月至次年2月；迁徙期主要为‌2~3月。麻雀的繁殖期主要集中在3~4月；麻雀多为留鸟，冬季（‌12~2月‌）仍活动于本地，通过杂食性适应寒冷环境，较少长距离迁徙；无长距离迁徙。</w:t>
      </w:r>
    </w:p>
    <w:p w14:paraId="6FD2CC97">
      <w:pPr>
        <w:rPr>
          <w:rFonts w:hint="default"/>
          <w:sz w:val="24"/>
          <w:szCs w:val="24"/>
          <w:highlight w:val="none"/>
          <w:lang w:val="en-US" w:eastAsia="zh-CN"/>
        </w:rPr>
      </w:pPr>
      <w:r>
        <w:rPr>
          <w:rFonts w:hint="default"/>
          <w:sz w:val="24"/>
          <w:szCs w:val="24"/>
          <w:highlight w:val="none"/>
          <w:lang w:val="en-US" w:eastAsia="zh-CN"/>
        </w:rPr>
        <w:t>②鸟类迁徙通道</w:t>
      </w:r>
    </w:p>
    <w:p w14:paraId="4A0B7786">
      <w:pPr>
        <w:rPr>
          <w:rFonts w:hint="default"/>
          <w:sz w:val="24"/>
          <w:szCs w:val="24"/>
          <w:highlight w:val="none"/>
          <w:lang w:val="en-US" w:eastAsia="zh-CN"/>
        </w:rPr>
      </w:pPr>
      <w:r>
        <w:rPr>
          <w:rFonts w:hint="default"/>
          <w:sz w:val="24"/>
          <w:szCs w:val="24"/>
          <w:highlight w:val="none"/>
          <w:lang w:val="en-US" w:eastAsia="zh-CN"/>
        </w:rPr>
        <w:t>根据中国和湖南省鸟类迁徙研究的相关报道，显示湖南处于位于西伯利亚-澳大利西亚鸟类迁徙通道上（张孚允&amp;杨若莉，1997；邓学建等，2013）。湖南省的地势如同一个开口朝向北方的漏斗，呈一个巨大的“U”形，北面开口是洞庭湖平原、西面是武陵山脉和雪峰山脉、东面是罗霄山脉、南面是南岭。湖南省境内通常有3条候鸟迁徙通道：即洞庭湖-湘中南湘江谷底丘陵平原区（宽面迁徙通道）；武陵山脉-雪峰山脉（窄面迁徙通道）；幕阜山脉—罗霄山脉（窄面迁徙通道）（邓学建，2016），本项目不涉及湖南省鸟类迁徙通道。</w:t>
      </w:r>
    </w:p>
    <w:p w14:paraId="3BFF30A7">
      <w:pPr>
        <w:rPr>
          <w:rFonts w:hint="default"/>
          <w:sz w:val="24"/>
          <w:szCs w:val="24"/>
          <w:highlight w:val="none"/>
          <w:lang w:val="en-US" w:eastAsia="zh-CN"/>
        </w:rPr>
      </w:pPr>
      <w:r>
        <w:rPr>
          <w:rFonts w:hint="default"/>
          <w:sz w:val="24"/>
          <w:szCs w:val="24"/>
          <w:highlight w:val="none"/>
          <w:lang w:val="en-US" w:eastAsia="zh-CN"/>
        </w:rPr>
        <w:t>③国家重点保护种</w:t>
      </w:r>
    </w:p>
    <w:p w14:paraId="4C35B15D">
      <w:pPr>
        <w:rPr>
          <w:rFonts w:hint="default"/>
          <w:sz w:val="24"/>
          <w:szCs w:val="24"/>
          <w:highlight w:val="none"/>
          <w:lang w:val="en-US" w:eastAsia="zh-CN"/>
        </w:rPr>
      </w:pPr>
      <w:r>
        <w:rPr>
          <w:rFonts w:hint="default"/>
          <w:sz w:val="24"/>
          <w:szCs w:val="24"/>
          <w:highlight w:val="none"/>
          <w:lang w:val="en-US" w:eastAsia="zh-CN"/>
        </w:rPr>
        <w:t>鸟类中无国家保护野生种。</w:t>
      </w:r>
    </w:p>
    <w:p w14:paraId="70FC47E5">
      <w:pPr>
        <w:rPr>
          <w:rFonts w:hint="default"/>
          <w:sz w:val="24"/>
          <w:szCs w:val="24"/>
          <w:highlight w:val="none"/>
          <w:lang w:val="en-US" w:eastAsia="zh-CN"/>
        </w:rPr>
      </w:pPr>
      <w:r>
        <w:rPr>
          <w:rFonts w:hint="default"/>
          <w:sz w:val="24"/>
          <w:szCs w:val="24"/>
          <w:highlight w:val="none"/>
          <w:lang w:val="en-US" w:eastAsia="zh-CN"/>
        </w:rPr>
        <w:t>（4）兽类</w:t>
      </w:r>
    </w:p>
    <w:p w14:paraId="4968F64A">
      <w:pPr>
        <w:rPr>
          <w:rFonts w:hint="default"/>
          <w:sz w:val="24"/>
          <w:szCs w:val="24"/>
          <w:highlight w:val="none"/>
          <w:lang w:val="en-US" w:eastAsia="zh-CN"/>
        </w:rPr>
      </w:pPr>
      <w:r>
        <w:rPr>
          <w:rFonts w:hint="default"/>
          <w:sz w:val="24"/>
          <w:szCs w:val="24"/>
          <w:highlight w:val="none"/>
          <w:lang w:val="en-US" w:eastAsia="zh-CN"/>
        </w:rPr>
        <w:t>①种类组成</w:t>
      </w:r>
    </w:p>
    <w:p w14:paraId="21B13639">
      <w:pPr>
        <w:rPr>
          <w:rFonts w:hint="default"/>
          <w:sz w:val="24"/>
          <w:szCs w:val="24"/>
          <w:highlight w:val="none"/>
          <w:lang w:val="en-US" w:eastAsia="zh-CN"/>
        </w:rPr>
      </w:pPr>
      <w:r>
        <w:rPr>
          <w:rFonts w:hint="default"/>
          <w:sz w:val="24"/>
          <w:szCs w:val="24"/>
          <w:highlight w:val="none"/>
          <w:lang w:val="en-US" w:eastAsia="zh-CN"/>
        </w:rPr>
        <w:t>根据现场调查，本</w:t>
      </w:r>
      <w:r>
        <w:rPr>
          <w:rFonts w:hint="eastAsia"/>
          <w:sz w:val="24"/>
          <w:szCs w:val="24"/>
          <w:highlight w:val="none"/>
          <w:lang w:val="en-US" w:eastAsia="zh-CN"/>
        </w:rPr>
        <w:t>项目</w:t>
      </w:r>
      <w:r>
        <w:rPr>
          <w:rFonts w:hint="default"/>
          <w:sz w:val="24"/>
          <w:szCs w:val="24"/>
          <w:highlight w:val="none"/>
          <w:lang w:val="en-US" w:eastAsia="zh-CN"/>
        </w:rPr>
        <w:t>评价范围内兽类主要以黄胸鼠、褐家鼠黄鼬、小家鼠、白腹鼠等为主。经查阅资料，评价范围内常见的兽类繁殖期为全年（如黄胸鼠、小家鼠）；无明显越冬停滞期，冬季活动减少；无长距离迁徙。</w:t>
      </w:r>
    </w:p>
    <w:p w14:paraId="5D4E8019">
      <w:pPr>
        <w:rPr>
          <w:rFonts w:hint="default"/>
          <w:sz w:val="24"/>
          <w:szCs w:val="24"/>
          <w:highlight w:val="none"/>
          <w:lang w:val="en-US" w:eastAsia="zh-CN"/>
        </w:rPr>
      </w:pPr>
      <w:r>
        <w:rPr>
          <w:rFonts w:hint="default"/>
          <w:sz w:val="24"/>
          <w:szCs w:val="24"/>
          <w:highlight w:val="none"/>
          <w:lang w:val="en-US" w:eastAsia="zh-CN"/>
        </w:rPr>
        <w:t>②国家重点保护种</w:t>
      </w:r>
    </w:p>
    <w:p w14:paraId="6DFDDB2E">
      <w:pPr>
        <w:rPr>
          <w:rFonts w:hint="default"/>
          <w:sz w:val="24"/>
          <w:szCs w:val="24"/>
          <w:highlight w:val="none"/>
          <w:lang w:val="en-US" w:eastAsia="zh-CN"/>
        </w:rPr>
      </w:pPr>
      <w:r>
        <w:rPr>
          <w:rFonts w:hint="default"/>
          <w:sz w:val="24"/>
          <w:szCs w:val="24"/>
          <w:highlight w:val="none"/>
          <w:lang w:val="en-US" w:eastAsia="zh-CN"/>
        </w:rPr>
        <w:t>兽类中无国家重点保护种。</w:t>
      </w:r>
    </w:p>
    <w:p w14:paraId="548331EC">
      <w:pPr>
        <w:rPr>
          <w:rFonts w:hint="default"/>
          <w:sz w:val="24"/>
          <w:szCs w:val="24"/>
          <w:highlight w:val="none"/>
          <w:lang w:val="en-US" w:eastAsia="zh-CN"/>
        </w:rPr>
      </w:pPr>
      <w:r>
        <w:rPr>
          <w:rFonts w:hint="eastAsia"/>
          <w:sz w:val="24"/>
          <w:szCs w:val="24"/>
          <w:highlight w:val="none"/>
          <w:lang w:val="en-US" w:eastAsia="zh-CN"/>
        </w:rPr>
        <w:t>4、农作物</w:t>
      </w:r>
    </w:p>
    <w:p w14:paraId="1AA31737">
      <w:pPr>
        <w:rPr>
          <w:rFonts w:hint="default"/>
          <w:sz w:val="24"/>
          <w:szCs w:val="24"/>
          <w:highlight w:val="none"/>
          <w:lang w:val="en-US" w:eastAsia="zh-CN"/>
        </w:rPr>
      </w:pPr>
      <w:r>
        <w:rPr>
          <w:rFonts w:hint="default"/>
          <w:sz w:val="24"/>
          <w:szCs w:val="24"/>
          <w:highlight w:val="none"/>
          <w:lang w:val="en-US" w:eastAsia="zh-CN"/>
        </w:rPr>
        <w:t>根据现场调查，本</w:t>
      </w:r>
      <w:r>
        <w:rPr>
          <w:rFonts w:hint="eastAsia"/>
          <w:sz w:val="24"/>
          <w:szCs w:val="24"/>
          <w:highlight w:val="none"/>
          <w:lang w:val="en-US" w:eastAsia="zh-CN"/>
        </w:rPr>
        <w:t>项目</w:t>
      </w:r>
      <w:r>
        <w:rPr>
          <w:rFonts w:hint="default"/>
          <w:sz w:val="24"/>
          <w:szCs w:val="24"/>
          <w:highlight w:val="none"/>
          <w:lang w:val="en-US" w:eastAsia="zh-CN"/>
        </w:rPr>
        <w:t>评价范围内</w:t>
      </w:r>
      <w:r>
        <w:rPr>
          <w:rFonts w:hint="eastAsia"/>
          <w:sz w:val="24"/>
          <w:szCs w:val="24"/>
          <w:highlight w:val="none"/>
          <w:lang w:val="en-US" w:eastAsia="zh-CN"/>
        </w:rPr>
        <w:t>农作物</w:t>
      </w:r>
      <w:r>
        <w:rPr>
          <w:rFonts w:hint="default"/>
          <w:sz w:val="24"/>
          <w:szCs w:val="24"/>
          <w:highlight w:val="none"/>
          <w:lang w:val="en-US" w:eastAsia="zh-CN"/>
        </w:rPr>
        <w:t>主要为水稻及马铃薯、番薯、各种蔬菜瓜果等。</w:t>
      </w:r>
    </w:p>
    <w:p w14:paraId="1A21370C">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393" w:name="_Toc2356"/>
      <w:bookmarkStart w:id="394" w:name="_Toc25435"/>
      <w:bookmarkStart w:id="395" w:name="_Toc31066"/>
      <w:bookmarkStart w:id="396" w:name="_Toc26682"/>
      <w:bookmarkStart w:id="397" w:name="_Toc12291"/>
      <w:bookmarkStart w:id="398" w:name="_Toc11208"/>
      <w:bookmarkStart w:id="399" w:name="_Toc13361"/>
      <w:bookmarkStart w:id="400" w:name="_Toc10907"/>
      <w:bookmarkStart w:id="401" w:name="_Toc27282"/>
      <w:bookmarkStart w:id="402" w:name="_Toc14382"/>
      <w:bookmarkStart w:id="403" w:name="_Toc15811"/>
      <w:bookmarkStart w:id="404" w:name="_Toc78"/>
      <w:bookmarkStart w:id="405" w:name="_Toc28655"/>
      <w:bookmarkStart w:id="406" w:name="_Toc10390"/>
      <w:r>
        <w:rPr>
          <w:rFonts w:hint="eastAsia" w:ascii="Times New Roman" w:hAnsi="Times New Roman" w:eastAsia="宋体" w:cs="Times New Roman"/>
          <w:color w:val="auto"/>
          <w:sz w:val="30"/>
          <w:szCs w:val="30"/>
          <w:highlight w:val="none"/>
          <w:u w:val="none" w:color="auto"/>
          <w:lang w:val="en-US" w:eastAsia="zh-CN"/>
        </w:rPr>
        <w:t>4</w:t>
      </w:r>
      <w:r>
        <w:rPr>
          <w:rFonts w:hint="default" w:ascii="Times New Roman" w:hAnsi="Times New Roman" w:eastAsia="宋体" w:cs="Times New Roman"/>
          <w:color w:val="auto"/>
          <w:sz w:val="30"/>
          <w:szCs w:val="30"/>
          <w:highlight w:val="none"/>
          <w:u w:val="none" w:color="auto"/>
          <w:lang w:val="en-US"/>
        </w:rPr>
        <w:t>.</w:t>
      </w:r>
      <w:r>
        <w:rPr>
          <w:rFonts w:hint="eastAsia" w:ascii="Times New Roman" w:hAnsi="Times New Roman" w:eastAsia="宋体" w:cs="Times New Roman"/>
          <w:color w:val="auto"/>
          <w:sz w:val="30"/>
          <w:szCs w:val="30"/>
          <w:highlight w:val="none"/>
          <w:u w:val="none" w:color="auto"/>
          <w:lang w:val="en-US" w:eastAsia="zh-CN"/>
        </w:rPr>
        <w:t>2</w:t>
      </w:r>
      <w:r>
        <w:rPr>
          <w:rFonts w:hint="default" w:ascii="Times New Roman" w:hAnsi="Times New Roman" w:eastAsia="宋体" w:cs="Times New Roman"/>
          <w:color w:val="auto"/>
          <w:sz w:val="30"/>
          <w:szCs w:val="30"/>
          <w:highlight w:val="none"/>
          <w:u w:val="none" w:color="auto"/>
          <w:lang w:val="en-US"/>
        </w:rPr>
        <w:t>环境质量现状</w:t>
      </w:r>
      <w:bookmarkEnd w:id="393"/>
      <w:r>
        <w:rPr>
          <w:rFonts w:hint="default" w:ascii="Times New Roman" w:hAnsi="Times New Roman" w:eastAsia="宋体" w:cs="Times New Roman"/>
          <w:color w:val="auto"/>
          <w:sz w:val="30"/>
          <w:szCs w:val="30"/>
          <w:highlight w:val="none"/>
          <w:u w:val="none" w:color="auto"/>
          <w:lang w:val="en-US"/>
        </w:rPr>
        <w:t>评价</w:t>
      </w:r>
      <w:bookmarkEnd w:id="394"/>
      <w:bookmarkEnd w:id="395"/>
      <w:bookmarkEnd w:id="396"/>
      <w:bookmarkEnd w:id="397"/>
      <w:bookmarkEnd w:id="398"/>
      <w:bookmarkEnd w:id="399"/>
      <w:bookmarkEnd w:id="400"/>
      <w:bookmarkEnd w:id="401"/>
      <w:bookmarkEnd w:id="402"/>
      <w:bookmarkEnd w:id="403"/>
      <w:bookmarkEnd w:id="404"/>
      <w:bookmarkEnd w:id="405"/>
      <w:bookmarkEnd w:id="406"/>
    </w:p>
    <w:p w14:paraId="66FA7829">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407" w:name="_Toc32581"/>
      <w:bookmarkStart w:id="408" w:name="_Toc17016"/>
      <w:bookmarkStart w:id="409" w:name="_Toc29082"/>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w:t>
      </w:r>
      <w:r>
        <w:rPr>
          <w:rFonts w:hint="eastAsia" w:cs="Times New Roman"/>
          <w:color w:val="auto"/>
          <w:sz w:val="28"/>
          <w:szCs w:val="28"/>
          <w:highlight w:val="none"/>
          <w:u w:val="none" w:color="auto"/>
          <w:lang w:val="en-US" w:eastAsia="zh-CN"/>
        </w:rPr>
        <w:t>2</w:t>
      </w:r>
      <w:r>
        <w:rPr>
          <w:rFonts w:hint="default" w:ascii="Times New Roman" w:hAnsi="Times New Roman" w:cs="Times New Roman"/>
          <w:color w:val="auto"/>
          <w:sz w:val="28"/>
          <w:szCs w:val="28"/>
          <w:highlight w:val="none"/>
          <w:u w:val="none" w:color="auto"/>
        </w:rPr>
        <w:t>.1环境空气质量现状监测与评价</w:t>
      </w:r>
      <w:bookmarkEnd w:id="407"/>
      <w:bookmarkEnd w:id="408"/>
      <w:bookmarkEnd w:id="409"/>
    </w:p>
    <w:p w14:paraId="6FB54999">
      <w:pPr>
        <w:pStyle w:val="5"/>
        <w:keepNext w:val="0"/>
        <w:keepLines w:val="0"/>
        <w:pageBreakBefore w:val="0"/>
        <w:widowControl/>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color w:val="auto"/>
          <w:sz w:val="24"/>
          <w:szCs w:val="24"/>
          <w:highlight w:val="none"/>
          <w:u w:val="none" w:color="auto"/>
          <w:lang w:val="en-US"/>
        </w:rPr>
      </w:pPr>
      <w:r>
        <w:rPr>
          <w:rFonts w:hint="eastAsia" w:ascii="Times New Roman" w:hAnsi="Times New Roman"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rPr>
        <w:t>.</w:t>
      </w:r>
      <w:r>
        <w:rPr>
          <w:rFonts w:hint="eastAsia" w:ascii="Times New Roman" w:hAnsi="Times New Roman"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val="en-US"/>
        </w:rPr>
        <w:t>.1.1区域环境空气质量达标判定</w:t>
      </w:r>
    </w:p>
    <w:p w14:paraId="161A1382">
      <w:pPr>
        <w:pStyle w:val="112"/>
        <w:keepNext w:val="0"/>
        <w:keepLines w:val="0"/>
        <w:pageBreakBefore w:val="0"/>
        <w:widowControl w:val="0"/>
        <w:kinsoku/>
        <w:wordWrap/>
        <w:overflowPunct/>
        <w:topLinePunct w:val="0"/>
        <w:autoSpaceDE/>
        <w:autoSpaceDN/>
        <w:bidi w:val="0"/>
        <w:adjustRightInd/>
        <w:snapToGrid/>
        <w:spacing w:beforeLines="0" w:line="360" w:lineRule="auto"/>
        <w:ind w:firstLine="480" w:firstLineChars="20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环境影响评价技术导则大气环境》（HJ2.2-2018），项目所在区域达标判定，优先采用国家或地方生态环境主管部门公开发布的评价基准年环境质量公告或环境质量报告中的数据或结论。国家或地方生态环境主管部门未发布城市环境空气质量达标情况的，可按照HJ663中各评价项目的年评价指标进行判定。年评价指标中的年均浓度和相应百分位数24h平均或8h平均质量浓度满足GB3095中浓度限值要求的即为达标。</w:t>
      </w:r>
    </w:p>
    <w:p w14:paraId="143B18D3">
      <w:pPr>
        <w:topLinePunct w:val="0"/>
        <w:ind w:firstLine="480"/>
        <w:rPr>
          <w:rFonts w:hint="eastAsia" w:ascii="Times New Roman" w:hAnsi="Times New Roman" w:eastAsia="宋体" w:cs="Times New Roman"/>
          <w:color w:val="auto"/>
          <w:sz w:val="24"/>
          <w:szCs w:val="24"/>
          <w:highlight w:val="none"/>
          <w:u w:val="none" w:color="auto"/>
          <w:lang w:eastAsia="zh-CN"/>
        </w:rPr>
      </w:pPr>
      <w:r>
        <w:rPr>
          <w:rFonts w:hint="eastAsia" w:cs="Times New Roman"/>
          <w:color w:val="auto"/>
          <w:sz w:val="24"/>
          <w:szCs w:val="24"/>
          <w:highlight w:val="none"/>
          <w:u w:val="none" w:color="auto"/>
          <w:lang w:val="en-US" w:eastAsia="zh-CN"/>
        </w:rPr>
        <w:t>本项目</w:t>
      </w:r>
      <w:r>
        <w:rPr>
          <w:rFonts w:hint="eastAsia" w:ascii="Times New Roman" w:hAnsi="Times New Roman" w:cs="Times New Roman"/>
          <w:color w:val="auto"/>
          <w:sz w:val="24"/>
          <w:szCs w:val="24"/>
          <w:highlight w:val="none"/>
          <w:u w:val="none" w:color="auto"/>
          <w:lang w:val="en-US" w:eastAsia="zh-CN"/>
        </w:rPr>
        <w:t>位于岳阳市平江县三阳乡，为了解项目区域环境空气质量现状，本次评价引用岳阳市生态环境局发布的《岳阳市2024年度生态环境质量公报》中平江县环境空气质量状况数据，详见下表。</w:t>
      </w:r>
    </w:p>
    <w:p w14:paraId="66FFD5CB">
      <w:pPr>
        <w:spacing w:line="240" w:lineRule="auto"/>
        <w:ind w:firstLine="422"/>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表</w:t>
      </w:r>
      <w:r>
        <w:rPr>
          <w:rFonts w:hint="eastAsia" w:cs="Times New Roman"/>
          <w:b/>
          <w:bCs/>
          <w:color w:val="auto"/>
          <w:sz w:val="21"/>
          <w:szCs w:val="21"/>
          <w:highlight w:val="none"/>
          <w:u w:val="none" w:color="auto"/>
          <w:lang w:val="en-US" w:eastAsia="zh-CN"/>
        </w:rPr>
        <w:t>4</w:t>
      </w:r>
      <w:r>
        <w:rPr>
          <w:rFonts w:hint="default" w:ascii="Times New Roman" w:hAnsi="Times New Roman" w:cs="Times New Roman"/>
          <w:b/>
          <w:bCs/>
          <w:color w:val="auto"/>
          <w:sz w:val="21"/>
          <w:szCs w:val="21"/>
          <w:highlight w:val="none"/>
          <w:u w:val="none" w:color="auto"/>
        </w:rPr>
        <w:t>.</w:t>
      </w:r>
      <w:r>
        <w:rPr>
          <w:rFonts w:hint="eastAsia" w:cs="Times New Roman"/>
          <w:b/>
          <w:bCs/>
          <w:color w:val="auto"/>
          <w:sz w:val="21"/>
          <w:szCs w:val="21"/>
          <w:highlight w:val="none"/>
          <w:u w:val="none" w:color="auto"/>
          <w:lang w:val="en-US" w:eastAsia="zh-CN"/>
        </w:rPr>
        <w:t>2</w:t>
      </w:r>
      <w:r>
        <w:rPr>
          <w:rFonts w:hint="default" w:ascii="Times New Roman" w:hAnsi="Times New Roman" w:cs="Times New Roman"/>
          <w:b/>
          <w:bCs/>
          <w:color w:val="auto"/>
          <w:sz w:val="21"/>
          <w:szCs w:val="21"/>
          <w:highlight w:val="none"/>
          <w:u w:val="none" w:color="auto"/>
        </w:rPr>
        <w:t xml:space="preserve">-1 </w:t>
      </w:r>
      <w:r>
        <w:rPr>
          <w:rFonts w:hint="eastAsia" w:cs="Times New Roman"/>
          <w:b/>
          <w:bCs/>
          <w:color w:val="auto"/>
          <w:sz w:val="21"/>
          <w:szCs w:val="21"/>
          <w:highlight w:val="none"/>
          <w:u w:val="none" w:color="auto"/>
          <w:lang w:val="en-US" w:eastAsia="zh-CN"/>
        </w:rPr>
        <w:t xml:space="preserve"> </w:t>
      </w:r>
      <w:r>
        <w:rPr>
          <w:rFonts w:hint="default" w:ascii="Times New Roman" w:hAnsi="Times New Roman" w:cs="Times New Roman"/>
          <w:b/>
          <w:bCs/>
          <w:color w:val="auto"/>
          <w:sz w:val="21"/>
          <w:szCs w:val="21"/>
          <w:highlight w:val="none"/>
          <w:u w:val="none" w:color="auto"/>
        </w:rPr>
        <w:t>环境空气质量现状监测结果</w:t>
      </w:r>
    </w:p>
    <w:tbl>
      <w:tblPr>
        <w:tblStyle w:val="111"/>
        <w:tblW w:w="4998" w:type="pct"/>
        <w:tblInd w:w="0" w:type="dxa"/>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autofit"/>
        <w:tblCellMar>
          <w:top w:w="0" w:type="dxa"/>
          <w:left w:w="0" w:type="dxa"/>
          <w:bottom w:w="0" w:type="dxa"/>
          <w:right w:w="0" w:type="dxa"/>
        </w:tblCellMar>
      </w:tblPr>
      <w:tblGrid>
        <w:gridCol w:w="820"/>
        <w:gridCol w:w="4207"/>
        <w:gridCol w:w="927"/>
        <w:gridCol w:w="1020"/>
        <w:gridCol w:w="1038"/>
        <w:gridCol w:w="1090"/>
      </w:tblGrid>
      <w:tr w14:paraId="7C433482">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blHeader/>
        </w:trPr>
        <w:tc>
          <w:tcPr>
            <w:tcW w:w="450" w:type="pct"/>
            <w:vAlign w:val="center"/>
          </w:tcPr>
          <w:p w14:paraId="42852F8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污染物</w:t>
            </w:r>
          </w:p>
        </w:tc>
        <w:tc>
          <w:tcPr>
            <w:tcW w:w="2310" w:type="pct"/>
            <w:vAlign w:val="center"/>
          </w:tcPr>
          <w:p w14:paraId="65BBA16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年评价指标</w:t>
            </w:r>
          </w:p>
        </w:tc>
        <w:tc>
          <w:tcPr>
            <w:tcW w:w="509" w:type="pct"/>
            <w:vAlign w:val="center"/>
          </w:tcPr>
          <w:p w14:paraId="119B67A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年均值</w:t>
            </w:r>
          </w:p>
        </w:tc>
        <w:tc>
          <w:tcPr>
            <w:tcW w:w="560" w:type="pct"/>
            <w:vAlign w:val="center"/>
          </w:tcPr>
          <w:p w14:paraId="7DEC80F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标准值</w:t>
            </w:r>
          </w:p>
        </w:tc>
        <w:tc>
          <w:tcPr>
            <w:tcW w:w="570" w:type="pct"/>
            <w:vAlign w:val="center"/>
          </w:tcPr>
          <w:p w14:paraId="6488267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占标率%</w:t>
            </w:r>
          </w:p>
        </w:tc>
        <w:tc>
          <w:tcPr>
            <w:tcW w:w="598" w:type="pct"/>
            <w:vAlign w:val="center"/>
          </w:tcPr>
          <w:p w14:paraId="153037E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达标情况</w:t>
            </w:r>
          </w:p>
        </w:tc>
      </w:tr>
      <w:tr w14:paraId="170A0DA7">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0" w:type="pct"/>
            <w:vAlign w:val="center"/>
          </w:tcPr>
          <w:p w14:paraId="1AFAD0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SO</w:t>
            </w:r>
            <w:r>
              <w:rPr>
                <w:rFonts w:hint="default" w:ascii="Times New Roman" w:hAnsi="Times New Roman" w:cs="Times New Roman"/>
                <w:sz w:val="21"/>
                <w:szCs w:val="21"/>
                <w:highlight w:val="none"/>
                <w:vertAlign w:val="subscript"/>
                <w:lang w:val="en-US" w:eastAsia="zh-CN"/>
              </w:rPr>
              <w:t>2</w:t>
            </w:r>
          </w:p>
        </w:tc>
        <w:tc>
          <w:tcPr>
            <w:tcW w:w="2310" w:type="pct"/>
            <w:vAlign w:val="center"/>
          </w:tcPr>
          <w:p w14:paraId="77D673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年平均质量浓度</w:t>
            </w:r>
            <w:r>
              <w:rPr>
                <w:rFonts w:hint="eastAsia" w:ascii="Times New Roman" w:hAnsi="Times New Roman" w:cs="Times New Roman"/>
                <w:sz w:val="21"/>
                <w:szCs w:val="21"/>
                <w:highlight w:val="none"/>
                <w:lang w:val="en-US" w:eastAsia="zh-CN"/>
              </w:rPr>
              <w:t>（</w:t>
            </w:r>
            <w:r>
              <w:rPr>
                <w:rFonts w:hint="default" w:ascii="Times New Roman" w:hAnsi="Times New Roman" w:cs="Times New Roman"/>
                <w:sz w:val="21"/>
                <w:szCs w:val="21"/>
                <w:highlight w:val="none"/>
                <w:lang w:val="en-US" w:eastAsia="zh-CN"/>
              </w:rPr>
              <w:t>μg/m</w:t>
            </w:r>
            <w:r>
              <w:rPr>
                <w:rFonts w:hint="default" w:ascii="Times New Roman" w:hAnsi="Times New Roman" w:cs="Times New Roman"/>
                <w:sz w:val="21"/>
                <w:szCs w:val="21"/>
                <w:highlight w:val="none"/>
                <w:vertAlign w:val="superscript"/>
                <w:lang w:val="en-US" w:eastAsia="zh-CN"/>
              </w:rPr>
              <w:t>3</w:t>
            </w:r>
            <w:r>
              <w:rPr>
                <w:rFonts w:hint="eastAsia" w:ascii="Times New Roman" w:hAnsi="Times New Roman" w:cs="Times New Roman"/>
                <w:sz w:val="21"/>
                <w:szCs w:val="21"/>
                <w:highlight w:val="none"/>
                <w:lang w:val="en-US" w:eastAsia="zh-CN"/>
              </w:rPr>
              <w:t>）</w:t>
            </w:r>
          </w:p>
        </w:tc>
        <w:tc>
          <w:tcPr>
            <w:tcW w:w="509" w:type="pct"/>
            <w:vAlign w:val="center"/>
          </w:tcPr>
          <w:p w14:paraId="1202FB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6</w:t>
            </w:r>
          </w:p>
        </w:tc>
        <w:tc>
          <w:tcPr>
            <w:tcW w:w="560" w:type="pct"/>
            <w:vAlign w:val="center"/>
          </w:tcPr>
          <w:p w14:paraId="09A6BA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60</w:t>
            </w:r>
          </w:p>
        </w:tc>
        <w:tc>
          <w:tcPr>
            <w:tcW w:w="570" w:type="pct"/>
            <w:vAlign w:val="center"/>
          </w:tcPr>
          <w:p w14:paraId="5582A1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10</w:t>
            </w:r>
          </w:p>
        </w:tc>
        <w:tc>
          <w:tcPr>
            <w:tcW w:w="598" w:type="pct"/>
            <w:vAlign w:val="center"/>
          </w:tcPr>
          <w:p w14:paraId="481670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达标</w:t>
            </w:r>
          </w:p>
        </w:tc>
      </w:tr>
      <w:tr w14:paraId="03B7F35B">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0" w:type="pct"/>
            <w:vAlign w:val="center"/>
          </w:tcPr>
          <w:p w14:paraId="7DBBD8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NO</w:t>
            </w:r>
            <w:r>
              <w:rPr>
                <w:rFonts w:hint="default" w:ascii="Times New Roman" w:hAnsi="Times New Roman" w:cs="Times New Roman"/>
                <w:sz w:val="21"/>
                <w:szCs w:val="21"/>
                <w:highlight w:val="none"/>
                <w:vertAlign w:val="subscript"/>
                <w:lang w:val="en-US" w:eastAsia="zh-CN"/>
              </w:rPr>
              <w:t>2</w:t>
            </w:r>
          </w:p>
        </w:tc>
        <w:tc>
          <w:tcPr>
            <w:tcW w:w="2310" w:type="pct"/>
            <w:vAlign w:val="center"/>
          </w:tcPr>
          <w:p w14:paraId="18D823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年平均质量浓度</w:t>
            </w:r>
            <w:r>
              <w:rPr>
                <w:rFonts w:hint="eastAsia" w:ascii="Times New Roman" w:hAnsi="Times New Roman" w:cs="Times New Roman"/>
                <w:sz w:val="21"/>
                <w:szCs w:val="21"/>
                <w:highlight w:val="none"/>
                <w:lang w:val="en-US" w:eastAsia="zh-CN"/>
              </w:rPr>
              <w:t>（</w:t>
            </w:r>
            <w:r>
              <w:rPr>
                <w:rFonts w:hint="default" w:ascii="Times New Roman" w:hAnsi="Times New Roman" w:cs="Times New Roman"/>
                <w:sz w:val="21"/>
                <w:szCs w:val="21"/>
                <w:highlight w:val="none"/>
                <w:lang w:val="en-US" w:eastAsia="zh-CN"/>
              </w:rPr>
              <w:t>μg/m</w:t>
            </w:r>
            <w:r>
              <w:rPr>
                <w:rFonts w:hint="default" w:ascii="Times New Roman" w:hAnsi="Times New Roman" w:cs="Times New Roman"/>
                <w:sz w:val="21"/>
                <w:szCs w:val="21"/>
                <w:highlight w:val="none"/>
                <w:vertAlign w:val="superscript"/>
                <w:lang w:val="en-US" w:eastAsia="zh-CN"/>
              </w:rPr>
              <w:t>3</w:t>
            </w:r>
            <w:r>
              <w:rPr>
                <w:rFonts w:hint="eastAsia" w:ascii="Times New Roman" w:hAnsi="Times New Roman" w:cs="Times New Roman"/>
                <w:sz w:val="21"/>
                <w:szCs w:val="21"/>
                <w:highlight w:val="none"/>
                <w:lang w:val="en-US" w:eastAsia="zh-CN"/>
              </w:rPr>
              <w:t>）</w:t>
            </w:r>
          </w:p>
        </w:tc>
        <w:tc>
          <w:tcPr>
            <w:tcW w:w="509" w:type="pct"/>
            <w:vAlign w:val="center"/>
          </w:tcPr>
          <w:p w14:paraId="2A7182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14</w:t>
            </w:r>
          </w:p>
        </w:tc>
        <w:tc>
          <w:tcPr>
            <w:tcW w:w="560" w:type="pct"/>
            <w:vAlign w:val="center"/>
          </w:tcPr>
          <w:p w14:paraId="1CF473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40</w:t>
            </w:r>
          </w:p>
        </w:tc>
        <w:tc>
          <w:tcPr>
            <w:tcW w:w="570" w:type="pct"/>
            <w:vAlign w:val="center"/>
          </w:tcPr>
          <w:p w14:paraId="7DDE4A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35</w:t>
            </w:r>
          </w:p>
        </w:tc>
        <w:tc>
          <w:tcPr>
            <w:tcW w:w="598" w:type="pct"/>
            <w:vAlign w:val="center"/>
          </w:tcPr>
          <w:p w14:paraId="49C672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达标</w:t>
            </w:r>
          </w:p>
        </w:tc>
      </w:tr>
      <w:tr w14:paraId="7B244CF5">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0" w:type="pct"/>
            <w:vAlign w:val="center"/>
          </w:tcPr>
          <w:p w14:paraId="60ECB2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PM</w:t>
            </w:r>
            <w:r>
              <w:rPr>
                <w:rFonts w:hint="default" w:ascii="Times New Roman" w:hAnsi="Times New Roman" w:cs="Times New Roman"/>
                <w:sz w:val="21"/>
                <w:szCs w:val="21"/>
                <w:highlight w:val="none"/>
                <w:vertAlign w:val="subscript"/>
                <w:lang w:val="en-US" w:eastAsia="zh-CN"/>
              </w:rPr>
              <w:t>10</w:t>
            </w:r>
          </w:p>
        </w:tc>
        <w:tc>
          <w:tcPr>
            <w:tcW w:w="2310" w:type="pct"/>
            <w:vAlign w:val="center"/>
          </w:tcPr>
          <w:p w14:paraId="2B1231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年平均质量浓度</w:t>
            </w:r>
            <w:r>
              <w:rPr>
                <w:rFonts w:hint="eastAsia" w:ascii="Times New Roman" w:hAnsi="Times New Roman" w:cs="Times New Roman"/>
                <w:sz w:val="21"/>
                <w:szCs w:val="21"/>
                <w:highlight w:val="none"/>
                <w:lang w:val="en-US" w:eastAsia="zh-CN"/>
              </w:rPr>
              <w:t>（</w:t>
            </w:r>
            <w:r>
              <w:rPr>
                <w:rFonts w:hint="default" w:ascii="Times New Roman" w:hAnsi="Times New Roman" w:cs="Times New Roman"/>
                <w:sz w:val="21"/>
                <w:szCs w:val="21"/>
                <w:highlight w:val="none"/>
                <w:lang w:val="en-US" w:eastAsia="zh-CN"/>
              </w:rPr>
              <w:t>μg/m</w:t>
            </w:r>
            <w:r>
              <w:rPr>
                <w:rFonts w:hint="default" w:ascii="Times New Roman" w:hAnsi="Times New Roman" w:cs="Times New Roman"/>
                <w:sz w:val="21"/>
                <w:szCs w:val="21"/>
                <w:highlight w:val="none"/>
                <w:vertAlign w:val="superscript"/>
                <w:lang w:val="en-US" w:eastAsia="zh-CN"/>
              </w:rPr>
              <w:t>3</w:t>
            </w:r>
            <w:r>
              <w:rPr>
                <w:rFonts w:hint="eastAsia" w:ascii="Times New Roman" w:hAnsi="Times New Roman" w:cs="Times New Roman"/>
                <w:sz w:val="21"/>
                <w:szCs w:val="21"/>
                <w:highlight w:val="none"/>
                <w:lang w:val="en-US" w:eastAsia="zh-CN"/>
              </w:rPr>
              <w:t>）</w:t>
            </w:r>
          </w:p>
        </w:tc>
        <w:tc>
          <w:tcPr>
            <w:tcW w:w="509" w:type="pct"/>
            <w:vAlign w:val="center"/>
          </w:tcPr>
          <w:p w14:paraId="41686B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45</w:t>
            </w:r>
          </w:p>
        </w:tc>
        <w:tc>
          <w:tcPr>
            <w:tcW w:w="560" w:type="pct"/>
            <w:vAlign w:val="center"/>
          </w:tcPr>
          <w:p w14:paraId="42A60C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60</w:t>
            </w:r>
          </w:p>
        </w:tc>
        <w:tc>
          <w:tcPr>
            <w:tcW w:w="570" w:type="pct"/>
            <w:vAlign w:val="center"/>
          </w:tcPr>
          <w:p w14:paraId="698D5E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75</w:t>
            </w:r>
          </w:p>
        </w:tc>
        <w:tc>
          <w:tcPr>
            <w:tcW w:w="598" w:type="pct"/>
            <w:vAlign w:val="center"/>
          </w:tcPr>
          <w:p w14:paraId="32CAF3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达标</w:t>
            </w:r>
          </w:p>
        </w:tc>
      </w:tr>
      <w:tr w14:paraId="2D2E7F81">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0" w:type="pct"/>
            <w:vAlign w:val="center"/>
          </w:tcPr>
          <w:p w14:paraId="76DE6F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PM</w:t>
            </w:r>
            <w:r>
              <w:rPr>
                <w:rFonts w:hint="default" w:ascii="Times New Roman" w:hAnsi="Times New Roman" w:cs="Times New Roman"/>
                <w:sz w:val="21"/>
                <w:szCs w:val="21"/>
                <w:highlight w:val="none"/>
                <w:vertAlign w:val="subscript"/>
                <w:lang w:val="en-US" w:eastAsia="zh-CN"/>
              </w:rPr>
              <w:t>2.5</w:t>
            </w:r>
          </w:p>
        </w:tc>
        <w:tc>
          <w:tcPr>
            <w:tcW w:w="2310" w:type="pct"/>
            <w:vAlign w:val="center"/>
          </w:tcPr>
          <w:p w14:paraId="367CFE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年平均质量浓度</w:t>
            </w:r>
            <w:r>
              <w:rPr>
                <w:rFonts w:hint="eastAsia" w:ascii="Times New Roman" w:hAnsi="Times New Roman" w:cs="Times New Roman"/>
                <w:sz w:val="21"/>
                <w:szCs w:val="21"/>
                <w:highlight w:val="none"/>
                <w:lang w:val="en-US" w:eastAsia="zh-CN"/>
              </w:rPr>
              <w:t>（</w:t>
            </w:r>
            <w:r>
              <w:rPr>
                <w:rFonts w:hint="default" w:ascii="Times New Roman" w:hAnsi="Times New Roman" w:cs="Times New Roman"/>
                <w:sz w:val="21"/>
                <w:szCs w:val="21"/>
                <w:highlight w:val="none"/>
                <w:lang w:val="en-US" w:eastAsia="zh-CN"/>
              </w:rPr>
              <w:t>μg/m</w:t>
            </w:r>
            <w:r>
              <w:rPr>
                <w:rFonts w:hint="default" w:ascii="Times New Roman" w:hAnsi="Times New Roman" w:cs="Times New Roman"/>
                <w:sz w:val="21"/>
                <w:szCs w:val="21"/>
                <w:highlight w:val="none"/>
                <w:vertAlign w:val="superscript"/>
                <w:lang w:val="en-US" w:eastAsia="zh-CN"/>
              </w:rPr>
              <w:t>3</w:t>
            </w:r>
            <w:r>
              <w:rPr>
                <w:rFonts w:hint="eastAsia" w:ascii="Times New Roman" w:hAnsi="Times New Roman" w:cs="Times New Roman"/>
                <w:sz w:val="21"/>
                <w:szCs w:val="21"/>
                <w:highlight w:val="none"/>
                <w:lang w:val="en-US" w:eastAsia="zh-CN"/>
              </w:rPr>
              <w:t>）</w:t>
            </w:r>
          </w:p>
        </w:tc>
        <w:tc>
          <w:tcPr>
            <w:tcW w:w="509" w:type="pct"/>
            <w:vAlign w:val="center"/>
          </w:tcPr>
          <w:p w14:paraId="5C077C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29</w:t>
            </w:r>
          </w:p>
        </w:tc>
        <w:tc>
          <w:tcPr>
            <w:tcW w:w="560" w:type="pct"/>
            <w:vAlign w:val="center"/>
          </w:tcPr>
          <w:p w14:paraId="1D55A3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3</w:t>
            </w:r>
            <w:r>
              <w:rPr>
                <w:rFonts w:hint="eastAsia" w:ascii="Times New Roman" w:hAnsi="Times New Roman" w:cs="Times New Roman"/>
                <w:sz w:val="21"/>
                <w:szCs w:val="21"/>
                <w:highlight w:val="none"/>
                <w:lang w:val="en-US" w:eastAsia="zh-CN"/>
              </w:rPr>
              <w:t>0</w:t>
            </w:r>
          </w:p>
        </w:tc>
        <w:tc>
          <w:tcPr>
            <w:tcW w:w="570" w:type="pct"/>
            <w:vAlign w:val="center"/>
          </w:tcPr>
          <w:p w14:paraId="4F8E98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96.67</w:t>
            </w:r>
          </w:p>
        </w:tc>
        <w:tc>
          <w:tcPr>
            <w:tcW w:w="598" w:type="pct"/>
            <w:vAlign w:val="center"/>
          </w:tcPr>
          <w:p w14:paraId="29CB32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达</w:t>
            </w:r>
            <w:r>
              <w:rPr>
                <w:rFonts w:hint="default" w:ascii="Times New Roman" w:hAnsi="Times New Roman" w:cs="Times New Roman"/>
                <w:sz w:val="21"/>
                <w:szCs w:val="21"/>
                <w:highlight w:val="none"/>
                <w:lang w:val="en-US" w:eastAsia="zh-CN"/>
              </w:rPr>
              <w:t>标</w:t>
            </w:r>
          </w:p>
        </w:tc>
      </w:tr>
      <w:tr w14:paraId="52B5B064">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0" w:type="pct"/>
            <w:vAlign w:val="center"/>
          </w:tcPr>
          <w:p w14:paraId="76F416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CO</w:t>
            </w:r>
          </w:p>
        </w:tc>
        <w:tc>
          <w:tcPr>
            <w:tcW w:w="2310" w:type="pct"/>
            <w:vAlign w:val="center"/>
          </w:tcPr>
          <w:p w14:paraId="06CFE7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95百分位数日平均质量浓度（mg/m</w:t>
            </w:r>
            <w:r>
              <w:rPr>
                <w:rFonts w:hint="default" w:ascii="Times New Roman" w:hAnsi="Times New Roman" w:cs="Times New Roman"/>
                <w:sz w:val="21"/>
                <w:szCs w:val="21"/>
                <w:highlight w:val="none"/>
                <w:vertAlign w:val="superscript"/>
                <w:lang w:val="en-US" w:eastAsia="zh-CN"/>
              </w:rPr>
              <w:t>3</w:t>
            </w:r>
            <w:r>
              <w:rPr>
                <w:rFonts w:hint="default" w:ascii="Times New Roman" w:hAnsi="Times New Roman" w:cs="Times New Roman"/>
                <w:sz w:val="21"/>
                <w:szCs w:val="21"/>
                <w:highlight w:val="none"/>
                <w:lang w:val="en-US" w:eastAsia="zh-CN"/>
              </w:rPr>
              <w:t>）</w:t>
            </w:r>
          </w:p>
        </w:tc>
        <w:tc>
          <w:tcPr>
            <w:tcW w:w="509" w:type="pct"/>
            <w:vAlign w:val="center"/>
          </w:tcPr>
          <w:p w14:paraId="17193B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1</w:t>
            </w:r>
          </w:p>
        </w:tc>
        <w:tc>
          <w:tcPr>
            <w:tcW w:w="560" w:type="pct"/>
            <w:vAlign w:val="center"/>
          </w:tcPr>
          <w:p w14:paraId="78B492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4</w:t>
            </w:r>
          </w:p>
        </w:tc>
        <w:tc>
          <w:tcPr>
            <w:tcW w:w="570" w:type="pct"/>
            <w:vAlign w:val="center"/>
          </w:tcPr>
          <w:p w14:paraId="3B7871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25</w:t>
            </w:r>
          </w:p>
        </w:tc>
        <w:tc>
          <w:tcPr>
            <w:tcW w:w="598" w:type="pct"/>
            <w:vAlign w:val="center"/>
          </w:tcPr>
          <w:p w14:paraId="2378D1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达标</w:t>
            </w:r>
          </w:p>
        </w:tc>
      </w:tr>
      <w:tr w14:paraId="34B929C3">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50" w:type="pct"/>
            <w:vAlign w:val="center"/>
          </w:tcPr>
          <w:p w14:paraId="5ECB85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O</w:t>
            </w:r>
            <w:r>
              <w:rPr>
                <w:rFonts w:hint="default" w:ascii="Times New Roman" w:hAnsi="Times New Roman" w:cs="Times New Roman"/>
                <w:sz w:val="21"/>
                <w:szCs w:val="21"/>
                <w:highlight w:val="none"/>
                <w:vertAlign w:val="subscript"/>
                <w:lang w:val="en-US" w:eastAsia="zh-CN"/>
              </w:rPr>
              <w:t>3</w:t>
            </w:r>
          </w:p>
        </w:tc>
        <w:tc>
          <w:tcPr>
            <w:tcW w:w="2310" w:type="pct"/>
            <w:vAlign w:val="center"/>
          </w:tcPr>
          <w:p w14:paraId="402F31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90百分位数最大8小时平均质量浓度（</w:t>
            </w:r>
            <w:r>
              <w:rPr>
                <w:rFonts w:hint="default" w:ascii="Times New Roman" w:hAnsi="Times New Roman" w:cs="Times New Roman"/>
                <w:sz w:val="21"/>
                <w:szCs w:val="21"/>
                <w:highlight w:val="none"/>
                <w:lang w:val="en-US" w:eastAsia="zh-CN"/>
              </w:rPr>
              <w:t>μg/m</w:t>
            </w:r>
            <w:r>
              <w:rPr>
                <w:rFonts w:hint="default" w:ascii="Times New Roman" w:hAnsi="Times New Roman" w:cs="Times New Roman"/>
                <w:sz w:val="21"/>
                <w:szCs w:val="21"/>
                <w:highlight w:val="none"/>
                <w:vertAlign w:val="superscript"/>
                <w:lang w:val="en-US" w:eastAsia="zh-CN"/>
              </w:rPr>
              <w:t>3</w:t>
            </w:r>
            <w:r>
              <w:rPr>
                <w:rFonts w:hint="eastAsia" w:ascii="Times New Roman" w:hAnsi="Times New Roman" w:cs="Times New Roman"/>
                <w:sz w:val="21"/>
                <w:szCs w:val="21"/>
                <w:highlight w:val="none"/>
                <w:lang w:val="en-US" w:eastAsia="zh-CN"/>
              </w:rPr>
              <w:t>）</w:t>
            </w:r>
          </w:p>
        </w:tc>
        <w:tc>
          <w:tcPr>
            <w:tcW w:w="509" w:type="pct"/>
            <w:vAlign w:val="center"/>
          </w:tcPr>
          <w:p w14:paraId="47FAE2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130</w:t>
            </w:r>
          </w:p>
        </w:tc>
        <w:tc>
          <w:tcPr>
            <w:tcW w:w="560" w:type="pct"/>
            <w:vAlign w:val="center"/>
          </w:tcPr>
          <w:p w14:paraId="2F93C4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160</w:t>
            </w:r>
          </w:p>
        </w:tc>
        <w:tc>
          <w:tcPr>
            <w:tcW w:w="570" w:type="pct"/>
            <w:vAlign w:val="center"/>
          </w:tcPr>
          <w:p w14:paraId="0754B6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81.25</w:t>
            </w:r>
          </w:p>
        </w:tc>
        <w:tc>
          <w:tcPr>
            <w:tcW w:w="598" w:type="pct"/>
            <w:vAlign w:val="center"/>
          </w:tcPr>
          <w:p w14:paraId="761394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达标</w:t>
            </w:r>
          </w:p>
        </w:tc>
      </w:tr>
    </w:tbl>
    <w:p w14:paraId="1BFAD493">
      <w:pPr>
        <w:keepNext w:val="0"/>
        <w:keepLines w:val="0"/>
        <w:pageBreakBefore w:val="0"/>
        <w:widowControl w:val="0"/>
        <w:numPr>
          <w:ilvl w:val="0"/>
          <w:numId w:val="0"/>
        </w:numPr>
        <w:kinsoku/>
        <w:wordWrap w:val="0"/>
        <w:overflowPunct/>
        <w:topLinePunct w:val="0"/>
        <w:autoSpaceDE/>
        <w:autoSpaceDN/>
        <w:bidi w:val="0"/>
        <w:adjustRightInd/>
        <w:snapToGrid/>
        <w:ind w:firstLine="480" w:firstLineChars="200"/>
        <w:jc w:val="left"/>
        <w:textAlignment w:val="auto"/>
        <w:rPr>
          <w:rFonts w:hint="eastAsia" w:ascii="Times New Roman" w:hAnsi="Times New Roman" w:eastAsia="宋体" w:cs="Times New Roman"/>
          <w:color w:val="auto"/>
          <w:sz w:val="24"/>
          <w:szCs w:val="24"/>
          <w:highlight w:val="none"/>
          <w:u w:val="none" w:color="auto"/>
          <w:lang w:eastAsia="zh-CN"/>
        </w:rPr>
      </w:pPr>
      <w:r>
        <w:rPr>
          <w:rFonts w:hint="default" w:ascii="Times New Roman" w:hAnsi="Times New Roman" w:cs="Times New Roman"/>
          <w:bCs/>
          <w:color w:val="auto"/>
          <w:sz w:val="24"/>
          <w:szCs w:val="24"/>
          <w:highlight w:val="none"/>
          <w:u w:val="none" w:color="auto"/>
        </w:rPr>
        <w:t>从以上监测数据结果分析，</w:t>
      </w:r>
      <w:r>
        <w:rPr>
          <w:rFonts w:hint="eastAsia" w:cs="Times New Roman"/>
          <w:bCs/>
          <w:color w:val="auto"/>
          <w:sz w:val="24"/>
          <w:szCs w:val="24"/>
          <w:highlight w:val="none"/>
          <w:u w:val="none" w:color="auto"/>
          <w:lang w:val="en-US" w:eastAsia="zh-CN"/>
        </w:rPr>
        <w:t>平江县</w:t>
      </w:r>
      <w:r>
        <w:rPr>
          <w:rFonts w:hint="default" w:ascii="Times New Roman" w:hAnsi="Times New Roman" w:cs="Times New Roman"/>
          <w:bCs/>
          <w:color w:val="auto"/>
          <w:sz w:val="24"/>
          <w:szCs w:val="24"/>
          <w:highlight w:val="none"/>
          <w:u w:val="none" w:color="auto"/>
        </w:rPr>
        <w:t>SO</w:t>
      </w:r>
      <w:r>
        <w:rPr>
          <w:rFonts w:hint="default" w:ascii="Times New Roman" w:hAnsi="Times New Roman" w:cs="Times New Roman"/>
          <w:bCs/>
          <w:color w:val="auto"/>
          <w:sz w:val="24"/>
          <w:szCs w:val="24"/>
          <w:highlight w:val="none"/>
          <w:u w:val="none" w:color="auto"/>
          <w:vertAlign w:val="subscript"/>
        </w:rPr>
        <w:t>2</w:t>
      </w:r>
      <w:r>
        <w:rPr>
          <w:rFonts w:hint="default" w:ascii="Times New Roman" w:hAnsi="Times New Roman" w:cs="Times New Roman"/>
          <w:bCs/>
          <w:color w:val="auto"/>
          <w:sz w:val="24"/>
          <w:szCs w:val="24"/>
          <w:highlight w:val="none"/>
          <w:u w:val="none" w:color="auto"/>
        </w:rPr>
        <w:t>、NO</w:t>
      </w:r>
      <w:r>
        <w:rPr>
          <w:rFonts w:hint="default" w:ascii="Times New Roman" w:hAnsi="Times New Roman" w:cs="Times New Roman"/>
          <w:bCs/>
          <w:color w:val="auto"/>
          <w:sz w:val="24"/>
          <w:szCs w:val="24"/>
          <w:highlight w:val="none"/>
          <w:u w:val="none" w:color="auto"/>
          <w:vertAlign w:val="subscript"/>
        </w:rPr>
        <w:t>2</w:t>
      </w:r>
      <w:r>
        <w:rPr>
          <w:rFonts w:hint="default" w:ascii="Times New Roman" w:hAnsi="Times New Roman" w:cs="Times New Roman"/>
          <w:bCs/>
          <w:color w:val="auto"/>
          <w:sz w:val="24"/>
          <w:szCs w:val="24"/>
          <w:highlight w:val="none"/>
          <w:u w:val="none" w:color="auto"/>
        </w:rPr>
        <w:t>、PM</w:t>
      </w:r>
      <w:r>
        <w:rPr>
          <w:rFonts w:hint="default" w:ascii="Times New Roman" w:hAnsi="Times New Roman" w:cs="Times New Roman"/>
          <w:bCs/>
          <w:color w:val="auto"/>
          <w:sz w:val="24"/>
          <w:szCs w:val="24"/>
          <w:highlight w:val="none"/>
          <w:u w:val="none" w:color="auto"/>
          <w:vertAlign w:val="subscript"/>
        </w:rPr>
        <w:t>10</w:t>
      </w:r>
      <w:r>
        <w:rPr>
          <w:rFonts w:hint="default" w:ascii="Times New Roman" w:hAnsi="Times New Roman" w:cs="Times New Roman"/>
          <w:bCs/>
          <w:color w:val="auto"/>
          <w:sz w:val="24"/>
          <w:szCs w:val="24"/>
          <w:highlight w:val="none"/>
          <w:u w:val="none" w:color="auto"/>
        </w:rPr>
        <w:t>、PM</w:t>
      </w:r>
      <w:r>
        <w:rPr>
          <w:rFonts w:hint="default" w:ascii="Times New Roman" w:hAnsi="Times New Roman" w:cs="Times New Roman"/>
          <w:bCs/>
          <w:color w:val="auto"/>
          <w:sz w:val="24"/>
          <w:szCs w:val="24"/>
          <w:highlight w:val="none"/>
          <w:u w:val="none" w:color="auto"/>
          <w:vertAlign w:val="subscript"/>
        </w:rPr>
        <w:t>2.5</w:t>
      </w:r>
      <w:r>
        <w:rPr>
          <w:rFonts w:hint="eastAsia" w:cs="Times New Roman"/>
          <w:bCs/>
          <w:color w:val="auto"/>
          <w:sz w:val="24"/>
          <w:szCs w:val="24"/>
          <w:highlight w:val="none"/>
          <w:u w:val="none" w:color="auto"/>
          <w:lang w:eastAsia="zh-CN"/>
        </w:rPr>
        <w:t>、</w:t>
      </w:r>
      <w:r>
        <w:rPr>
          <w:rFonts w:hint="default" w:ascii="Times New Roman" w:hAnsi="Times New Roman" w:cs="Times New Roman"/>
          <w:bCs/>
          <w:color w:val="auto"/>
          <w:sz w:val="24"/>
          <w:szCs w:val="24"/>
          <w:highlight w:val="none"/>
          <w:u w:val="none" w:color="auto"/>
        </w:rPr>
        <w:t>CO、O</w:t>
      </w:r>
      <w:r>
        <w:rPr>
          <w:rFonts w:hint="default" w:ascii="Times New Roman" w:hAnsi="Times New Roman" w:cs="Times New Roman"/>
          <w:bCs/>
          <w:color w:val="auto"/>
          <w:sz w:val="24"/>
          <w:szCs w:val="24"/>
          <w:highlight w:val="none"/>
          <w:u w:val="none" w:color="auto"/>
          <w:vertAlign w:val="subscript"/>
        </w:rPr>
        <w:t>3</w:t>
      </w:r>
      <w:r>
        <w:rPr>
          <w:rFonts w:hint="default" w:ascii="Times New Roman" w:hAnsi="Times New Roman" w:cs="Times New Roman"/>
          <w:bCs/>
          <w:color w:val="auto"/>
          <w:sz w:val="24"/>
          <w:szCs w:val="24"/>
          <w:highlight w:val="none"/>
          <w:u w:val="none" w:color="auto"/>
        </w:rPr>
        <w:t>监测指标均符合《环境空气质量标准》（GB3095-20</w:t>
      </w:r>
      <w:r>
        <w:rPr>
          <w:rFonts w:hint="eastAsia" w:cs="Times New Roman"/>
          <w:bCs/>
          <w:color w:val="auto"/>
          <w:sz w:val="24"/>
          <w:szCs w:val="24"/>
          <w:highlight w:val="none"/>
          <w:u w:val="none" w:color="auto"/>
          <w:lang w:val="en-US" w:eastAsia="zh-CN"/>
        </w:rPr>
        <w:t>26</w:t>
      </w:r>
      <w:r>
        <w:rPr>
          <w:rFonts w:hint="default" w:ascii="Times New Roman" w:hAnsi="Times New Roman" w:cs="Times New Roman"/>
          <w:bCs/>
          <w:color w:val="auto"/>
          <w:sz w:val="24"/>
          <w:szCs w:val="24"/>
          <w:highlight w:val="none"/>
          <w:u w:val="none" w:color="auto"/>
        </w:rPr>
        <w:t>）中</w:t>
      </w:r>
      <w:r>
        <w:rPr>
          <w:rFonts w:hint="eastAsia" w:cs="Times New Roman"/>
          <w:bCs/>
          <w:color w:val="auto"/>
          <w:sz w:val="24"/>
          <w:szCs w:val="24"/>
          <w:highlight w:val="none"/>
          <w:u w:val="none" w:color="auto"/>
          <w:lang w:val="en-US" w:eastAsia="zh-CN"/>
        </w:rPr>
        <w:t>过渡阶段浓度限值</w:t>
      </w:r>
      <w:r>
        <w:rPr>
          <w:rFonts w:hint="default" w:ascii="Times New Roman" w:hAnsi="Times New Roman" w:cs="Times New Roman"/>
          <w:bCs/>
          <w:color w:val="auto"/>
          <w:sz w:val="24"/>
          <w:szCs w:val="24"/>
          <w:highlight w:val="none"/>
          <w:u w:val="none" w:color="auto"/>
        </w:rPr>
        <w:t>的二级标准要求</w:t>
      </w:r>
      <w:r>
        <w:rPr>
          <w:rFonts w:hint="eastAsia" w:ascii="Times New Roman" w:hAnsi="Times New Roman" w:cs="Times New Roman"/>
          <w:bCs/>
          <w:color w:val="auto"/>
          <w:sz w:val="24"/>
          <w:szCs w:val="24"/>
          <w:highlight w:val="none"/>
          <w:u w:val="none" w:color="auto"/>
          <w:lang w:val="en-US" w:eastAsia="zh-CN"/>
        </w:rPr>
        <w:t>，因此，</w:t>
      </w:r>
      <w:r>
        <w:rPr>
          <w:rFonts w:hint="eastAsia" w:cs="Times New Roman"/>
          <w:bCs/>
          <w:color w:val="auto"/>
          <w:sz w:val="24"/>
          <w:szCs w:val="24"/>
          <w:highlight w:val="none"/>
          <w:u w:val="none" w:color="auto"/>
          <w:lang w:eastAsia="zh-CN"/>
        </w:rPr>
        <w:t>本</w:t>
      </w:r>
      <w:r>
        <w:rPr>
          <w:rFonts w:hint="eastAsia" w:cs="Times New Roman"/>
          <w:bCs/>
          <w:color w:val="auto"/>
          <w:sz w:val="24"/>
          <w:szCs w:val="24"/>
          <w:highlight w:val="none"/>
          <w:u w:val="none" w:color="auto"/>
          <w:lang w:val="en-US" w:eastAsia="zh-CN"/>
        </w:rPr>
        <w:t>项目</w:t>
      </w:r>
      <w:r>
        <w:rPr>
          <w:rFonts w:hint="default" w:ascii="Times New Roman" w:hAnsi="Times New Roman" w:cs="Times New Roman"/>
          <w:bCs/>
          <w:color w:val="auto"/>
          <w:sz w:val="24"/>
          <w:szCs w:val="24"/>
          <w:highlight w:val="none"/>
          <w:u w:val="none" w:color="auto"/>
        </w:rPr>
        <w:t>所在区域环境空气质量为达标区。</w:t>
      </w:r>
    </w:p>
    <w:p w14:paraId="53F2FA3D">
      <w:pPr>
        <w:pStyle w:val="5"/>
        <w:keepNext w:val="0"/>
        <w:keepLines w:val="0"/>
        <w:pageBreakBefore w:val="0"/>
        <w:widowControl/>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color w:val="auto"/>
          <w:sz w:val="24"/>
          <w:szCs w:val="24"/>
          <w:highlight w:val="none"/>
          <w:u w:val="none" w:color="auto"/>
          <w:lang w:val="en-US"/>
        </w:rPr>
      </w:pPr>
      <w:r>
        <w:rPr>
          <w:rFonts w:hint="eastAsia" w:ascii="Times New Roman" w:hAnsi="Times New Roman"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lang w:val="en-US"/>
        </w:rPr>
        <w:t>.</w:t>
      </w:r>
      <w:r>
        <w:rPr>
          <w:rFonts w:hint="eastAsia" w:ascii="Times New Roman" w:hAnsi="Times New Roman"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val="en-US"/>
        </w:rPr>
        <w:t>.1.</w:t>
      </w:r>
      <w:r>
        <w:rPr>
          <w:rFonts w:hint="eastAsia" w:ascii="Times New Roman" w:hAnsi="Times New Roman"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lang w:val="en-US"/>
        </w:rPr>
        <w:t>环境空气现状监测及评价</w:t>
      </w:r>
    </w:p>
    <w:p w14:paraId="1CB9779C">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为了解</w:t>
      </w:r>
      <w:r>
        <w:rPr>
          <w:rFonts w:hint="eastAsia" w:ascii="Times New Roman" w:hAnsi="Times New Roman"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所在区域</w:t>
      </w:r>
      <w:r>
        <w:rPr>
          <w:rFonts w:hint="eastAsia"/>
          <w:color w:val="auto"/>
          <w:sz w:val="24"/>
          <w:szCs w:val="24"/>
          <w:u w:val="none" w:color="auto"/>
          <w:lang w:val="en-US" w:eastAsia="zh-CN"/>
        </w:rPr>
        <w:t>TSP</w:t>
      </w:r>
      <w:r>
        <w:rPr>
          <w:rFonts w:hint="default" w:ascii="Times New Roman" w:hAnsi="Times New Roman" w:cs="Times New Roman"/>
          <w:color w:val="auto"/>
          <w:sz w:val="24"/>
          <w:szCs w:val="24"/>
          <w:highlight w:val="none"/>
          <w:u w:val="none" w:color="auto"/>
        </w:rPr>
        <w:t>的环境质量现状，本次环评监测因子</w:t>
      </w:r>
      <w:r>
        <w:rPr>
          <w:rFonts w:hint="eastAsia" w:cs="Times New Roman"/>
          <w:color w:val="auto"/>
          <w:sz w:val="24"/>
          <w:szCs w:val="24"/>
          <w:highlight w:val="none"/>
          <w:u w:val="none" w:color="auto"/>
          <w:lang w:val="en-US" w:eastAsia="zh-CN"/>
        </w:rPr>
        <w:t>TSP</w:t>
      </w:r>
      <w:r>
        <w:rPr>
          <w:rFonts w:hint="eastAsia"/>
          <w:color w:val="auto"/>
          <w:sz w:val="24"/>
          <w:szCs w:val="24"/>
          <w:u w:val="none" w:color="auto"/>
          <w:lang w:val="en-US" w:eastAsia="zh-CN"/>
        </w:rPr>
        <w:t>引用</w:t>
      </w:r>
      <w:r>
        <w:rPr>
          <w:rFonts w:hint="default" w:ascii="Times New Roman" w:hAnsi="Times New Roman" w:cs="Times New Roman"/>
          <w:color w:val="auto"/>
          <w:sz w:val="24"/>
          <w:szCs w:val="24"/>
          <w:highlight w:val="none"/>
          <w:u w:val="none" w:color="auto"/>
        </w:rPr>
        <w:t>《平江县三阳乡南尧村片区（垂拱组、仙人组）历史遗留重金属废渣整治项目</w:t>
      </w:r>
      <w:r>
        <w:rPr>
          <w:rFonts w:hint="eastAsia" w:cs="Times New Roman"/>
          <w:color w:val="auto"/>
          <w:sz w:val="24"/>
          <w:szCs w:val="24"/>
          <w:highlight w:val="none"/>
          <w:u w:val="none" w:color="auto"/>
          <w:lang w:val="en-US" w:eastAsia="zh-CN"/>
        </w:rPr>
        <w:t>环境影响报告书</w:t>
      </w:r>
      <w:r>
        <w:rPr>
          <w:rFonts w:hint="default" w:ascii="Times New Roman" w:hAnsi="Times New Roman" w:cs="Times New Roman"/>
          <w:color w:val="auto"/>
          <w:sz w:val="24"/>
          <w:szCs w:val="24"/>
          <w:highlight w:val="none"/>
          <w:u w:val="none" w:color="auto"/>
        </w:rPr>
        <w:t>》中</w:t>
      </w:r>
      <w:r>
        <w:rPr>
          <w:rFonts w:hint="eastAsia" w:cs="Times New Roman"/>
          <w:color w:val="auto"/>
          <w:sz w:val="24"/>
          <w:szCs w:val="24"/>
          <w:highlight w:val="none"/>
          <w:u w:val="none" w:color="auto"/>
          <w:lang w:val="en-US" w:eastAsia="zh-CN"/>
        </w:rPr>
        <w:t>监测点位（位于本项目填埋场西北侧2.5km处）的大气监测数据，</w:t>
      </w:r>
      <w:r>
        <w:rPr>
          <w:rFonts w:hint="default" w:ascii="Times New Roman" w:hAnsi="Times New Roman" w:cs="Times New Roman"/>
          <w:color w:val="auto"/>
          <w:sz w:val="24"/>
          <w:szCs w:val="24"/>
          <w:highlight w:val="none"/>
          <w:u w:val="none" w:color="auto"/>
        </w:rPr>
        <w:t>监测时间为2025年8月21日~27日</w:t>
      </w:r>
      <w:r>
        <w:rPr>
          <w:rFonts w:hint="eastAsia" w:ascii="Times New Roman" w:hAnsi="Times New Roman" w:cs="Times New Roman"/>
          <w:color w:val="auto"/>
          <w:sz w:val="24"/>
          <w:szCs w:val="24"/>
          <w:highlight w:val="none"/>
          <w:u w:val="none" w:color="auto"/>
          <w:lang w:val="en-US" w:eastAsia="zh-CN"/>
        </w:rPr>
        <w:t>。</w:t>
      </w:r>
      <w:r>
        <w:rPr>
          <w:rFonts w:hint="default" w:ascii="Times New Roman" w:hAnsi="Times New Roman" w:cs="Times New Roman"/>
          <w:color w:val="auto"/>
          <w:sz w:val="24"/>
          <w:szCs w:val="24"/>
          <w:highlight w:val="none"/>
          <w:u w:val="none" w:color="auto"/>
        </w:rPr>
        <w:t>监测及评价结果见表</w:t>
      </w:r>
      <w:r>
        <w:rPr>
          <w:rFonts w:hint="eastAsia" w:cs="Times New Roman"/>
          <w:color w:val="auto"/>
          <w:sz w:val="24"/>
          <w:szCs w:val="24"/>
          <w:highlight w:val="none"/>
          <w:u w:val="none" w:color="auto"/>
          <w:lang w:val="en-US" w:eastAsia="zh-CN"/>
        </w:rPr>
        <w:t>4</w:t>
      </w:r>
      <w:r>
        <w:rPr>
          <w:rFonts w:hint="default" w:ascii="Times New Roman" w:hAnsi="Times New Roman"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2</w:t>
      </w:r>
      <w:r>
        <w:rPr>
          <w:rFonts w:hint="default" w:ascii="Times New Roman" w:hAnsi="Times New Roman"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2</w:t>
      </w:r>
      <w:r>
        <w:rPr>
          <w:rFonts w:hint="default" w:ascii="Times New Roman" w:hAnsi="Times New Roman" w:cs="Times New Roman"/>
          <w:color w:val="auto"/>
          <w:sz w:val="24"/>
          <w:szCs w:val="24"/>
          <w:highlight w:val="none"/>
          <w:u w:val="none" w:color="auto"/>
        </w:rPr>
        <w:t>。</w:t>
      </w:r>
    </w:p>
    <w:p w14:paraId="6EFC30D7">
      <w:pPr>
        <w:pStyle w:val="131"/>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default" w:ascii="Times New Roman" w:hAnsi="Times New Roman" w:cs="Times New Roman"/>
          <w:color w:val="auto"/>
          <w:sz w:val="21"/>
          <w:szCs w:val="21"/>
          <w:highlight w:val="none"/>
          <w:u w:val="none" w:color="auto"/>
        </w:rPr>
      </w:pPr>
    </w:p>
    <w:p w14:paraId="3F5C5871">
      <w:pPr>
        <w:pStyle w:val="131"/>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default" w:ascii="Times New Roman" w:hAnsi="Times New Roman" w:cs="Times New Roman"/>
          <w:color w:val="auto"/>
          <w:sz w:val="21"/>
          <w:szCs w:val="21"/>
          <w:highlight w:val="none"/>
          <w:u w:val="none" w:color="auto"/>
        </w:rPr>
      </w:pPr>
    </w:p>
    <w:p w14:paraId="4B7A7165">
      <w:pPr>
        <w:pStyle w:val="131"/>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default" w:ascii="Times New Roman" w:hAnsi="Times New Roman" w:cs="Times New Roman"/>
          <w:color w:val="auto"/>
          <w:sz w:val="21"/>
          <w:szCs w:val="21"/>
          <w:highlight w:val="none"/>
          <w:u w:val="none" w:color="auto"/>
        </w:rPr>
      </w:pPr>
    </w:p>
    <w:p w14:paraId="5173444D">
      <w:pPr>
        <w:pStyle w:val="131"/>
        <w:keepNext w:val="0"/>
        <w:keepLines w:val="0"/>
        <w:pageBreakBefore w:val="0"/>
        <w:widowControl w:val="0"/>
        <w:kinsoku/>
        <w:wordWrap/>
        <w:overflowPunct/>
        <w:topLinePunct w:val="0"/>
        <w:autoSpaceDE/>
        <w:autoSpaceDN/>
        <w:bidi w:val="0"/>
        <w:adjustRightInd/>
        <w:snapToGrid/>
        <w:spacing w:line="240" w:lineRule="auto"/>
        <w:ind w:firstLine="42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w:t>
      </w:r>
      <w:r>
        <w:rPr>
          <w:rFonts w:hint="eastAsia" w:cs="Times New Roman"/>
          <w:color w:val="auto"/>
          <w:sz w:val="21"/>
          <w:szCs w:val="21"/>
          <w:highlight w:val="none"/>
          <w:u w:val="none" w:color="auto"/>
          <w:lang w:val="en-US" w:eastAsia="zh-CN"/>
        </w:rPr>
        <w:t>4</w:t>
      </w:r>
      <w:r>
        <w:rPr>
          <w:rFonts w:hint="default" w:ascii="Times New Roman" w:hAnsi="Times New Roman" w:cs="Times New Roman"/>
          <w:color w:val="auto"/>
          <w:sz w:val="21"/>
          <w:szCs w:val="21"/>
          <w:highlight w:val="none"/>
          <w:u w:val="none" w:color="auto"/>
        </w:rPr>
        <w:t>.</w:t>
      </w:r>
      <w:r>
        <w:rPr>
          <w:rFonts w:hint="eastAsia" w:cs="Times New Roman"/>
          <w:color w:val="auto"/>
          <w:sz w:val="21"/>
          <w:szCs w:val="21"/>
          <w:highlight w:val="none"/>
          <w:u w:val="none" w:color="auto"/>
          <w:lang w:val="en-US" w:eastAsia="zh-CN"/>
        </w:rPr>
        <w:t>2</w:t>
      </w:r>
      <w:r>
        <w:rPr>
          <w:rFonts w:hint="eastAsia" w:ascii="Times New Roman" w:hAnsi="Times New Roman" w:cs="Times New Roman"/>
          <w:color w:val="auto"/>
          <w:sz w:val="21"/>
          <w:szCs w:val="21"/>
          <w:highlight w:val="none"/>
          <w:u w:val="none" w:color="auto"/>
          <w:lang w:val="en-US" w:eastAsia="zh-CN"/>
        </w:rPr>
        <w:t>-</w:t>
      </w:r>
      <w:r>
        <w:rPr>
          <w:rFonts w:hint="eastAsia"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rPr>
        <w:t xml:space="preserve">  监测点大气现状监测及评价结果</w:t>
      </w:r>
    </w:p>
    <w:tbl>
      <w:tblPr>
        <w:tblStyle w:val="111"/>
        <w:tblW w:w="4997" w:type="pct"/>
        <w:tblInd w:w="0" w:type="dxa"/>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autofit"/>
        <w:tblCellMar>
          <w:top w:w="0" w:type="dxa"/>
          <w:left w:w="0" w:type="dxa"/>
          <w:bottom w:w="0" w:type="dxa"/>
          <w:right w:w="0" w:type="dxa"/>
        </w:tblCellMar>
      </w:tblPr>
      <w:tblGrid>
        <w:gridCol w:w="1669"/>
        <w:gridCol w:w="1236"/>
        <w:gridCol w:w="1363"/>
        <w:gridCol w:w="1527"/>
        <w:gridCol w:w="1520"/>
        <w:gridCol w:w="1042"/>
        <w:gridCol w:w="744"/>
      </w:tblGrid>
      <w:tr w14:paraId="6DECDFD3">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0" w:hRule="atLeast"/>
          <w:tblHeader/>
        </w:trPr>
        <w:tc>
          <w:tcPr>
            <w:tcW w:w="652" w:type="pct"/>
            <w:vAlign w:val="center"/>
          </w:tcPr>
          <w:p w14:paraId="2760FC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监测点位</w:t>
            </w:r>
          </w:p>
        </w:tc>
        <w:tc>
          <w:tcPr>
            <w:tcW w:w="723" w:type="pct"/>
            <w:vAlign w:val="center"/>
          </w:tcPr>
          <w:p w14:paraId="035399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污染物</w:t>
            </w:r>
          </w:p>
        </w:tc>
        <w:tc>
          <w:tcPr>
            <w:tcW w:w="792" w:type="pct"/>
            <w:vAlign w:val="center"/>
          </w:tcPr>
          <w:p w14:paraId="3DE4CD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评价标准（mg/m</w:t>
            </w:r>
            <w:r>
              <w:rPr>
                <w:rFonts w:hint="eastAsia"/>
                <w:b/>
                <w:bCs/>
                <w:sz w:val="21"/>
                <w:szCs w:val="21"/>
                <w:highlight w:val="none"/>
                <w:vertAlign w:val="superscript"/>
                <w:lang w:val="en-US" w:eastAsia="zh-CN"/>
              </w:rPr>
              <w:t>3</w:t>
            </w:r>
            <w:r>
              <w:rPr>
                <w:rFonts w:hint="eastAsia"/>
                <w:b/>
                <w:bCs/>
                <w:sz w:val="21"/>
                <w:szCs w:val="21"/>
                <w:highlight w:val="none"/>
                <w:lang w:val="en-US" w:eastAsia="zh-CN"/>
              </w:rPr>
              <w:t>）</w:t>
            </w:r>
          </w:p>
        </w:tc>
        <w:tc>
          <w:tcPr>
            <w:tcW w:w="882" w:type="pct"/>
            <w:vAlign w:val="center"/>
          </w:tcPr>
          <w:p w14:paraId="3FAEDA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监测浓度范围</w:t>
            </w:r>
          </w:p>
          <w:p w14:paraId="260C46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（mg/m</w:t>
            </w:r>
            <w:r>
              <w:rPr>
                <w:rFonts w:hint="eastAsia"/>
                <w:b/>
                <w:bCs/>
                <w:sz w:val="21"/>
                <w:szCs w:val="21"/>
                <w:highlight w:val="none"/>
                <w:vertAlign w:val="superscript"/>
                <w:lang w:val="en-US" w:eastAsia="zh-CN"/>
              </w:rPr>
              <w:t>3</w:t>
            </w:r>
            <w:r>
              <w:rPr>
                <w:rFonts w:hint="eastAsia"/>
                <w:b/>
                <w:bCs/>
                <w:sz w:val="21"/>
                <w:szCs w:val="21"/>
                <w:highlight w:val="none"/>
                <w:lang w:val="en-US" w:eastAsia="zh-CN"/>
              </w:rPr>
              <w:t>）</w:t>
            </w:r>
          </w:p>
        </w:tc>
        <w:tc>
          <w:tcPr>
            <w:tcW w:w="878" w:type="pct"/>
            <w:vAlign w:val="center"/>
          </w:tcPr>
          <w:p w14:paraId="3D4686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最大浓度占标率（%）</w:t>
            </w:r>
          </w:p>
        </w:tc>
        <w:tc>
          <w:tcPr>
            <w:tcW w:w="616" w:type="pct"/>
            <w:vAlign w:val="center"/>
          </w:tcPr>
          <w:p w14:paraId="0B3996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超标率</w:t>
            </w:r>
          </w:p>
          <w:p w14:paraId="4A62EA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w:t>
            </w:r>
          </w:p>
        </w:tc>
        <w:tc>
          <w:tcPr>
            <w:tcW w:w="452" w:type="pct"/>
            <w:vAlign w:val="center"/>
          </w:tcPr>
          <w:p w14:paraId="120050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达标</w:t>
            </w:r>
          </w:p>
          <w:p w14:paraId="06B046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情况</w:t>
            </w:r>
          </w:p>
        </w:tc>
      </w:tr>
      <w:tr w14:paraId="41E6BC38">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52" w:type="pct"/>
            <w:vAlign w:val="center"/>
          </w:tcPr>
          <w:p w14:paraId="082AAA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G1：项目所在地（</w:t>
            </w:r>
            <w:r>
              <w:rPr>
                <w:rFonts w:hint="default" w:ascii="Times New Roman" w:hAnsi="Times New Roman" w:cs="Times New Roman"/>
                <w:color w:val="auto"/>
                <w:sz w:val="21"/>
                <w:szCs w:val="21"/>
                <w:highlight w:val="none"/>
                <w:lang w:val="en-US" w:eastAsia="zh-CN"/>
              </w:rPr>
              <w:t>113°</w:t>
            </w:r>
            <w:r>
              <w:rPr>
                <w:rFonts w:hint="eastAsia" w:cs="Times New Roman"/>
                <w:color w:val="auto"/>
                <w:sz w:val="21"/>
                <w:szCs w:val="21"/>
                <w:highlight w:val="none"/>
                <w:lang w:val="en-US" w:eastAsia="zh-CN"/>
              </w:rPr>
              <w:t>33</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6.53</w:t>
            </w:r>
            <w:r>
              <w:rPr>
                <w:rFonts w:hint="default" w:ascii="Times New Roman" w:hAnsi="Times New Roman" w:cs="Times New Roman"/>
                <w:color w:val="auto"/>
                <w:sz w:val="21"/>
                <w:szCs w:val="21"/>
                <w:highlight w:val="none"/>
                <w:lang w:val="en-US" w:eastAsia="zh-CN"/>
              </w:rPr>
              <w:t>″E，28°3</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50.96</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N</w:t>
            </w:r>
            <w:r>
              <w:rPr>
                <w:rFonts w:hint="eastAsia"/>
                <w:sz w:val="21"/>
                <w:szCs w:val="21"/>
                <w:highlight w:val="none"/>
                <w:lang w:val="en-US" w:eastAsia="zh-CN"/>
              </w:rPr>
              <w:t>）</w:t>
            </w:r>
          </w:p>
        </w:tc>
        <w:tc>
          <w:tcPr>
            <w:tcW w:w="723" w:type="pct"/>
            <w:vAlign w:val="center"/>
          </w:tcPr>
          <w:p w14:paraId="6224EB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TSP</w:t>
            </w:r>
          </w:p>
        </w:tc>
        <w:tc>
          <w:tcPr>
            <w:tcW w:w="792" w:type="pct"/>
            <w:vAlign w:val="center"/>
          </w:tcPr>
          <w:p w14:paraId="791B24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0.3</w:t>
            </w:r>
          </w:p>
        </w:tc>
        <w:tc>
          <w:tcPr>
            <w:tcW w:w="882" w:type="pct"/>
            <w:vAlign w:val="center"/>
          </w:tcPr>
          <w:p w14:paraId="63E615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0.097~0.138</w:t>
            </w:r>
          </w:p>
        </w:tc>
        <w:tc>
          <w:tcPr>
            <w:tcW w:w="878" w:type="pct"/>
            <w:vAlign w:val="center"/>
          </w:tcPr>
          <w:p w14:paraId="77A20D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0.46</w:t>
            </w:r>
          </w:p>
        </w:tc>
        <w:tc>
          <w:tcPr>
            <w:tcW w:w="616" w:type="pct"/>
            <w:vAlign w:val="center"/>
          </w:tcPr>
          <w:p w14:paraId="244841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0</w:t>
            </w:r>
          </w:p>
        </w:tc>
        <w:tc>
          <w:tcPr>
            <w:tcW w:w="452" w:type="pct"/>
            <w:vAlign w:val="center"/>
          </w:tcPr>
          <w:p w14:paraId="228D50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达标</w:t>
            </w:r>
          </w:p>
        </w:tc>
      </w:tr>
    </w:tbl>
    <w:p w14:paraId="059E78C5">
      <w:pPr>
        <w:pStyle w:val="113"/>
        <w:topLinePunct w:val="0"/>
        <w:ind w:firstLine="480"/>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val="en-US" w:eastAsia="zh-CN"/>
        </w:rPr>
        <w:t>根据上表可知</w:t>
      </w:r>
      <w:r>
        <w:rPr>
          <w:rFonts w:hint="default" w:ascii="Times New Roman" w:hAnsi="Times New Roman" w:cs="Times New Roman"/>
          <w:color w:val="auto"/>
          <w:sz w:val="24"/>
          <w:szCs w:val="24"/>
          <w:highlight w:val="none"/>
          <w:u w:val="none" w:color="auto"/>
        </w:rPr>
        <w:t>，</w:t>
      </w:r>
      <w:r>
        <w:rPr>
          <w:rFonts w:hint="eastAsia"/>
          <w:color w:val="auto"/>
          <w:sz w:val="24"/>
          <w:szCs w:val="24"/>
          <w:u w:val="none" w:color="auto"/>
          <w:lang w:val="en-US" w:eastAsia="zh-CN"/>
        </w:rPr>
        <w:t>TSP满足</w:t>
      </w:r>
      <w:r>
        <w:rPr>
          <w:rFonts w:hint="default" w:ascii="Times New Roman" w:hAnsi="Times New Roman" w:cs="Times New Roman"/>
          <w:bCs/>
          <w:color w:val="auto"/>
          <w:sz w:val="24"/>
          <w:szCs w:val="24"/>
          <w:highlight w:val="none"/>
          <w:u w:val="none" w:color="auto"/>
        </w:rPr>
        <w:t>《环境空气质量标准》（GB3095-20</w:t>
      </w:r>
      <w:r>
        <w:rPr>
          <w:rFonts w:hint="eastAsia" w:cs="Times New Roman"/>
          <w:bCs/>
          <w:color w:val="auto"/>
          <w:sz w:val="24"/>
          <w:szCs w:val="24"/>
          <w:highlight w:val="none"/>
          <w:u w:val="none" w:color="auto"/>
          <w:lang w:val="en-US" w:eastAsia="zh-CN"/>
        </w:rPr>
        <w:t>26</w:t>
      </w:r>
      <w:r>
        <w:rPr>
          <w:rFonts w:hint="default" w:ascii="Times New Roman" w:hAnsi="Times New Roman" w:cs="Times New Roman"/>
          <w:bCs/>
          <w:color w:val="auto"/>
          <w:sz w:val="24"/>
          <w:szCs w:val="24"/>
          <w:highlight w:val="none"/>
          <w:u w:val="none" w:color="auto"/>
        </w:rPr>
        <w:t>）</w:t>
      </w:r>
      <w:r>
        <w:rPr>
          <w:rFonts w:hint="eastAsia" w:cs="Times New Roman"/>
          <w:bCs/>
          <w:color w:val="auto"/>
          <w:sz w:val="24"/>
          <w:szCs w:val="24"/>
          <w:highlight w:val="none"/>
          <w:u w:val="none" w:color="auto"/>
          <w:lang w:val="en-US" w:eastAsia="zh-CN"/>
        </w:rPr>
        <w:t>中</w:t>
      </w:r>
      <w:r>
        <w:rPr>
          <w:rFonts w:hint="eastAsia" w:cs="Times New Roman"/>
          <w:color w:val="auto"/>
          <w:sz w:val="24"/>
          <w:szCs w:val="24"/>
          <w:highlight w:val="none"/>
          <w:u w:val="none" w:color="auto"/>
          <w:lang w:val="en-US" w:eastAsia="zh-CN"/>
        </w:rPr>
        <w:t>过渡阶段浓度限值中</w:t>
      </w:r>
      <w:r>
        <w:rPr>
          <w:rFonts w:hint="default" w:ascii="Times New Roman" w:hAnsi="Times New Roman" w:cs="Times New Roman"/>
          <w:color w:val="auto"/>
          <w:sz w:val="24"/>
          <w:szCs w:val="24"/>
          <w:highlight w:val="none"/>
          <w:u w:val="none" w:color="auto"/>
        </w:rPr>
        <w:t>的二级标准</w:t>
      </w:r>
      <w:r>
        <w:rPr>
          <w:rFonts w:hint="eastAsia" w:ascii="Times New Roman" w:hAnsi="Times New Roman" w:cs="Times New Roman"/>
          <w:color w:val="auto"/>
          <w:sz w:val="24"/>
          <w:szCs w:val="24"/>
          <w:highlight w:val="none"/>
          <w:u w:val="none" w:color="auto"/>
          <w:lang w:val="en-US" w:eastAsia="zh-CN"/>
        </w:rPr>
        <w:t>限值</w:t>
      </w:r>
      <w:r>
        <w:rPr>
          <w:rFonts w:hint="default" w:ascii="Times New Roman" w:hAnsi="Times New Roman" w:cs="Times New Roman"/>
          <w:color w:val="auto"/>
          <w:sz w:val="24"/>
          <w:szCs w:val="24"/>
          <w:highlight w:val="none"/>
          <w:u w:val="none" w:color="auto"/>
        </w:rPr>
        <w:t>。</w:t>
      </w:r>
    </w:p>
    <w:p w14:paraId="5D2323D2">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410" w:name="_Toc17924"/>
      <w:bookmarkStart w:id="411" w:name="_Toc14179"/>
      <w:bookmarkStart w:id="412" w:name="_Toc10017"/>
      <w:bookmarkStart w:id="413" w:name="_Toc5696"/>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w:t>
      </w:r>
      <w:r>
        <w:rPr>
          <w:rFonts w:hint="eastAsia" w:cs="Times New Roman"/>
          <w:color w:val="auto"/>
          <w:sz w:val="28"/>
          <w:szCs w:val="28"/>
          <w:highlight w:val="none"/>
          <w:u w:val="none" w:color="auto"/>
          <w:lang w:val="en-US" w:eastAsia="zh-CN"/>
        </w:rPr>
        <w:t>2</w:t>
      </w:r>
      <w:r>
        <w:rPr>
          <w:rFonts w:hint="default" w:ascii="Times New Roman" w:hAnsi="Times New Roman" w:cs="Times New Roman"/>
          <w:color w:val="auto"/>
          <w:sz w:val="28"/>
          <w:szCs w:val="28"/>
          <w:highlight w:val="none"/>
          <w:u w:val="none" w:color="auto"/>
        </w:rPr>
        <w:t>.2地表水</w:t>
      </w:r>
      <w:bookmarkEnd w:id="410"/>
      <w:bookmarkEnd w:id="411"/>
      <w:bookmarkEnd w:id="412"/>
      <w:r>
        <w:rPr>
          <w:rFonts w:hint="default" w:ascii="Times New Roman" w:hAnsi="Times New Roman" w:cs="Times New Roman"/>
          <w:color w:val="auto"/>
          <w:sz w:val="28"/>
          <w:szCs w:val="28"/>
          <w:highlight w:val="none"/>
          <w:u w:val="none" w:color="auto"/>
        </w:rPr>
        <w:t>环境现状监测与评价</w:t>
      </w:r>
      <w:bookmarkEnd w:id="413"/>
    </w:p>
    <w:p w14:paraId="5498C3D3">
      <w:pPr>
        <w:keepNext w:val="0"/>
        <w:keepLines w:val="0"/>
        <w:pageBreakBefore w:val="0"/>
        <w:widowControl/>
        <w:kinsoku/>
        <w:wordWrap/>
        <w:overflowPunct/>
        <w:topLinePunct/>
        <w:autoSpaceDE/>
        <w:autoSpaceDN/>
        <w:bidi w:val="0"/>
        <w:adjustRightInd/>
        <w:snapToGrid/>
        <w:spacing w:line="360" w:lineRule="auto"/>
        <w:ind w:left="0" w:right="0" w:firstLine="478"/>
        <w:textAlignment w:val="auto"/>
        <w:rPr>
          <w:rFonts w:ascii="宋体" w:hAnsi="宋体" w:eastAsia="宋体" w:cs="宋体"/>
          <w:sz w:val="24"/>
          <w:szCs w:val="24"/>
        </w:rPr>
      </w:pPr>
      <w:r>
        <w:rPr>
          <w:rFonts w:ascii="宋体" w:hAnsi="宋体" w:eastAsia="宋体" w:cs="宋体"/>
          <w:spacing w:val="-2"/>
          <w:sz w:val="24"/>
          <w:szCs w:val="24"/>
        </w:rPr>
        <w:t>本项目周边水体为万古（白荆）水库以及无名小溪，为了解周边地表水环境质量，</w:t>
      </w:r>
      <w:r>
        <w:rPr>
          <w:rFonts w:ascii="宋体" w:hAnsi="宋体" w:eastAsia="宋体" w:cs="宋体"/>
          <w:spacing w:val="-1"/>
          <w:sz w:val="24"/>
          <w:szCs w:val="24"/>
        </w:rPr>
        <w:t>建设单位委托湖南恩尼检测有限公司进行监测，监测内容见表</w:t>
      </w:r>
      <w:r>
        <w:rPr>
          <w:rFonts w:ascii="Times New Roman" w:hAnsi="Times New Roman" w:eastAsia="Times New Roman" w:cs="Times New Roman"/>
          <w:spacing w:val="-1"/>
          <w:sz w:val="24"/>
          <w:szCs w:val="24"/>
        </w:rPr>
        <w:t>4.5-3</w:t>
      </w:r>
      <w:r>
        <w:rPr>
          <w:rFonts w:ascii="宋体" w:hAnsi="宋体" w:eastAsia="宋体" w:cs="宋体"/>
          <w:spacing w:val="-1"/>
          <w:sz w:val="24"/>
          <w:szCs w:val="24"/>
        </w:rPr>
        <w:t>。</w:t>
      </w:r>
    </w:p>
    <w:p w14:paraId="3369B705">
      <w:pPr>
        <w:spacing w:line="219" w:lineRule="auto"/>
        <w:ind w:left="2217"/>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 xml:space="preserve">4.2-3  </w:t>
      </w:r>
      <w:r>
        <w:rPr>
          <w:rFonts w:ascii="宋体" w:hAnsi="宋体" w:eastAsia="宋体" w:cs="宋体"/>
          <w:b/>
          <w:bCs/>
          <w:spacing w:val="-2"/>
          <w:sz w:val="21"/>
          <w:szCs w:val="21"/>
        </w:rPr>
        <w:t>地表水环境质量现状监测点位及内容</w:t>
      </w:r>
    </w:p>
    <w:tbl>
      <w:tblPr>
        <w:tblStyle w:val="111"/>
        <w:tblW w:w="9288"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0"/>
        <w:gridCol w:w="2609"/>
        <w:gridCol w:w="3636"/>
        <w:gridCol w:w="1503"/>
        <w:gridCol w:w="770"/>
      </w:tblGrid>
      <w:tr w14:paraId="7A6ECB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770" w:type="dxa"/>
            <w:tcBorders>
              <w:top w:val="single" w:color="000000" w:sz="10" w:space="0"/>
              <w:left w:val="single" w:color="000000" w:sz="10" w:space="0"/>
            </w:tcBorders>
            <w:vAlign w:val="center"/>
          </w:tcPr>
          <w:p w14:paraId="097C790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b/>
                <w:bCs/>
                <w:spacing w:val="3"/>
              </w:rPr>
              <w:t>编号</w:t>
            </w:r>
          </w:p>
        </w:tc>
        <w:tc>
          <w:tcPr>
            <w:tcW w:w="2609" w:type="dxa"/>
            <w:tcBorders>
              <w:top w:val="single" w:color="000000" w:sz="10" w:space="0"/>
            </w:tcBorders>
            <w:vAlign w:val="center"/>
          </w:tcPr>
          <w:p w14:paraId="185C3BC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b/>
                <w:bCs/>
                <w:spacing w:val="6"/>
              </w:rPr>
              <w:t>监测点位</w:t>
            </w:r>
          </w:p>
        </w:tc>
        <w:tc>
          <w:tcPr>
            <w:tcW w:w="3636" w:type="dxa"/>
            <w:tcBorders>
              <w:top w:val="single" w:color="000000" w:sz="10" w:space="0"/>
            </w:tcBorders>
            <w:vAlign w:val="center"/>
          </w:tcPr>
          <w:p w14:paraId="4CCE9F8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b/>
                <w:bCs/>
                <w:spacing w:val="6"/>
              </w:rPr>
              <w:t>监测内容</w:t>
            </w:r>
          </w:p>
        </w:tc>
        <w:tc>
          <w:tcPr>
            <w:tcW w:w="1503" w:type="dxa"/>
            <w:tcBorders>
              <w:top w:val="single" w:color="000000" w:sz="10" w:space="0"/>
            </w:tcBorders>
            <w:vAlign w:val="center"/>
          </w:tcPr>
          <w:p w14:paraId="359B486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b/>
                <w:bCs/>
                <w:spacing w:val="5"/>
              </w:rPr>
              <w:t>监测时间</w:t>
            </w:r>
          </w:p>
        </w:tc>
        <w:tc>
          <w:tcPr>
            <w:tcW w:w="770" w:type="dxa"/>
            <w:tcBorders>
              <w:top w:val="single" w:color="000000" w:sz="10" w:space="0"/>
              <w:right w:val="single" w:color="000000" w:sz="10" w:space="0"/>
            </w:tcBorders>
            <w:vAlign w:val="center"/>
          </w:tcPr>
          <w:p w14:paraId="0F00951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b/>
                <w:bCs/>
                <w:spacing w:val="2"/>
              </w:rPr>
              <w:t>备注</w:t>
            </w:r>
          </w:p>
        </w:tc>
      </w:tr>
      <w:tr w14:paraId="7327EA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6" w:hRule="atLeast"/>
        </w:trPr>
        <w:tc>
          <w:tcPr>
            <w:tcW w:w="770" w:type="dxa"/>
            <w:tcBorders>
              <w:left w:val="single" w:color="000000" w:sz="10" w:space="0"/>
            </w:tcBorders>
            <w:vAlign w:val="center"/>
          </w:tcPr>
          <w:p w14:paraId="2383E7EF">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W1</w:t>
            </w:r>
          </w:p>
        </w:tc>
        <w:tc>
          <w:tcPr>
            <w:tcW w:w="2609" w:type="dxa"/>
            <w:vAlign w:val="center"/>
          </w:tcPr>
          <w:p w14:paraId="6D34FF5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7"/>
              </w:rPr>
              <w:t>W1万古（白荆）水库</w:t>
            </w:r>
          </w:p>
        </w:tc>
        <w:tc>
          <w:tcPr>
            <w:tcW w:w="3636" w:type="dxa"/>
            <w:vMerge w:val="restart"/>
            <w:tcBorders>
              <w:bottom w:val="nil"/>
            </w:tcBorders>
            <w:vAlign w:val="center"/>
          </w:tcPr>
          <w:p w14:paraId="53AF5A4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14"/>
              </w:rPr>
              <w:t>水温、pH、DO、COD</w:t>
            </w:r>
            <w:r>
              <w:rPr>
                <w:rFonts w:hint="default" w:ascii="Times New Roman" w:hAnsi="Times New Roman" w:eastAsia="宋体" w:cs="Times New Roman"/>
                <w:spacing w:val="-14"/>
                <w:vertAlign w:val="subscript"/>
              </w:rPr>
              <w:t>MN</w:t>
            </w:r>
            <w:r>
              <w:rPr>
                <w:rFonts w:hint="default" w:ascii="Times New Roman" w:hAnsi="Times New Roman" w:eastAsia="宋体" w:cs="Times New Roman"/>
                <w:spacing w:val="-14"/>
              </w:rPr>
              <w:t>、COD、BOD</w:t>
            </w:r>
            <w:r>
              <w:rPr>
                <w:rFonts w:hint="default" w:ascii="Times New Roman" w:hAnsi="Times New Roman" w:eastAsia="宋体" w:cs="Times New Roman"/>
                <w:spacing w:val="-14"/>
                <w:vertAlign w:val="subscript"/>
              </w:rPr>
              <w:t>5</w:t>
            </w:r>
            <w:r>
              <w:rPr>
                <w:rFonts w:hint="default" w:ascii="Times New Roman" w:hAnsi="Times New Roman" w:eastAsia="宋体" w:cs="Times New Roman"/>
                <w:spacing w:val="-14"/>
              </w:rPr>
              <w:t>、</w:t>
            </w:r>
            <w:r>
              <w:rPr>
                <w:rFonts w:hint="default" w:ascii="Times New Roman" w:hAnsi="Times New Roman" w:eastAsia="宋体" w:cs="Times New Roman"/>
                <w:spacing w:val="5"/>
              </w:rPr>
              <w:t>石油类、</w:t>
            </w:r>
            <w:r>
              <w:rPr>
                <w:rFonts w:hint="default" w:ascii="Times New Roman" w:hAnsi="Times New Roman" w:eastAsia="宋体" w:cs="Times New Roman"/>
              </w:rPr>
              <w:t>LAS</w:t>
            </w:r>
            <w:r>
              <w:rPr>
                <w:rFonts w:hint="default" w:ascii="Times New Roman" w:hAnsi="Times New Roman" w:eastAsia="宋体" w:cs="Times New Roman"/>
                <w:spacing w:val="5"/>
              </w:rPr>
              <w:t>、</w:t>
            </w:r>
            <w:r>
              <w:rPr>
                <w:rFonts w:hint="default" w:ascii="Times New Roman" w:hAnsi="Times New Roman" w:eastAsia="宋体" w:cs="Times New Roman"/>
              </w:rPr>
              <w:t>TN</w:t>
            </w:r>
            <w:r>
              <w:rPr>
                <w:rFonts w:hint="default" w:ascii="Times New Roman" w:hAnsi="Times New Roman" w:eastAsia="宋体" w:cs="Times New Roman"/>
                <w:spacing w:val="5"/>
              </w:rPr>
              <w:t>、氨氮、</w:t>
            </w:r>
            <w:r>
              <w:rPr>
                <w:rFonts w:hint="default" w:ascii="Times New Roman" w:hAnsi="Times New Roman" w:eastAsia="宋体" w:cs="Times New Roman"/>
              </w:rPr>
              <w:t>TP</w:t>
            </w:r>
            <w:r>
              <w:rPr>
                <w:rFonts w:hint="default" w:ascii="Times New Roman" w:hAnsi="Times New Roman" w:eastAsia="宋体" w:cs="Times New Roman"/>
                <w:spacing w:val="5"/>
              </w:rPr>
              <w:t>、粪大</w:t>
            </w:r>
            <w:r>
              <w:rPr>
                <w:rFonts w:hint="default" w:ascii="Times New Roman" w:hAnsi="Times New Roman" w:eastAsia="宋体" w:cs="Times New Roman"/>
                <w:spacing w:val="10"/>
              </w:rPr>
              <w:t>肠菌群、氟化物、挥发酚、氰化物、</w:t>
            </w:r>
          </w:p>
          <w:p w14:paraId="608BF55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7"/>
              </w:rPr>
              <w:t>硫化物、汞、镉、铬（六价）、硒、</w:t>
            </w:r>
            <w:r>
              <w:rPr>
                <w:rFonts w:hint="default" w:ascii="Times New Roman" w:hAnsi="Times New Roman" w:eastAsia="宋体" w:cs="Times New Roman"/>
                <w:spacing w:val="9"/>
              </w:rPr>
              <w:t>砷、铅、锌、铜、镍、铬</w:t>
            </w:r>
          </w:p>
        </w:tc>
        <w:tc>
          <w:tcPr>
            <w:tcW w:w="1503" w:type="dxa"/>
            <w:vMerge w:val="restart"/>
            <w:tcBorders>
              <w:bottom w:val="nil"/>
            </w:tcBorders>
            <w:vAlign w:val="center"/>
          </w:tcPr>
          <w:p w14:paraId="52F607C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1"/>
                <w:sz w:val="20"/>
                <w:szCs w:val="20"/>
              </w:rPr>
              <w:t>2026.1.30-2.1</w:t>
            </w:r>
          </w:p>
        </w:tc>
        <w:tc>
          <w:tcPr>
            <w:tcW w:w="770" w:type="dxa"/>
            <w:vMerge w:val="restart"/>
            <w:tcBorders>
              <w:bottom w:val="nil"/>
              <w:right w:val="single" w:color="000000" w:sz="10" w:space="0"/>
            </w:tcBorders>
            <w:vAlign w:val="center"/>
          </w:tcPr>
          <w:p w14:paraId="3D9C233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2"/>
                <w:sz w:val="20"/>
                <w:szCs w:val="20"/>
              </w:rPr>
              <w:t>/</w:t>
            </w:r>
          </w:p>
        </w:tc>
      </w:tr>
      <w:tr w14:paraId="17A4A1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6" w:hRule="atLeast"/>
        </w:trPr>
        <w:tc>
          <w:tcPr>
            <w:tcW w:w="770" w:type="dxa"/>
            <w:tcBorders>
              <w:left w:val="single" w:color="000000" w:sz="10" w:space="0"/>
            </w:tcBorders>
            <w:vAlign w:val="center"/>
          </w:tcPr>
          <w:p w14:paraId="25B3C4A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W2</w:t>
            </w:r>
          </w:p>
        </w:tc>
        <w:tc>
          <w:tcPr>
            <w:tcW w:w="2609" w:type="dxa"/>
            <w:vAlign w:val="center"/>
          </w:tcPr>
          <w:p w14:paraId="66FEC29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8"/>
              </w:rPr>
              <w:t>W2无名小溪雨水汇入口</w:t>
            </w:r>
          </w:p>
          <w:p w14:paraId="7CED9DB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rPr>
              <w:t>断面</w:t>
            </w:r>
          </w:p>
        </w:tc>
        <w:tc>
          <w:tcPr>
            <w:tcW w:w="3636" w:type="dxa"/>
            <w:vMerge w:val="continue"/>
            <w:tcBorders>
              <w:top w:val="nil"/>
              <w:bottom w:val="nil"/>
            </w:tcBorders>
            <w:vAlign w:val="center"/>
          </w:tcPr>
          <w:p w14:paraId="1A42BE9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1503" w:type="dxa"/>
            <w:vMerge w:val="continue"/>
            <w:tcBorders>
              <w:top w:val="nil"/>
              <w:bottom w:val="nil"/>
            </w:tcBorders>
            <w:vAlign w:val="center"/>
          </w:tcPr>
          <w:p w14:paraId="6DE43FC3">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770" w:type="dxa"/>
            <w:vMerge w:val="continue"/>
            <w:tcBorders>
              <w:top w:val="nil"/>
              <w:bottom w:val="nil"/>
              <w:right w:val="single" w:color="000000" w:sz="10" w:space="0"/>
            </w:tcBorders>
            <w:vAlign w:val="center"/>
          </w:tcPr>
          <w:p w14:paraId="5C56ED6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r>
      <w:tr w14:paraId="5D63C7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6" w:hRule="atLeast"/>
        </w:trPr>
        <w:tc>
          <w:tcPr>
            <w:tcW w:w="770" w:type="dxa"/>
            <w:tcBorders>
              <w:left w:val="single" w:color="000000" w:sz="10" w:space="0"/>
            </w:tcBorders>
            <w:vAlign w:val="center"/>
          </w:tcPr>
          <w:p w14:paraId="37900B3C">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W3</w:t>
            </w:r>
          </w:p>
        </w:tc>
        <w:tc>
          <w:tcPr>
            <w:tcW w:w="2609" w:type="dxa"/>
            <w:vAlign w:val="center"/>
          </w:tcPr>
          <w:p w14:paraId="05802BB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8"/>
              </w:rPr>
              <w:t>W3无名小溪雨水汇入口</w:t>
            </w:r>
            <w:r>
              <w:rPr>
                <w:rFonts w:hint="default" w:ascii="Times New Roman" w:hAnsi="Times New Roman" w:eastAsia="宋体" w:cs="Times New Roman"/>
                <w:spacing w:val="2"/>
              </w:rPr>
              <w:t>上游500m断面</w:t>
            </w:r>
          </w:p>
        </w:tc>
        <w:tc>
          <w:tcPr>
            <w:tcW w:w="3636" w:type="dxa"/>
            <w:vMerge w:val="continue"/>
            <w:tcBorders>
              <w:top w:val="nil"/>
              <w:bottom w:val="nil"/>
            </w:tcBorders>
            <w:vAlign w:val="center"/>
          </w:tcPr>
          <w:p w14:paraId="0CA92D6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1503" w:type="dxa"/>
            <w:vMerge w:val="continue"/>
            <w:tcBorders>
              <w:top w:val="nil"/>
              <w:bottom w:val="nil"/>
            </w:tcBorders>
            <w:vAlign w:val="center"/>
          </w:tcPr>
          <w:p w14:paraId="5BC854F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770" w:type="dxa"/>
            <w:vMerge w:val="continue"/>
            <w:tcBorders>
              <w:top w:val="nil"/>
              <w:bottom w:val="nil"/>
              <w:right w:val="single" w:color="000000" w:sz="10" w:space="0"/>
            </w:tcBorders>
            <w:vAlign w:val="center"/>
          </w:tcPr>
          <w:p w14:paraId="7C9C902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r>
      <w:tr w14:paraId="4515BD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6" w:hRule="atLeast"/>
        </w:trPr>
        <w:tc>
          <w:tcPr>
            <w:tcW w:w="770" w:type="dxa"/>
            <w:tcBorders>
              <w:left w:val="single" w:color="000000" w:sz="10" w:space="0"/>
            </w:tcBorders>
            <w:vAlign w:val="center"/>
          </w:tcPr>
          <w:p w14:paraId="4050405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6"/>
                <w:sz w:val="20"/>
                <w:szCs w:val="20"/>
              </w:rPr>
              <w:t>W4</w:t>
            </w:r>
          </w:p>
        </w:tc>
        <w:tc>
          <w:tcPr>
            <w:tcW w:w="2609" w:type="dxa"/>
            <w:vAlign w:val="center"/>
          </w:tcPr>
          <w:p w14:paraId="051161A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8"/>
              </w:rPr>
              <w:t>W4无名小溪雨水汇入口</w:t>
            </w:r>
            <w:r>
              <w:rPr>
                <w:rFonts w:hint="default" w:ascii="Times New Roman" w:hAnsi="Times New Roman" w:eastAsia="宋体" w:cs="Times New Roman"/>
              </w:rPr>
              <w:t>下游1000m断面</w:t>
            </w:r>
          </w:p>
        </w:tc>
        <w:tc>
          <w:tcPr>
            <w:tcW w:w="3636" w:type="dxa"/>
            <w:vMerge w:val="continue"/>
            <w:tcBorders>
              <w:top w:val="nil"/>
              <w:bottom w:val="nil"/>
            </w:tcBorders>
            <w:vAlign w:val="center"/>
          </w:tcPr>
          <w:p w14:paraId="5E1FB6F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1503" w:type="dxa"/>
            <w:vMerge w:val="continue"/>
            <w:tcBorders>
              <w:top w:val="nil"/>
              <w:bottom w:val="nil"/>
            </w:tcBorders>
            <w:vAlign w:val="center"/>
          </w:tcPr>
          <w:p w14:paraId="62C210CD">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770" w:type="dxa"/>
            <w:vMerge w:val="continue"/>
            <w:tcBorders>
              <w:top w:val="nil"/>
              <w:bottom w:val="nil"/>
              <w:right w:val="single" w:color="000000" w:sz="10" w:space="0"/>
            </w:tcBorders>
            <w:vAlign w:val="center"/>
          </w:tcPr>
          <w:p w14:paraId="79F10AC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r>
      <w:tr w14:paraId="3E45FE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0" w:hRule="atLeast"/>
        </w:trPr>
        <w:tc>
          <w:tcPr>
            <w:tcW w:w="770" w:type="dxa"/>
            <w:tcBorders>
              <w:left w:val="single" w:color="000000" w:sz="10" w:space="0"/>
              <w:bottom w:val="single" w:color="000000" w:sz="10" w:space="0"/>
            </w:tcBorders>
            <w:vAlign w:val="center"/>
          </w:tcPr>
          <w:p w14:paraId="7CC27ED4">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0"/>
                <w:szCs w:val="20"/>
              </w:rPr>
            </w:pPr>
            <w:r>
              <w:rPr>
                <w:rFonts w:hint="default" w:ascii="Times New Roman" w:hAnsi="Times New Roman" w:eastAsia="宋体" w:cs="Times New Roman"/>
                <w:spacing w:val="4"/>
                <w:sz w:val="20"/>
                <w:szCs w:val="20"/>
              </w:rPr>
              <w:t>W5</w:t>
            </w:r>
          </w:p>
        </w:tc>
        <w:tc>
          <w:tcPr>
            <w:tcW w:w="2609" w:type="dxa"/>
            <w:tcBorders>
              <w:bottom w:val="single" w:color="000000" w:sz="10" w:space="0"/>
            </w:tcBorders>
            <w:vAlign w:val="center"/>
          </w:tcPr>
          <w:p w14:paraId="2955B93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rPr>
            </w:pPr>
            <w:r>
              <w:rPr>
                <w:rFonts w:hint="default" w:ascii="Times New Roman" w:hAnsi="Times New Roman" w:eastAsia="宋体" w:cs="Times New Roman"/>
                <w:spacing w:val="8"/>
              </w:rPr>
              <w:t>W5无名小溪雨水汇入口</w:t>
            </w:r>
            <w:r>
              <w:rPr>
                <w:rFonts w:hint="default" w:ascii="Times New Roman" w:hAnsi="Times New Roman" w:eastAsia="宋体" w:cs="Times New Roman"/>
              </w:rPr>
              <w:t>下游1500m断面</w:t>
            </w:r>
          </w:p>
        </w:tc>
        <w:tc>
          <w:tcPr>
            <w:tcW w:w="3636" w:type="dxa"/>
            <w:vMerge w:val="continue"/>
            <w:tcBorders>
              <w:top w:val="nil"/>
              <w:bottom w:val="single" w:color="000000" w:sz="10" w:space="0"/>
            </w:tcBorders>
            <w:vAlign w:val="center"/>
          </w:tcPr>
          <w:p w14:paraId="25EB12C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1503" w:type="dxa"/>
            <w:vMerge w:val="continue"/>
            <w:tcBorders>
              <w:top w:val="nil"/>
              <w:bottom w:val="single" w:color="000000" w:sz="10" w:space="0"/>
            </w:tcBorders>
            <w:vAlign w:val="center"/>
          </w:tcPr>
          <w:p w14:paraId="7E4B92C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c>
          <w:tcPr>
            <w:tcW w:w="770" w:type="dxa"/>
            <w:vMerge w:val="continue"/>
            <w:tcBorders>
              <w:top w:val="nil"/>
              <w:bottom w:val="single" w:color="000000" w:sz="10" w:space="0"/>
              <w:right w:val="single" w:color="000000" w:sz="10" w:space="0"/>
            </w:tcBorders>
            <w:vAlign w:val="center"/>
          </w:tcPr>
          <w:p w14:paraId="7548D34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z w:val="21"/>
              </w:rPr>
            </w:pPr>
          </w:p>
        </w:tc>
      </w:tr>
    </w:tbl>
    <w:p w14:paraId="1D0C3A62">
      <w:pPr>
        <w:keepNext w:val="0"/>
        <w:keepLines w:val="0"/>
        <w:pageBreakBefore w:val="0"/>
        <w:widowControl/>
        <w:kinsoku/>
        <w:wordWrap/>
        <w:overflow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1</w:t>
      </w:r>
      <w:r>
        <w:rPr>
          <w:rFonts w:ascii="宋体" w:hAnsi="宋体" w:eastAsia="宋体" w:cs="宋体"/>
          <w:spacing w:val="-3"/>
          <w:sz w:val="24"/>
          <w:szCs w:val="24"/>
        </w:rPr>
        <w:t>）监测频次</w:t>
      </w:r>
    </w:p>
    <w:p w14:paraId="5CD9D6BB">
      <w:pPr>
        <w:keepNext w:val="0"/>
        <w:keepLines w:val="0"/>
        <w:pageBreakBefore w:val="0"/>
        <w:widowControl/>
        <w:kinsoku/>
        <w:wordWrap/>
        <w:overflow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8"/>
          <w:sz w:val="24"/>
          <w:szCs w:val="24"/>
        </w:rPr>
        <w:t>连续</w:t>
      </w:r>
      <w:r>
        <w:rPr>
          <w:rFonts w:ascii="Times New Roman" w:hAnsi="Times New Roman" w:eastAsia="Times New Roman" w:cs="Times New Roman"/>
          <w:spacing w:val="-8"/>
          <w:sz w:val="24"/>
          <w:szCs w:val="24"/>
        </w:rPr>
        <w:t>3</w:t>
      </w:r>
      <w:r>
        <w:rPr>
          <w:rFonts w:ascii="宋体" w:hAnsi="宋体" w:eastAsia="宋体" w:cs="宋体"/>
          <w:spacing w:val="-8"/>
          <w:sz w:val="24"/>
          <w:szCs w:val="24"/>
        </w:rPr>
        <w:t>天，每天</w:t>
      </w:r>
      <w:r>
        <w:rPr>
          <w:rFonts w:ascii="Times New Roman" w:hAnsi="Times New Roman" w:eastAsia="Times New Roman" w:cs="Times New Roman"/>
          <w:spacing w:val="-8"/>
          <w:sz w:val="24"/>
          <w:szCs w:val="24"/>
        </w:rPr>
        <w:t>1</w:t>
      </w:r>
      <w:r>
        <w:rPr>
          <w:rFonts w:ascii="宋体" w:hAnsi="宋体" w:eastAsia="宋体" w:cs="宋体"/>
          <w:spacing w:val="-8"/>
          <w:sz w:val="24"/>
          <w:szCs w:val="24"/>
        </w:rPr>
        <w:t>次。</w:t>
      </w:r>
    </w:p>
    <w:p w14:paraId="3B4C7839">
      <w:pPr>
        <w:keepNext w:val="0"/>
        <w:keepLines w:val="0"/>
        <w:pageBreakBefore w:val="0"/>
        <w:widowControl/>
        <w:kinsoku/>
        <w:wordWrap/>
        <w:overflow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2</w:t>
      </w:r>
      <w:r>
        <w:rPr>
          <w:rFonts w:ascii="宋体" w:hAnsi="宋体" w:eastAsia="宋体" w:cs="宋体"/>
          <w:spacing w:val="-3"/>
          <w:sz w:val="24"/>
          <w:szCs w:val="24"/>
        </w:rPr>
        <w:t>）执行标准</w:t>
      </w:r>
    </w:p>
    <w:p w14:paraId="59611C88">
      <w:pPr>
        <w:keepNext w:val="0"/>
        <w:keepLines w:val="0"/>
        <w:pageBreakBefore w:val="0"/>
        <w:widowControl/>
        <w:kinsoku/>
        <w:wordWrap/>
        <w:overflow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z w:val="24"/>
          <w:szCs w:val="24"/>
        </w:rPr>
        <w:t>各指标均执行《地表水环境质量标准》（</w:t>
      </w:r>
      <w:r>
        <w:rPr>
          <w:rFonts w:ascii="Times New Roman" w:hAnsi="Times New Roman" w:eastAsia="Times New Roman" w:cs="Times New Roman"/>
          <w:sz w:val="24"/>
          <w:szCs w:val="24"/>
        </w:rPr>
        <w:t>GB3</w:t>
      </w:r>
      <w:r>
        <w:rPr>
          <w:rFonts w:ascii="Times New Roman" w:hAnsi="Times New Roman" w:eastAsia="Times New Roman" w:cs="Times New Roman"/>
          <w:spacing w:val="-1"/>
          <w:sz w:val="24"/>
          <w:szCs w:val="24"/>
        </w:rPr>
        <w:t>838-2002</w:t>
      </w:r>
      <w:r>
        <w:rPr>
          <w:rFonts w:ascii="宋体" w:hAnsi="宋体" w:eastAsia="宋体" w:cs="宋体"/>
          <w:spacing w:val="-1"/>
          <w:sz w:val="24"/>
          <w:szCs w:val="24"/>
        </w:rPr>
        <w:t>）Ⅲ类标准。</w:t>
      </w:r>
    </w:p>
    <w:p w14:paraId="158CA16B">
      <w:pPr>
        <w:keepNext w:val="0"/>
        <w:keepLines w:val="0"/>
        <w:pageBreakBefore w:val="0"/>
        <w:widowControl/>
        <w:kinsoku/>
        <w:wordWrap/>
        <w:overflow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3</w:t>
      </w:r>
      <w:r>
        <w:rPr>
          <w:rFonts w:ascii="宋体" w:hAnsi="宋体" w:eastAsia="宋体" w:cs="宋体"/>
          <w:spacing w:val="-3"/>
          <w:sz w:val="24"/>
          <w:szCs w:val="24"/>
        </w:rPr>
        <w:t>）评价方法</w:t>
      </w:r>
    </w:p>
    <w:p w14:paraId="049674C8">
      <w:pPr>
        <w:ind w:firstLine="480"/>
        <w:rPr>
          <w:rFonts w:hint="eastAsia" w:ascii="Times New Roman" w:hAnsi="Times New Roman" w:eastAsia="宋体" w:cs="Times New Roman"/>
          <w:color w:val="auto"/>
          <w:position w:val="3"/>
          <w:sz w:val="24"/>
          <w:szCs w:val="24"/>
          <w:u w:val="none" w:color="auto"/>
          <w:lang w:eastAsia="zh-CN"/>
        </w:rPr>
      </w:pPr>
      <w:r>
        <w:rPr>
          <w:rFonts w:hint="eastAsia" w:cs="Times New Roman"/>
          <w:color w:val="auto"/>
          <w:position w:val="3"/>
          <w:sz w:val="24"/>
          <w:szCs w:val="24"/>
          <w:u w:val="none" w:color="auto"/>
          <w:lang w:val="en-US" w:eastAsia="zh-CN"/>
        </w:rPr>
        <w:t>①</w:t>
      </w:r>
      <w:r>
        <w:rPr>
          <w:rFonts w:hint="default" w:ascii="Times New Roman" w:hAnsi="Times New Roman" w:cs="Times New Roman"/>
          <w:color w:val="auto"/>
          <w:position w:val="3"/>
          <w:sz w:val="24"/>
          <w:szCs w:val="24"/>
          <w:u w:val="none" w:color="auto"/>
        </w:rPr>
        <w:t>水环境现状评价采用单因子标准指数法进行水环境质量现状评价。单项水质参数i在第j点的标准指数为</w:t>
      </w:r>
      <w:r>
        <w:rPr>
          <w:rFonts w:hint="eastAsia" w:cs="Times New Roman"/>
          <w:color w:val="auto"/>
          <w:position w:val="3"/>
          <w:sz w:val="24"/>
          <w:szCs w:val="24"/>
          <w:u w:val="none" w:color="auto"/>
          <w:lang w:eastAsia="zh-CN"/>
        </w:rPr>
        <w:t>：</w:t>
      </w:r>
    </w:p>
    <w:p w14:paraId="261E829A">
      <w:pPr>
        <w:snapToGrid w:val="0"/>
        <w:ind w:left="0" w:leftChars="0" w:firstLine="0" w:firstLineChars="0"/>
        <w:jc w:val="center"/>
        <w:rPr>
          <w:rFonts w:hint="default" w:ascii="Times New Roman" w:hAnsi="Times New Roman" w:cs="Times New Roman"/>
          <w:i/>
          <w:color w:val="auto"/>
          <w:sz w:val="24"/>
          <w:szCs w:val="24"/>
          <w:u w:val="none" w:color="auto"/>
          <w:vertAlign w:val="subscript"/>
        </w:rPr>
      </w:pPr>
      <w:r>
        <w:rPr>
          <w:rFonts w:hint="default" w:ascii="Times New Roman" w:hAnsi="Times New Roman" w:cs="Times New Roman"/>
          <w:i/>
          <w:color w:val="auto"/>
          <w:sz w:val="24"/>
          <w:szCs w:val="24"/>
          <w:u w:val="none" w:color="auto"/>
        </w:rPr>
        <w:t>S</w:t>
      </w:r>
      <w:r>
        <w:rPr>
          <w:rFonts w:hint="default" w:ascii="Times New Roman" w:hAnsi="Times New Roman" w:cs="Times New Roman"/>
          <w:i/>
          <w:color w:val="auto"/>
          <w:sz w:val="24"/>
          <w:szCs w:val="24"/>
          <w:u w:val="none" w:color="auto"/>
          <w:vertAlign w:val="subscript"/>
        </w:rPr>
        <w:t>i</w:t>
      </w:r>
      <w:r>
        <w:rPr>
          <w:rFonts w:hint="eastAsia" w:cs="Times New Roman"/>
          <w:i/>
          <w:color w:val="auto"/>
          <w:sz w:val="24"/>
          <w:szCs w:val="24"/>
          <w:u w:val="none" w:color="auto"/>
          <w:vertAlign w:val="subscript"/>
          <w:lang w:val="en-US" w:eastAsia="zh-CN"/>
        </w:rPr>
        <w:t>,</w:t>
      </w:r>
      <w:r>
        <w:rPr>
          <w:rFonts w:hint="default" w:ascii="Times New Roman" w:hAnsi="Times New Roman" w:cs="Times New Roman"/>
          <w:i/>
          <w:color w:val="auto"/>
          <w:sz w:val="24"/>
          <w:szCs w:val="24"/>
          <w:u w:val="none" w:color="auto"/>
          <w:vertAlign w:val="subscript"/>
        </w:rPr>
        <w:t>j</w:t>
      </w:r>
      <w:r>
        <w:rPr>
          <w:rFonts w:hint="default" w:ascii="Times New Roman" w:hAnsi="Times New Roman" w:cs="Times New Roman"/>
          <w:i/>
          <w:color w:val="auto"/>
          <w:sz w:val="24"/>
          <w:szCs w:val="24"/>
          <w:u w:val="none" w:color="auto"/>
        </w:rPr>
        <w:t>=C</w:t>
      </w:r>
      <w:r>
        <w:rPr>
          <w:rFonts w:hint="default" w:ascii="Times New Roman" w:hAnsi="Times New Roman" w:cs="Times New Roman"/>
          <w:i/>
          <w:color w:val="auto"/>
          <w:sz w:val="24"/>
          <w:szCs w:val="24"/>
          <w:u w:val="none" w:color="auto"/>
          <w:vertAlign w:val="subscript"/>
        </w:rPr>
        <w:t>i,j</w:t>
      </w:r>
      <w:r>
        <w:rPr>
          <w:rFonts w:hint="default" w:ascii="Times New Roman" w:hAnsi="Times New Roman" w:cs="Times New Roman"/>
          <w:i/>
          <w:color w:val="auto"/>
          <w:sz w:val="24"/>
          <w:szCs w:val="24"/>
          <w:u w:val="none" w:color="auto"/>
        </w:rPr>
        <w:t>/C</w:t>
      </w:r>
      <w:r>
        <w:rPr>
          <w:rFonts w:hint="default" w:ascii="Times New Roman" w:hAnsi="Times New Roman" w:cs="Times New Roman"/>
          <w:i/>
          <w:color w:val="auto"/>
          <w:sz w:val="24"/>
          <w:szCs w:val="24"/>
          <w:u w:val="none" w:color="auto"/>
          <w:vertAlign w:val="subscript"/>
        </w:rPr>
        <w:t>si</w:t>
      </w:r>
    </w:p>
    <w:p w14:paraId="751FF12A">
      <w:pPr>
        <w:ind w:firstLine="480"/>
        <w:rPr>
          <w:rFonts w:hint="default" w:ascii="Times New Roman" w:hAnsi="Times New Roman" w:cs="Times New Roman"/>
          <w:color w:val="auto"/>
          <w:position w:val="3"/>
          <w:sz w:val="24"/>
          <w:szCs w:val="24"/>
          <w:u w:val="none" w:color="auto"/>
          <w:lang w:val="en-US" w:eastAsia="zh-CN"/>
        </w:rPr>
      </w:pPr>
      <w:r>
        <w:rPr>
          <w:rFonts w:hint="default" w:ascii="Times New Roman" w:hAnsi="Times New Roman" w:cs="Times New Roman"/>
          <w:color w:val="auto"/>
          <w:position w:val="3"/>
          <w:sz w:val="24"/>
          <w:szCs w:val="24"/>
          <w:u w:val="none" w:color="auto"/>
          <w:lang w:val="en-US" w:eastAsia="zh-CN"/>
        </w:rPr>
        <w:t>式中</w:t>
      </w:r>
      <w:r>
        <w:rPr>
          <w:rFonts w:hint="eastAsia" w:cs="Times New Roman"/>
          <w:color w:val="auto"/>
          <w:position w:val="3"/>
          <w:sz w:val="24"/>
          <w:szCs w:val="24"/>
          <w:u w:val="none" w:color="auto"/>
          <w:lang w:val="en-US" w:eastAsia="zh-CN"/>
        </w:rPr>
        <w:t>：</w:t>
      </w:r>
      <w:r>
        <w:rPr>
          <w:rFonts w:hint="default" w:ascii="Times New Roman" w:hAnsi="Times New Roman" w:cs="Times New Roman"/>
          <w:i/>
          <w:color w:val="auto"/>
          <w:sz w:val="24"/>
          <w:szCs w:val="24"/>
          <w:u w:val="none" w:color="auto"/>
        </w:rPr>
        <w:t>S</w:t>
      </w:r>
      <w:r>
        <w:rPr>
          <w:rFonts w:hint="default" w:ascii="Times New Roman" w:hAnsi="Times New Roman" w:cs="Times New Roman"/>
          <w:i/>
          <w:color w:val="auto"/>
          <w:sz w:val="24"/>
          <w:szCs w:val="24"/>
          <w:u w:val="none" w:color="auto"/>
          <w:vertAlign w:val="subscript"/>
        </w:rPr>
        <w:t>i</w:t>
      </w:r>
      <w:r>
        <w:rPr>
          <w:rFonts w:hint="eastAsia" w:cs="Times New Roman"/>
          <w:i/>
          <w:color w:val="auto"/>
          <w:sz w:val="24"/>
          <w:szCs w:val="24"/>
          <w:u w:val="none" w:color="auto"/>
          <w:vertAlign w:val="subscript"/>
          <w:lang w:val="en-US" w:eastAsia="zh-CN"/>
        </w:rPr>
        <w:t>,</w:t>
      </w:r>
      <w:r>
        <w:rPr>
          <w:rFonts w:hint="default" w:ascii="Times New Roman" w:hAnsi="Times New Roman" w:cs="Times New Roman"/>
          <w:i/>
          <w:color w:val="auto"/>
          <w:sz w:val="24"/>
          <w:szCs w:val="24"/>
          <w:u w:val="none" w:color="auto"/>
          <w:vertAlign w:val="subscript"/>
        </w:rPr>
        <w:t>j</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lang w:val="en-US" w:eastAsia="zh-CN"/>
        </w:rPr>
        <w:t>评价因子</w:t>
      </w:r>
      <w:r>
        <w:rPr>
          <w:rFonts w:hint="eastAsia" w:cs="Times New Roman"/>
          <w:color w:val="auto"/>
          <w:position w:val="3"/>
          <w:sz w:val="24"/>
          <w:szCs w:val="24"/>
          <w:u w:val="none" w:color="auto"/>
          <w:lang w:val="en-US" w:eastAsia="zh-CN"/>
        </w:rPr>
        <w:t>i</w:t>
      </w:r>
      <w:r>
        <w:rPr>
          <w:rFonts w:hint="default" w:ascii="Times New Roman" w:hAnsi="Times New Roman" w:cs="Times New Roman"/>
          <w:color w:val="auto"/>
          <w:position w:val="3"/>
          <w:sz w:val="24"/>
          <w:szCs w:val="24"/>
          <w:u w:val="none" w:color="auto"/>
          <w:lang w:val="en-US" w:eastAsia="zh-CN"/>
        </w:rPr>
        <w:t>的水质指数，大于1表明该水质因子超标</w:t>
      </w:r>
      <w:r>
        <w:rPr>
          <w:rFonts w:hint="eastAsia" w:cs="Times New Roman"/>
          <w:color w:val="auto"/>
          <w:position w:val="3"/>
          <w:sz w:val="24"/>
          <w:szCs w:val="24"/>
          <w:u w:val="none" w:color="auto"/>
          <w:lang w:val="en-US" w:eastAsia="zh-CN"/>
        </w:rPr>
        <w:t>；</w:t>
      </w:r>
    </w:p>
    <w:p w14:paraId="2264969C">
      <w:pPr>
        <w:ind w:firstLine="1200" w:firstLineChars="500"/>
        <w:rPr>
          <w:rFonts w:hint="default" w:ascii="Times New Roman" w:hAnsi="Times New Roman" w:cs="Times New Roman"/>
          <w:color w:val="auto"/>
          <w:position w:val="3"/>
          <w:sz w:val="24"/>
          <w:szCs w:val="24"/>
          <w:u w:val="none" w:color="auto"/>
          <w:lang w:val="en-US" w:eastAsia="zh-CN"/>
        </w:rPr>
      </w:pPr>
      <w:r>
        <w:rPr>
          <w:rFonts w:hint="default" w:ascii="Times New Roman" w:hAnsi="Times New Roman" w:cs="Times New Roman"/>
          <w:i/>
          <w:color w:val="auto"/>
          <w:sz w:val="24"/>
          <w:szCs w:val="24"/>
          <w:u w:val="none" w:color="auto"/>
        </w:rPr>
        <w:t>C</w:t>
      </w:r>
      <w:r>
        <w:rPr>
          <w:rFonts w:hint="default" w:ascii="Times New Roman" w:hAnsi="Times New Roman" w:cs="Times New Roman"/>
          <w:i/>
          <w:color w:val="auto"/>
          <w:sz w:val="24"/>
          <w:szCs w:val="24"/>
          <w:u w:val="none" w:color="auto"/>
          <w:vertAlign w:val="subscript"/>
        </w:rPr>
        <w:t>i,j</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lang w:val="en-US" w:eastAsia="zh-CN"/>
        </w:rPr>
        <w:t>评价因子i在j点的实测统计代表值，mgL</w:t>
      </w:r>
      <w:r>
        <w:rPr>
          <w:rFonts w:hint="eastAsia" w:cs="Times New Roman"/>
          <w:color w:val="auto"/>
          <w:position w:val="3"/>
          <w:sz w:val="24"/>
          <w:szCs w:val="24"/>
          <w:u w:val="none" w:color="auto"/>
          <w:lang w:val="en-US" w:eastAsia="zh-CN"/>
        </w:rPr>
        <w:t>；</w:t>
      </w:r>
    </w:p>
    <w:p w14:paraId="64682BBD">
      <w:pPr>
        <w:ind w:firstLine="960" w:firstLineChars="400"/>
        <w:rPr>
          <w:rFonts w:hint="default" w:ascii="Times New Roman" w:hAnsi="Times New Roman" w:cs="Times New Roman"/>
          <w:color w:val="auto"/>
          <w:position w:val="3"/>
          <w:sz w:val="24"/>
          <w:szCs w:val="24"/>
          <w:u w:val="none" w:color="auto"/>
          <w:lang w:val="en-US" w:eastAsia="zh-CN"/>
        </w:rPr>
      </w:pPr>
      <w:r>
        <w:rPr>
          <w:rFonts w:hint="default" w:ascii="Times New Roman" w:hAnsi="Times New Roman" w:cs="Times New Roman"/>
          <w:i/>
          <w:color w:val="auto"/>
          <w:sz w:val="24"/>
          <w:szCs w:val="24"/>
          <w:u w:val="none" w:color="auto"/>
        </w:rPr>
        <w:t>C</w:t>
      </w:r>
      <w:r>
        <w:rPr>
          <w:rFonts w:hint="default" w:ascii="Times New Roman" w:hAnsi="Times New Roman" w:cs="Times New Roman"/>
          <w:i/>
          <w:color w:val="auto"/>
          <w:sz w:val="24"/>
          <w:szCs w:val="24"/>
          <w:u w:val="none" w:color="auto"/>
          <w:vertAlign w:val="subscript"/>
        </w:rPr>
        <w:t>si</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lang w:val="en-US" w:eastAsia="zh-CN"/>
        </w:rPr>
        <w:t>评价因子i的水质评价标准限值，mg/L。</w:t>
      </w:r>
    </w:p>
    <w:p w14:paraId="0CCD66F8">
      <w:pPr>
        <w:snapToGrid w:val="0"/>
        <w:ind w:firstLine="480"/>
        <w:jc w:val="left"/>
        <w:rPr>
          <w:rFonts w:hint="eastAsia" w:ascii="Times New Roman" w:hAnsi="Times New Roman" w:eastAsia="宋体" w:cs="Times New Roman"/>
          <w:color w:val="auto"/>
          <w:position w:val="3"/>
          <w:sz w:val="24"/>
          <w:szCs w:val="24"/>
          <w:u w:val="none" w:color="auto"/>
          <w:lang w:eastAsia="zh-CN"/>
        </w:rPr>
      </w:pPr>
      <w:r>
        <w:rPr>
          <w:rFonts w:hint="eastAsia" w:cs="Times New Roman"/>
          <w:color w:val="auto"/>
          <w:position w:val="3"/>
          <w:sz w:val="24"/>
          <w:szCs w:val="24"/>
          <w:u w:val="none" w:color="auto"/>
          <w:lang w:val="en-US" w:eastAsia="zh-CN"/>
        </w:rPr>
        <w:t>②</w:t>
      </w:r>
      <w:r>
        <w:rPr>
          <w:rFonts w:hint="default" w:ascii="Times New Roman" w:hAnsi="Times New Roman" w:cs="Times New Roman"/>
          <w:color w:val="auto"/>
          <w:position w:val="3"/>
          <w:sz w:val="24"/>
          <w:szCs w:val="24"/>
          <w:u w:val="none" w:color="auto"/>
        </w:rPr>
        <w:t>溶解氧</w:t>
      </w:r>
      <w:r>
        <w:rPr>
          <w:rFonts w:hint="eastAsia" w:cs="Times New Roman"/>
          <w:color w:val="auto"/>
          <w:position w:val="3"/>
          <w:sz w:val="24"/>
          <w:szCs w:val="24"/>
          <w:u w:val="none" w:color="auto"/>
          <w:lang w:val="en-US" w:eastAsia="zh-CN"/>
        </w:rPr>
        <w:t>（</w:t>
      </w:r>
      <w:r>
        <w:rPr>
          <w:rFonts w:hint="default" w:ascii="Times New Roman" w:hAnsi="Times New Roman" w:cs="Times New Roman"/>
          <w:color w:val="auto"/>
          <w:position w:val="3"/>
          <w:sz w:val="24"/>
          <w:szCs w:val="24"/>
          <w:u w:val="none" w:color="auto"/>
        </w:rPr>
        <w:t>DO</w:t>
      </w:r>
      <w:r>
        <w:rPr>
          <w:rFonts w:hint="eastAsia" w:cs="Times New Roman"/>
          <w:color w:val="auto"/>
          <w:position w:val="3"/>
          <w:sz w:val="24"/>
          <w:szCs w:val="24"/>
          <w:u w:val="none" w:color="auto"/>
          <w:lang w:val="en-US" w:eastAsia="zh-CN"/>
        </w:rPr>
        <w:t>）</w:t>
      </w:r>
      <w:r>
        <w:rPr>
          <w:rFonts w:hint="default" w:ascii="Times New Roman" w:hAnsi="Times New Roman" w:cs="Times New Roman"/>
          <w:color w:val="auto"/>
          <w:position w:val="3"/>
          <w:sz w:val="24"/>
          <w:szCs w:val="24"/>
          <w:u w:val="none" w:color="auto"/>
        </w:rPr>
        <w:t>的标准指数计算公式</w:t>
      </w:r>
      <w:r>
        <w:rPr>
          <w:rFonts w:hint="eastAsia" w:cs="Times New Roman"/>
          <w:color w:val="auto"/>
          <w:position w:val="3"/>
          <w:sz w:val="24"/>
          <w:szCs w:val="24"/>
          <w:u w:val="none" w:color="auto"/>
          <w:lang w:eastAsia="zh-CN"/>
        </w:rPr>
        <w:t>：</w:t>
      </w:r>
    </w:p>
    <w:p w14:paraId="616F5C6F">
      <w:pPr>
        <w:snapToGrid w:val="0"/>
        <w:ind w:left="0" w:leftChars="0" w:firstLine="0" w:firstLineChars="0"/>
        <w:jc w:val="center"/>
        <w:rPr>
          <w:rFonts w:hint="default" w:ascii="Times New Roman" w:hAnsi="Times New Roman" w:cs="Times New Roman"/>
          <w:i/>
          <w:color w:val="auto"/>
          <w:sz w:val="24"/>
          <w:szCs w:val="24"/>
          <w:u w:val="none" w:color="auto"/>
          <w:vertAlign w:val="subscript"/>
          <w:lang w:val="en-US"/>
        </w:rPr>
      </w:pPr>
      <w:r>
        <w:rPr>
          <w:rFonts w:hint="default" w:ascii="Times New Roman" w:hAnsi="Times New Roman" w:cs="Times New Roman"/>
          <w:i/>
          <w:color w:val="auto"/>
          <w:sz w:val="24"/>
          <w:szCs w:val="24"/>
          <w:u w:val="none" w:color="auto"/>
        </w:rPr>
        <w:t>S</w:t>
      </w:r>
      <w:r>
        <w:rPr>
          <w:rFonts w:hint="eastAsia" w:cs="Times New Roman"/>
          <w:i/>
          <w:color w:val="auto"/>
          <w:sz w:val="24"/>
          <w:szCs w:val="24"/>
          <w:u w:val="none" w:color="auto"/>
          <w:vertAlign w:val="subscript"/>
          <w:lang w:val="en-US" w:eastAsia="zh-CN"/>
        </w:rPr>
        <w:t>DO,</w:t>
      </w:r>
      <w:r>
        <w:rPr>
          <w:rFonts w:hint="default" w:ascii="Times New Roman" w:hAnsi="Times New Roman" w:cs="Times New Roman"/>
          <w:i/>
          <w:color w:val="auto"/>
          <w:sz w:val="24"/>
          <w:szCs w:val="24"/>
          <w:u w:val="none" w:color="auto"/>
          <w:vertAlign w:val="subscript"/>
        </w:rPr>
        <w:t>j</w:t>
      </w:r>
      <w:r>
        <w:rPr>
          <w:rFonts w:hint="default" w:ascii="Times New Roman" w:hAnsi="Times New Roman" w:cs="Times New Roman"/>
          <w:i/>
          <w:color w:val="auto"/>
          <w:sz w:val="24"/>
          <w:szCs w:val="24"/>
          <w:u w:val="none" w:color="auto"/>
        </w:rPr>
        <w:t>=</w:t>
      </w: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s</w:t>
      </w:r>
      <w:r>
        <w:rPr>
          <w:rFonts w:hint="default" w:ascii="Times New Roman" w:hAnsi="Times New Roman" w:cs="Times New Roman"/>
          <w:i/>
          <w:color w:val="auto"/>
          <w:sz w:val="24"/>
          <w:szCs w:val="24"/>
          <w:u w:val="none" w:color="auto"/>
        </w:rPr>
        <w:t>/</w:t>
      </w: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 xml:space="preserve">j             </w:t>
      </w: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j</w:t>
      </w:r>
      <w:r>
        <w:rPr>
          <w:rFonts w:hint="default" w:ascii="Arial" w:hAnsi="Arial" w:cs="Arial"/>
          <w:i/>
          <w:color w:val="auto"/>
          <w:sz w:val="24"/>
          <w:szCs w:val="24"/>
          <w:u w:val="none" w:color="auto"/>
          <w:vertAlign w:val="baseline"/>
          <w:lang w:val="en-US" w:eastAsia="zh-CN"/>
        </w:rPr>
        <w:t>≤</w:t>
      </w: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f</w:t>
      </w:r>
    </w:p>
    <w:p w14:paraId="5CA0A6B3">
      <w:pPr>
        <w:snapToGrid w:val="0"/>
        <w:ind w:left="0" w:leftChars="0" w:firstLine="0" w:firstLineChars="0"/>
        <w:jc w:val="center"/>
        <w:rPr>
          <w:rFonts w:hint="default" w:ascii="Times New Roman" w:hAnsi="Times New Roman" w:eastAsia="宋体" w:cs="Times New Roman"/>
          <w:color w:val="auto"/>
          <w:position w:val="3"/>
          <w:sz w:val="24"/>
          <w:szCs w:val="24"/>
          <w:u w:val="none" w:color="auto"/>
          <w:lang w:val="en-US" w:eastAsia="zh-CN"/>
        </w:rPr>
      </w:pPr>
      <w:r>
        <w:rPr>
          <w:rFonts w:hint="eastAsia" w:ascii="Times New Roman" w:hAnsi="Times New Roman" w:eastAsia="宋体" w:cs="Times New Roman"/>
          <w:color w:val="auto"/>
          <w:position w:val="-26"/>
          <w:sz w:val="24"/>
          <w:szCs w:val="24"/>
          <w:u w:val="none" w:color="auto"/>
          <w:lang w:eastAsia="zh-CN"/>
        </w:rPr>
        <w:object>
          <v:shape id="_x0000_i1030" o:spt="75" type="#_x0000_t75" style="height:34pt;width:94pt;" o:ole="t" filled="f" o:preferrelative="t" stroked="f" coordsize="21600,21600">
            <v:path/>
            <v:fill on="f" focussize="0,0"/>
            <v:stroke on="f"/>
            <v:imagedata r:id="rId88" o:title=""/>
            <o:lock v:ext="edit" aspectratio="t"/>
            <w10:wrap type="none"/>
            <w10:anchorlock/>
          </v:shape>
          <o:OLEObject Type="Embed" ProgID="Equation.KSEE3" ShapeID="_x0000_i1030" DrawAspect="Content" ObjectID="_1468075730" r:id="rId87">
            <o:LockedField>false</o:LockedField>
          </o:OLEObject>
        </w:object>
      </w:r>
      <w:r>
        <w:rPr>
          <w:rFonts w:hint="eastAsia" w:cs="Times New Roman"/>
          <w:color w:val="auto"/>
          <w:position w:val="3"/>
          <w:sz w:val="24"/>
          <w:szCs w:val="24"/>
          <w:u w:val="none" w:color="auto"/>
          <w:lang w:val="en-US" w:eastAsia="zh-CN"/>
        </w:rPr>
        <w:t xml:space="preserve">     </w:t>
      </w: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j</w:t>
      </w:r>
      <w:r>
        <w:rPr>
          <w:rFonts w:hint="eastAsia" w:ascii="Arial" w:hAnsi="Arial" w:cs="Arial"/>
          <w:i/>
          <w:color w:val="auto"/>
          <w:sz w:val="24"/>
          <w:szCs w:val="24"/>
          <w:u w:val="none" w:color="auto"/>
          <w:vertAlign w:val="baseline"/>
          <w:lang w:val="en-US" w:eastAsia="zh-CN"/>
        </w:rPr>
        <w:t>&gt;</w:t>
      </w: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f</w:t>
      </w:r>
    </w:p>
    <w:p w14:paraId="48AF8296">
      <w:pPr>
        <w:snapToGrid w:val="0"/>
        <w:ind w:firstLine="480"/>
        <w:jc w:val="left"/>
        <w:rPr>
          <w:rFonts w:hint="eastAsia" w:ascii="Times New Roman" w:hAnsi="Times New Roman" w:eastAsia="宋体" w:cs="Times New Roman"/>
          <w:color w:val="auto"/>
          <w:position w:val="3"/>
          <w:sz w:val="24"/>
          <w:szCs w:val="24"/>
          <w:u w:val="none" w:color="auto"/>
          <w:lang w:eastAsia="zh-CN"/>
        </w:rPr>
      </w:pPr>
      <w:r>
        <w:rPr>
          <w:rFonts w:hint="default" w:ascii="Times New Roman" w:hAnsi="Times New Roman" w:cs="Times New Roman"/>
          <w:color w:val="auto"/>
          <w:position w:val="3"/>
          <w:sz w:val="24"/>
          <w:szCs w:val="24"/>
          <w:u w:val="none" w:color="auto"/>
        </w:rPr>
        <w:t>式中</w:t>
      </w:r>
      <w:r>
        <w:rPr>
          <w:rFonts w:hint="eastAsia" w:cs="Times New Roman"/>
          <w:color w:val="auto"/>
          <w:position w:val="3"/>
          <w:sz w:val="24"/>
          <w:szCs w:val="24"/>
          <w:u w:val="none" w:color="auto"/>
          <w:lang w:eastAsia="zh-CN"/>
        </w:rPr>
        <w:t>：</w:t>
      </w:r>
      <w:r>
        <w:rPr>
          <w:rFonts w:hint="default" w:ascii="Times New Roman" w:hAnsi="Times New Roman" w:cs="Times New Roman"/>
          <w:i/>
          <w:color w:val="auto"/>
          <w:sz w:val="24"/>
          <w:szCs w:val="24"/>
          <w:u w:val="none" w:color="auto"/>
        </w:rPr>
        <w:t>S</w:t>
      </w:r>
      <w:r>
        <w:rPr>
          <w:rFonts w:hint="eastAsia" w:cs="Times New Roman"/>
          <w:i/>
          <w:color w:val="auto"/>
          <w:sz w:val="24"/>
          <w:szCs w:val="24"/>
          <w:u w:val="none" w:color="auto"/>
          <w:vertAlign w:val="subscript"/>
          <w:lang w:val="en-US" w:eastAsia="zh-CN"/>
        </w:rPr>
        <w:t>DO,</w:t>
      </w:r>
      <w:r>
        <w:rPr>
          <w:rFonts w:hint="eastAsia" w:cs="Times New Roman"/>
          <w:color w:val="auto"/>
          <w:position w:val="3"/>
          <w:sz w:val="24"/>
          <w:szCs w:val="24"/>
          <w:u w:val="none" w:color="auto"/>
          <w:vertAlign w:val="subscript"/>
          <w:lang w:val="en-US" w:eastAsia="zh-CN"/>
        </w:rPr>
        <w:t>j</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rPr>
        <w:t>溶解氧的标准指数，大于1表明该水质因子超标</w:t>
      </w:r>
      <w:r>
        <w:rPr>
          <w:rFonts w:hint="eastAsia" w:cs="Times New Roman"/>
          <w:color w:val="auto"/>
          <w:position w:val="3"/>
          <w:sz w:val="24"/>
          <w:szCs w:val="24"/>
          <w:u w:val="none" w:color="auto"/>
          <w:lang w:eastAsia="zh-CN"/>
        </w:rPr>
        <w:t>；</w:t>
      </w:r>
    </w:p>
    <w:p w14:paraId="1ACB1985">
      <w:pPr>
        <w:snapToGrid w:val="0"/>
        <w:ind w:firstLine="1200" w:firstLineChars="500"/>
        <w:jc w:val="left"/>
        <w:rPr>
          <w:rFonts w:hint="eastAsia" w:ascii="Times New Roman" w:hAnsi="Times New Roman" w:eastAsia="宋体" w:cs="Times New Roman"/>
          <w:color w:val="auto"/>
          <w:position w:val="3"/>
          <w:sz w:val="24"/>
          <w:szCs w:val="24"/>
          <w:u w:val="none" w:color="auto"/>
          <w:lang w:eastAsia="zh-CN"/>
        </w:rPr>
      </w:pPr>
      <w:r>
        <w:rPr>
          <w:rFonts w:hint="default" w:ascii="Times New Roman" w:hAnsi="Times New Roman" w:cs="Times New Roman"/>
          <w:i/>
          <w:color w:val="auto"/>
          <w:sz w:val="24"/>
          <w:szCs w:val="24"/>
          <w:u w:val="none" w:color="auto"/>
          <w:lang w:val="en-US" w:eastAsia="zh-CN"/>
        </w:rPr>
        <w:t>DO</w:t>
      </w:r>
      <w:r>
        <w:rPr>
          <w:rFonts w:hint="default" w:ascii="Times New Roman" w:hAnsi="Times New Roman" w:cs="Times New Roman"/>
          <w:i/>
          <w:color w:val="auto"/>
          <w:sz w:val="24"/>
          <w:szCs w:val="24"/>
          <w:u w:val="none" w:color="auto"/>
          <w:vertAlign w:val="subscript"/>
          <w:lang w:val="en-US" w:eastAsia="zh-CN"/>
        </w:rPr>
        <w:t>j</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rPr>
        <w:t>溶解氧在j点的实测统计代表值，mg/L</w:t>
      </w:r>
      <w:r>
        <w:rPr>
          <w:rFonts w:hint="eastAsia" w:cs="Times New Roman"/>
          <w:color w:val="auto"/>
          <w:position w:val="3"/>
          <w:sz w:val="24"/>
          <w:szCs w:val="24"/>
          <w:u w:val="none" w:color="auto"/>
          <w:lang w:eastAsia="zh-CN"/>
        </w:rPr>
        <w:t>；</w:t>
      </w:r>
    </w:p>
    <w:p w14:paraId="312BFA56">
      <w:pPr>
        <w:snapToGrid w:val="0"/>
        <w:ind w:firstLine="1200" w:firstLineChars="500"/>
        <w:jc w:val="left"/>
        <w:rPr>
          <w:rFonts w:hint="eastAsia" w:ascii="Times New Roman" w:hAnsi="Times New Roman" w:eastAsia="宋体" w:cs="Times New Roman"/>
          <w:color w:val="auto"/>
          <w:position w:val="3"/>
          <w:sz w:val="24"/>
          <w:szCs w:val="24"/>
          <w:u w:val="none" w:color="auto"/>
          <w:lang w:eastAsia="zh-CN"/>
        </w:rPr>
      </w:pPr>
      <w:r>
        <w:rPr>
          <w:rFonts w:hint="default" w:ascii="Times New Roman" w:hAnsi="Times New Roman"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s</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rPr>
        <w:t>溶解氧的水质评价标准限值，mg/L</w:t>
      </w:r>
      <w:r>
        <w:rPr>
          <w:rFonts w:hint="eastAsia" w:cs="Times New Roman"/>
          <w:color w:val="auto"/>
          <w:position w:val="3"/>
          <w:sz w:val="24"/>
          <w:szCs w:val="24"/>
          <w:u w:val="none" w:color="auto"/>
          <w:lang w:eastAsia="zh-CN"/>
        </w:rPr>
        <w:t>；</w:t>
      </w:r>
    </w:p>
    <w:p w14:paraId="1B958E71">
      <w:pPr>
        <w:snapToGrid w:val="0"/>
        <w:ind w:firstLine="1200" w:firstLineChars="500"/>
        <w:jc w:val="left"/>
        <w:rPr>
          <w:rFonts w:hint="eastAsia" w:ascii="Times New Roman" w:hAnsi="Times New Roman" w:eastAsia="宋体" w:cs="Times New Roman"/>
          <w:color w:val="auto"/>
          <w:position w:val="3"/>
          <w:sz w:val="24"/>
          <w:szCs w:val="24"/>
          <w:u w:val="none" w:color="auto"/>
          <w:lang w:eastAsia="zh-CN"/>
        </w:rPr>
      </w:pPr>
      <w:r>
        <w:rPr>
          <w:rFonts w:hint="eastAsia" w:cs="Times New Roman"/>
          <w:i/>
          <w:color w:val="auto"/>
          <w:sz w:val="24"/>
          <w:szCs w:val="24"/>
          <w:u w:val="none" w:color="auto"/>
          <w:lang w:val="en-US" w:eastAsia="zh-CN"/>
        </w:rPr>
        <w:t>DO</w:t>
      </w:r>
      <w:r>
        <w:rPr>
          <w:rFonts w:hint="eastAsia" w:cs="Times New Roman"/>
          <w:i/>
          <w:color w:val="auto"/>
          <w:sz w:val="24"/>
          <w:szCs w:val="24"/>
          <w:u w:val="none" w:color="auto"/>
          <w:vertAlign w:val="subscript"/>
          <w:lang w:val="en-US" w:eastAsia="zh-CN"/>
        </w:rPr>
        <w:t>f</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rPr>
        <w:t>饱和溶解氧浓度，mg/L，对于河流，DO</w:t>
      </w:r>
      <w:r>
        <w:rPr>
          <w:rFonts w:hint="eastAsia" w:cs="Times New Roman"/>
          <w:color w:val="auto"/>
          <w:position w:val="3"/>
          <w:sz w:val="24"/>
          <w:szCs w:val="24"/>
          <w:u w:val="none" w:color="auto"/>
          <w:vertAlign w:val="subscript"/>
          <w:lang w:val="en-US" w:eastAsia="zh-CN"/>
        </w:rPr>
        <w:t>f</w:t>
      </w:r>
      <w:r>
        <w:rPr>
          <w:rFonts w:hint="default" w:ascii="Times New Roman" w:hAnsi="Times New Roman" w:cs="Times New Roman"/>
          <w:color w:val="auto"/>
          <w:position w:val="3"/>
          <w:sz w:val="24"/>
          <w:szCs w:val="24"/>
          <w:u w:val="none" w:color="auto"/>
        </w:rPr>
        <w:t>=468/(31.6+T)</w:t>
      </w:r>
      <w:r>
        <w:rPr>
          <w:rFonts w:hint="eastAsia" w:cs="Times New Roman"/>
          <w:color w:val="auto"/>
          <w:position w:val="3"/>
          <w:sz w:val="24"/>
          <w:szCs w:val="24"/>
          <w:u w:val="none" w:color="auto"/>
          <w:lang w:eastAsia="zh-CN"/>
        </w:rPr>
        <w:t>；</w:t>
      </w:r>
    </w:p>
    <w:p w14:paraId="02D077FD">
      <w:pPr>
        <w:snapToGrid w:val="0"/>
        <w:ind w:firstLine="1200" w:firstLineChars="500"/>
        <w:jc w:val="left"/>
        <w:rPr>
          <w:rFonts w:hint="eastAsia" w:ascii="Times New Roman" w:hAnsi="Times New Roman" w:eastAsia="宋体" w:cs="Times New Roman"/>
          <w:color w:val="auto"/>
          <w:position w:val="3"/>
          <w:sz w:val="24"/>
          <w:szCs w:val="24"/>
          <w:u w:val="none" w:color="auto"/>
          <w:lang w:eastAsia="zh-CN"/>
        </w:rPr>
      </w:pPr>
      <w:r>
        <w:rPr>
          <w:rFonts w:hint="default" w:ascii="Times New Roman" w:hAnsi="Times New Roman" w:cs="Times New Roman"/>
          <w:color w:val="auto"/>
          <w:position w:val="3"/>
          <w:sz w:val="24"/>
          <w:szCs w:val="24"/>
          <w:u w:val="none" w:color="auto"/>
        </w:rPr>
        <w:t>S</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rPr>
        <w:t>实用盐度符号，量纲一</w:t>
      </w:r>
      <w:r>
        <w:rPr>
          <w:rFonts w:hint="eastAsia" w:cs="Times New Roman"/>
          <w:color w:val="auto"/>
          <w:position w:val="3"/>
          <w:sz w:val="24"/>
          <w:szCs w:val="24"/>
          <w:u w:val="none" w:color="auto"/>
          <w:lang w:eastAsia="zh-CN"/>
        </w:rPr>
        <w:t>；</w:t>
      </w:r>
    </w:p>
    <w:p w14:paraId="67F8F441">
      <w:pPr>
        <w:snapToGrid w:val="0"/>
        <w:ind w:firstLine="1200" w:firstLineChars="500"/>
        <w:jc w:val="left"/>
        <w:rPr>
          <w:rFonts w:hint="default" w:ascii="Times New Roman" w:hAnsi="Times New Roman" w:cs="Times New Roman"/>
          <w:color w:val="auto"/>
          <w:position w:val="3"/>
          <w:sz w:val="24"/>
          <w:szCs w:val="24"/>
          <w:u w:val="none" w:color="auto"/>
        </w:rPr>
      </w:pPr>
      <w:r>
        <w:rPr>
          <w:rFonts w:hint="default" w:ascii="Times New Roman" w:hAnsi="Times New Roman" w:cs="Times New Roman"/>
          <w:color w:val="auto"/>
          <w:position w:val="3"/>
          <w:sz w:val="24"/>
          <w:szCs w:val="24"/>
          <w:u w:val="none" w:color="auto"/>
        </w:rPr>
        <w:t>T</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position w:val="3"/>
          <w:sz w:val="24"/>
          <w:szCs w:val="24"/>
          <w:u w:val="none" w:color="auto"/>
        </w:rPr>
        <w:t>水温，°C</w:t>
      </w:r>
    </w:p>
    <w:p w14:paraId="7E3FCF3A">
      <w:pPr>
        <w:snapToGrid w:val="0"/>
        <w:ind w:firstLine="480"/>
        <w:jc w:val="left"/>
        <w:rPr>
          <w:rFonts w:hint="default" w:ascii="Times New Roman" w:hAnsi="Times New Roman" w:cs="Times New Roman"/>
          <w:color w:val="auto"/>
          <w:sz w:val="24"/>
          <w:szCs w:val="24"/>
          <w:u w:val="none" w:color="auto"/>
        </w:rPr>
      </w:pPr>
      <w:r>
        <w:rPr>
          <w:rFonts w:hint="eastAsia" w:cs="Times New Roman"/>
          <w:color w:val="auto"/>
          <w:position w:val="3"/>
          <w:sz w:val="24"/>
          <w:szCs w:val="24"/>
          <w:u w:val="none" w:color="auto"/>
          <w:lang w:val="en-US" w:eastAsia="zh-CN"/>
        </w:rPr>
        <w:t>③</w:t>
      </w:r>
      <w:r>
        <w:rPr>
          <w:rFonts w:hint="default" w:ascii="Times New Roman" w:hAnsi="Times New Roman" w:cs="Times New Roman"/>
          <w:color w:val="auto"/>
          <w:position w:val="3"/>
          <w:sz w:val="24"/>
          <w:szCs w:val="24"/>
          <w:u w:val="none" w:color="auto"/>
        </w:rPr>
        <w:t>pH的标准指数为：</w:t>
      </w:r>
    </w:p>
    <w:p w14:paraId="12D8EB1C">
      <w:pPr>
        <w:adjustRightInd w:val="0"/>
        <w:snapToGrid w:val="0"/>
        <w:spacing w:line="240" w:lineRule="auto"/>
        <w:ind w:firstLine="48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position w:val="-30"/>
          <w:sz w:val="24"/>
          <w:szCs w:val="24"/>
          <w:u w:val="none" w:color="auto"/>
        </w:rPr>
        <w:object>
          <v:shape id="_x0000_i1031" o:spt="75" type="#_x0000_t75" style="height:34.35pt;width:98.8pt;" o:ole="t" filled="f" o:preferrelative="t" stroked="f" coordsize="21600,21600">
            <v:path/>
            <v:fill on="f" focussize="0,0"/>
            <v:stroke on="f"/>
            <v:imagedata r:id="rId90" o:title=""/>
            <o:lock v:ext="edit" aspectratio="t"/>
            <w10:wrap type="none"/>
            <w10:anchorlock/>
          </v:shape>
          <o:OLEObject Type="Embed" ProgID="Equation.3" ShapeID="_x0000_i1031" DrawAspect="Content" ObjectID="_1468075731" r:id="rId89">
            <o:LockedField>false</o:LockedField>
          </o:OLEObject>
        </w:object>
      </w:r>
      <w:r>
        <w:rPr>
          <w:rFonts w:hint="default" w:ascii="Times New Roman" w:hAnsi="Times New Roman" w:cs="Times New Roman"/>
          <w:color w:val="auto"/>
          <w:sz w:val="24"/>
          <w:szCs w:val="24"/>
          <w:u w:val="none" w:color="auto"/>
        </w:rPr>
        <w:t xml:space="preserve">    pH</w:t>
      </w:r>
      <w:r>
        <w:rPr>
          <w:rFonts w:hint="default" w:ascii="Times New Roman" w:hAnsi="Times New Roman" w:cs="Times New Roman"/>
          <w:color w:val="auto"/>
          <w:sz w:val="24"/>
          <w:szCs w:val="24"/>
          <w:u w:val="none" w:color="auto"/>
          <w:vertAlign w:val="subscript"/>
        </w:rPr>
        <w:t>j</w:t>
      </w:r>
      <w:r>
        <w:rPr>
          <w:rFonts w:hint="default" w:ascii="Times New Roman" w:hAnsi="Times New Roman" w:cs="Times New Roman"/>
          <w:color w:val="auto"/>
          <w:sz w:val="24"/>
          <w:szCs w:val="24"/>
          <w:u w:val="none" w:color="auto"/>
        </w:rPr>
        <w:t>≤7.0</w:t>
      </w:r>
    </w:p>
    <w:p w14:paraId="7B823371">
      <w:pPr>
        <w:adjustRightInd w:val="0"/>
        <w:snapToGrid w:val="0"/>
        <w:spacing w:line="240" w:lineRule="auto"/>
        <w:ind w:firstLine="48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object>
          <v:shape id="_x0000_i1032" o:spt="75" type="#_x0000_t75" style="height:34.35pt;width:98.8pt;" o:ole="t" filled="f" o:preferrelative="t" stroked="f" coordsize="21600,21600">
            <v:path/>
            <v:fill on="f" focussize="0,0"/>
            <v:stroke on="f"/>
            <v:imagedata r:id="rId92" o:title=""/>
            <o:lock v:ext="edit" aspectratio="t"/>
            <w10:wrap type="none"/>
            <w10:anchorlock/>
          </v:shape>
          <o:OLEObject Type="Embed" ProgID="Equation.3" ShapeID="_x0000_i1032" DrawAspect="Content" ObjectID="_1468075732" r:id="rId91">
            <o:LockedField>false</o:LockedField>
          </o:OLEObject>
        </w:objec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 xml:space="preserve"> pH</w:t>
      </w:r>
      <w:r>
        <w:rPr>
          <w:rFonts w:hint="default" w:ascii="Times New Roman" w:hAnsi="Times New Roman" w:cs="Times New Roman"/>
          <w:color w:val="auto"/>
          <w:sz w:val="24"/>
          <w:szCs w:val="24"/>
          <w:u w:val="none" w:color="auto"/>
          <w:vertAlign w:val="subscript"/>
        </w:rPr>
        <w:t>j</w:t>
      </w:r>
      <w:r>
        <w:rPr>
          <w:rFonts w:hint="default" w:ascii="Times New Roman" w:hAnsi="Times New Roman" w:cs="Times New Roman"/>
          <w:color w:val="auto"/>
          <w:sz w:val="24"/>
          <w:szCs w:val="24"/>
          <w:u w:val="none" w:color="auto"/>
        </w:rPr>
        <w:t>&gt;7.0</w:t>
      </w:r>
    </w:p>
    <w:p w14:paraId="19867DD4">
      <w:pPr>
        <w:adjustRightInd w:val="0"/>
        <w:snapToGrid w:val="0"/>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式中：S</w:t>
      </w:r>
      <w:r>
        <w:rPr>
          <w:rFonts w:hint="default" w:ascii="Times New Roman" w:hAnsi="Times New Roman" w:cs="Times New Roman"/>
          <w:color w:val="auto"/>
          <w:sz w:val="24"/>
          <w:szCs w:val="24"/>
          <w:u w:val="none" w:color="auto"/>
          <w:vertAlign w:val="subscript"/>
        </w:rPr>
        <w:t>pH</w:t>
      </w:r>
      <w:r>
        <w:rPr>
          <w:rFonts w:hint="eastAsia" w:cs="Times New Roman"/>
          <w:color w:val="auto"/>
          <w:sz w:val="24"/>
          <w:szCs w:val="24"/>
          <w:u w:val="none" w:color="auto"/>
          <w:vertAlign w:val="subscript"/>
          <w:lang w:val="en-US" w:eastAsia="zh-CN"/>
        </w:rPr>
        <w:t>,</w:t>
      </w:r>
      <w:r>
        <w:rPr>
          <w:rFonts w:hint="default" w:ascii="Times New Roman" w:hAnsi="Times New Roman" w:cs="Times New Roman"/>
          <w:color w:val="auto"/>
          <w:sz w:val="24"/>
          <w:szCs w:val="24"/>
          <w:u w:val="none" w:color="auto"/>
          <w:vertAlign w:val="subscript"/>
        </w:rPr>
        <w:t>j</w:t>
      </w:r>
      <w:r>
        <w:rPr>
          <w:rFonts w:hint="default" w:ascii="Times New Roman" w:hAnsi="Times New Roman" w:cs="Times New Roman"/>
          <w:color w:val="auto"/>
          <w:sz w:val="24"/>
          <w:szCs w:val="24"/>
          <w:u w:val="none" w:color="auto"/>
        </w:rPr>
        <w:t>——pH在j点的标准指数；</w:t>
      </w:r>
    </w:p>
    <w:p w14:paraId="698356A8">
      <w:pPr>
        <w:adjustRightInd w:val="0"/>
        <w:snapToGrid w:val="0"/>
        <w:ind w:firstLine="1200" w:firstLineChars="5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pH</w:t>
      </w:r>
      <w:r>
        <w:rPr>
          <w:rFonts w:hint="default" w:ascii="Times New Roman" w:hAnsi="Times New Roman" w:cs="Times New Roman"/>
          <w:color w:val="auto"/>
          <w:sz w:val="24"/>
          <w:szCs w:val="24"/>
          <w:u w:val="none" w:color="auto"/>
          <w:vertAlign w:val="subscript"/>
        </w:rPr>
        <w:t>j</w:t>
      </w:r>
      <w:r>
        <w:rPr>
          <w:rFonts w:hint="default" w:ascii="Times New Roman" w:hAnsi="Times New Roman" w:cs="Times New Roman"/>
          <w:color w:val="auto"/>
          <w:sz w:val="24"/>
          <w:szCs w:val="24"/>
          <w:u w:val="none" w:color="auto"/>
        </w:rPr>
        <w:t>——pH在j点的监测值；</w:t>
      </w:r>
    </w:p>
    <w:p w14:paraId="350E1F23">
      <w:pPr>
        <w:adjustRightInd w:val="0"/>
        <w:snapToGrid w:val="0"/>
        <w:ind w:firstLine="1200" w:firstLineChars="5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pH</w:t>
      </w:r>
      <w:r>
        <w:rPr>
          <w:rFonts w:hint="default" w:ascii="Times New Roman" w:hAnsi="Times New Roman" w:cs="Times New Roman"/>
          <w:color w:val="auto"/>
          <w:sz w:val="24"/>
          <w:szCs w:val="24"/>
          <w:u w:val="none" w:color="auto"/>
          <w:vertAlign w:val="subscript"/>
        </w:rPr>
        <w:t>sd</w:t>
      </w:r>
      <w:r>
        <w:rPr>
          <w:rFonts w:hint="default" w:ascii="Times New Roman" w:hAnsi="Times New Roman" w:cs="Times New Roman"/>
          <w:color w:val="auto"/>
          <w:sz w:val="24"/>
          <w:szCs w:val="24"/>
          <w:u w:val="none" w:color="auto"/>
        </w:rPr>
        <w:t>——地表水水质标准中规定的pH值下限；</w:t>
      </w:r>
    </w:p>
    <w:p w14:paraId="496D4021">
      <w:pPr>
        <w:adjustRightInd w:val="0"/>
        <w:snapToGrid w:val="0"/>
        <w:ind w:firstLine="1200" w:firstLineChars="5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pH</w:t>
      </w:r>
      <w:r>
        <w:rPr>
          <w:rFonts w:hint="default" w:ascii="Times New Roman" w:hAnsi="Times New Roman" w:cs="Times New Roman"/>
          <w:color w:val="auto"/>
          <w:sz w:val="24"/>
          <w:szCs w:val="24"/>
          <w:u w:val="none" w:color="auto"/>
          <w:vertAlign w:val="subscript"/>
        </w:rPr>
        <w:t>su</w:t>
      </w:r>
      <w:r>
        <w:rPr>
          <w:rFonts w:hint="default" w:ascii="Times New Roman" w:hAnsi="Times New Roman" w:cs="Times New Roman"/>
          <w:color w:val="auto"/>
          <w:sz w:val="24"/>
          <w:szCs w:val="24"/>
          <w:u w:val="none" w:color="auto"/>
        </w:rPr>
        <w:t>——地表水水质标准中规定的pH值上限。</w:t>
      </w:r>
    </w:p>
    <w:p w14:paraId="49363680">
      <w:pPr>
        <w:keepNext w:val="0"/>
        <w:keepLines w:val="0"/>
        <w:pageBreakBefore w:val="0"/>
        <w:widowControl/>
        <w:kinsoku/>
        <w:wordWrap/>
        <w:overflowPunct/>
        <w:topLinePunct/>
        <w:autoSpaceDE/>
        <w:autoSpaceDN/>
        <w:bidi w:val="0"/>
        <w:spacing w:line="360" w:lineRule="auto"/>
        <w:ind w:firstLine="480"/>
        <w:textAlignment w:val="auto"/>
        <w:rPr>
          <w:rFonts w:hint="default" w:ascii="Times New Roman" w:hAnsi="Times New Roman" w:eastAsia="宋体" w:cs="Times New Roman"/>
          <w:color w:val="auto"/>
          <w:kern w:val="2"/>
          <w:sz w:val="24"/>
          <w:szCs w:val="24"/>
          <w:highlight w:val="none"/>
          <w:u w:val="none" w:color="auto"/>
          <w:lang w:val="en-US" w:eastAsia="zh-CN" w:bidi="ar-SA"/>
        </w:rPr>
      </w:pPr>
      <w:r>
        <w:rPr>
          <w:rFonts w:hint="default" w:ascii="Times New Roman" w:hAnsi="Times New Roman" w:cs="Times New Roman"/>
          <w:color w:val="auto"/>
          <w:sz w:val="24"/>
          <w:szCs w:val="24"/>
          <w:u w:val="none" w:color="auto"/>
        </w:rPr>
        <w:t>水质参数的标准指数大于1，表明该水质参数超过了规定的水质标准，已经不能满足使用功能要求。</w:t>
      </w:r>
    </w:p>
    <w:p w14:paraId="509498DE">
      <w:pPr>
        <w:keepNext w:val="0"/>
        <w:keepLines w:val="0"/>
        <w:pageBreakBefore w:val="0"/>
        <w:widowControl/>
        <w:kinsoku/>
        <w:wordWrap/>
        <w:overflow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4</w:t>
      </w:r>
      <w:r>
        <w:rPr>
          <w:rFonts w:ascii="宋体" w:hAnsi="宋体" w:eastAsia="宋体" w:cs="宋体"/>
          <w:spacing w:val="-3"/>
          <w:sz w:val="24"/>
          <w:szCs w:val="24"/>
        </w:rPr>
        <w:t>）监测结果及评价</w:t>
      </w:r>
    </w:p>
    <w:p w14:paraId="4545DE42">
      <w:pPr>
        <w:keepNext w:val="0"/>
        <w:keepLines w:val="0"/>
        <w:pageBreakBefore w:val="0"/>
        <w:widowControl/>
        <w:kinsoku/>
        <w:wordWrap/>
        <w:overflowPunct/>
        <w:topLinePunct w:val="0"/>
        <w:autoSpaceDE/>
        <w:autoSpaceDN/>
        <w:bidi w:val="0"/>
        <w:adjustRightInd/>
        <w:snapToGrid/>
        <w:spacing w:line="360" w:lineRule="auto"/>
        <w:ind w:left="0" w:firstLine="480"/>
        <w:textAlignment w:val="auto"/>
        <w:rPr>
          <w:rFonts w:hint="default" w:ascii="Times New Roman" w:hAnsi="Times New Roman" w:eastAsia="宋体" w:cs="Times New Roman"/>
          <w:spacing w:val="-2"/>
          <w:sz w:val="24"/>
          <w:szCs w:val="24"/>
        </w:rPr>
      </w:pPr>
      <w:r>
        <w:rPr>
          <w:rFonts w:hint="default" w:ascii="Times New Roman" w:hAnsi="Times New Roman" w:eastAsia="宋体" w:cs="Times New Roman"/>
          <w:spacing w:val="-1"/>
          <w:sz w:val="24"/>
          <w:szCs w:val="24"/>
          <w:lang w:val="en-US" w:eastAsia="zh-CN"/>
        </w:rPr>
        <w:t>根据下</w:t>
      </w:r>
      <w:r>
        <w:rPr>
          <w:rFonts w:hint="default" w:ascii="Times New Roman" w:hAnsi="Times New Roman" w:eastAsia="宋体" w:cs="Times New Roman"/>
          <w:spacing w:val="-1"/>
          <w:sz w:val="24"/>
          <w:szCs w:val="24"/>
        </w:rPr>
        <w:t>表，本次评价区域内各监测点各因子除万古（白荆）水库监测点位中总磷超标外，其他监测因子均能达到《地表水环境质量标准》（GB 3838-2002）表1中Ⅲ类标准值和表2、3中标准值</w:t>
      </w:r>
      <w:r>
        <w:rPr>
          <w:rFonts w:hint="eastAsia" w:cs="Times New Roman"/>
          <w:spacing w:val="-1"/>
          <w:sz w:val="24"/>
          <w:szCs w:val="24"/>
          <w:lang w:eastAsia="zh-CN"/>
        </w:rPr>
        <w:t>，</w:t>
      </w:r>
      <w:r>
        <w:rPr>
          <w:rFonts w:hint="eastAsia" w:cs="Times New Roman"/>
          <w:spacing w:val="-1"/>
          <w:sz w:val="24"/>
          <w:szCs w:val="24"/>
          <w:lang w:val="en-US" w:eastAsia="zh-CN"/>
        </w:rPr>
        <w:t>其中总磷超标原因为：周边农田化肥使用后的残留形成面源流入水库且水库水流动性较差，长期往后造成水库总磷超标</w:t>
      </w:r>
      <w:r>
        <w:rPr>
          <w:rFonts w:hint="default" w:ascii="Times New Roman" w:hAnsi="Times New Roman" w:eastAsia="宋体" w:cs="Times New Roman"/>
          <w:spacing w:val="-1"/>
          <w:sz w:val="24"/>
          <w:szCs w:val="24"/>
        </w:rPr>
        <w:t>。</w:t>
      </w:r>
    </w:p>
    <w:p w14:paraId="044BDFC3">
      <w:pPr>
        <w:pStyle w:val="31"/>
        <w:topLinePunct w:val="0"/>
        <w:snapToGrid/>
        <w:ind w:firstLine="480"/>
        <w:rPr>
          <w:rFonts w:hint="eastAsia" w:ascii="Times New Roman" w:hAnsi="Times New Roman" w:eastAsia="宋体" w:cs="Times New Roman"/>
          <w:color w:val="auto"/>
          <w:sz w:val="24"/>
          <w:szCs w:val="24"/>
          <w:highlight w:val="none"/>
          <w:u w:val="none" w:color="auto"/>
          <w:lang w:eastAsia="zh-CN"/>
        </w:rPr>
      </w:pPr>
    </w:p>
    <w:p w14:paraId="09AF7C0C">
      <w:pPr>
        <w:pStyle w:val="102"/>
        <w:spacing w:line="240" w:lineRule="auto"/>
        <w:rPr>
          <w:rFonts w:hint="default" w:ascii="Times New Roman" w:hAnsi="Times New Roman" w:cs="Times New Roman"/>
          <w:color w:val="auto"/>
          <w:highlight w:val="none"/>
          <w:u w:val="none" w:color="auto"/>
        </w:rPr>
        <w:sectPr>
          <w:footerReference r:id="rId12" w:type="default"/>
          <w:pgSz w:w="11910" w:h="16840"/>
          <w:pgMar w:top="1417" w:right="1417" w:bottom="1417" w:left="1417" w:header="878" w:footer="1213" w:gutter="0"/>
          <w:pgBorders>
            <w:top w:val="none" w:sz="0" w:space="0"/>
            <w:left w:val="none" w:sz="0" w:space="0"/>
            <w:bottom w:val="none" w:sz="0" w:space="0"/>
            <w:right w:val="none" w:sz="0" w:space="0"/>
          </w:pgBorders>
          <w:pgNumType w:fmt="decimal"/>
          <w:cols w:space="720" w:num="1"/>
          <w:docGrid w:type="lines" w:linePitch="333" w:charSpace="0"/>
        </w:sectPr>
      </w:pPr>
    </w:p>
    <w:p w14:paraId="68AD56DB">
      <w:pPr>
        <w:pStyle w:val="102"/>
        <w:spacing w:line="240" w:lineRule="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w:t>
      </w:r>
      <w:r>
        <w:rPr>
          <w:rFonts w:hint="eastAsia" w:cs="Times New Roman"/>
          <w:color w:val="auto"/>
          <w:sz w:val="21"/>
          <w:szCs w:val="21"/>
          <w:highlight w:val="none"/>
          <w:u w:val="none" w:color="auto"/>
          <w:lang w:val="en-US" w:eastAsia="zh-CN"/>
        </w:rPr>
        <w:t>4</w:t>
      </w:r>
      <w:r>
        <w:rPr>
          <w:rFonts w:hint="default" w:ascii="Times New Roman" w:hAnsi="Times New Roman" w:cs="Times New Roman"/>
          <w:color w:val="auto"/>
          <w:sz w:val="21"/>
          <w:szCs w:val="21"/>
          <w:highlight w:val="none"/>
          <w:u w:val="none" w:color="auto"/>
        </w:rPr>
        <w:t>.</w:t>
      </w:r>
      <w:r>
        <w:rPr>
          <w:rFonts w:hint="eastAsia" w:cs="Times New Roman"/>
          <w:color w:val="auto"/>
          <w:sz w:val="21"/>
          <w:szCs w:val="21"/>
          <w:highlight w:val="none"/>
          <w:u w:val="none" w:color="auto"/>
          <w:lang w:val="en-US" w:eastAsia="zh-CN"/>
        </w:rPr>
        <w:t>2</w:t>
      </w:r>
      <w:r>
        <w:rPr>
          <w:rFonts w:hint="eastAsia" w:ascii="Times New Roman" w:hAnsi="Times New Roman" w:cs="Times New Roman"/>
          <w:color w:val="auto"/>
          <w:sz w:val="21"/>
          <w:szCs w:val="21"/>
          <w:highlight w:val="none"/>
          <w:u w:val="none" w:color="auto"/>
          <w:lang w:val="en-US" w:eastAsia="zh-CN"/>
        </w:rPr>
        <w:t>-</w:t>
      </w:r>
      <w:r>
        <w:rPr>
          <w:rFonts w:hint="eastAsia" w:cs="Times New Roman"/>
          <w:color w:val="auto"/>
          <w:sz w:val="21"/>
          <w:szCs w:val="21"/>
          <w:highlight w:val="none"/>
          <w:u w:val="none" w:color="auto"/>
          <w:lang w:val="en-US" w:eastAsia="zh-CN"/>
        </w:rPr>
        <w:t>4</w:t>
      </w:r>
      <w:r>
        <w:rPr>
          <w:rFonts w:hint="default" w:ascii="Times New Roman" w:hAnsi="Times New Roman" w:cs="Times New Roman"/>
          <w:color w:val="auto"/>
          <w:sz w:val="21"/>
          <w:szCs w:val="21"/>
          <w:highlight w:val="none"/>
          <w:u w:val="none" w:color="auto"/>
        </w:rPr>
        <w:t xml:space="preserve">  地表水水质监测结果及评价结果表</w:t>
      </w:r>
      <w:r>
        <w:rPr>
          <w:rFonts w:hint="eastAsia" w:ascii="Times New Roman" w:hAnsi="Times New Roman" w:cs="Times New Roman"/>
          <w:color w:val="auto"/>
          <w:sz w:val="21"/>
          <w:szCs w:val="21"/>
          <w:highlight w:val="none"/>
          <w:u w:val="none" w:color="auto"/>
          <w:lang w:val="en-US" w:eastAsia="zh-CN"/>
        </w:rPr>
        <w:t xml:space="preserve">     </w:t>
      </w:r>
      <w:r>
        <w:rPr>
          <w:rFonts w:hint="default" w:ascii="Times New Roman" w:hAnsi="Times New Roman" w:cs="Times New Roman"/>
          <w:color w:val="auto"/>
          <w:sz w:val="21"/>
          <w:szCs w:val="21"/>
          <w:highlight w:val="none"/>
          <w:u w:val="none" w:color="auto"/>
        </w:rPr>
        <w:t>单位：mg/L</w:t>
      </w:r>
    </w:p>
    <w:tbl>
      <w:tblPr>
        <w:tblStyle w:val="46"/>
        <w:tblW w:w="5017"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348"/>
        <w:gridCol w:w="1946"/>
        <w:gridCol w:w="906"/>
        <w:gridCol w:w="1292"/>
        <w:gridCol w:w="1292"/>
        <w:gridCol w:w="1292"/>
        <w:gridCol w:w="935"/>
        <w:gridCol w:w="1337"/>
        <w:gridCol w:w="1500"/>
        <w:gridCol w:w="1100"/>
        <w:gridCol w:w="1323"/>
      </w:tblGrid>
      <w:tr w14:paraId="1C803E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restart"/>
            <w:tcBorders>
              <w:tl2br w:val="nil"/>
              <w:tr2bl w:val="nil"/>
            </w:tcBorders>
            <w:tcMar>
              <w:left w:w="108" w:type="dxa"/>
              <w:right w:w="108" w:type="dxa"/>
            </w:tcMar>
            <w:vAlign w:val="center"/>
          </w:tcPr>
          <w:p w14:paraId="11E02EF6">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采样点位</w:t>
            </w:r>
          </w:p>
        </w:tc>
        <w:tc>
          <w:tcPr>
            <w:tcW w:w="681" w:type="pct"/>
            <w:vMerge w:val="restart"/>
            <w:tcBorders>
              <w:tl2br w:val="nil"/>
              <w:tr2bl w:val="nil"/>
            </w:tcBorders>
            <w:tcMar>
              <w:left w:w="108" w:type="dxa"/>
              <w:right w:w="108" w:type="dxa"/>
            </w:tcMar>
            <w:vAlign w:val="center"/>
          </w:tcPr>
          <w:p w14:paraId="2E9C3A73">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检测项目</w:t>
            </w:r>
          </w:p>
        </w:tc>
        <w:tc>
          <w:tcPr>
            <w:tcW w:w="317" w:type="pct"/>
            <w:vMerge w:val="restart"/>
            <w:tcBorders>
              <w:tl2br w:val="nil"/>
              <w:tr2bl w:val="nil"/>
            </w:tcBorders>
            <w:tcMar>
              <w:left w:w="108" w:type="dxa"/>
              <w:right w:w="108" w:type="dxa"/>
            </w:tcMar>
            <w:vAlign w:val="center"/>
          </w:tcPr>
          <w:p w14:paraId="64E5B56D">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单位</w:t>
            </w:r>
          </w:p>
        </w:tc>
        <w:tc>
          <w:tcPr>
            <w:tcW w:w="1357" w:type="pct"/>
            <w:gridSpan w:val="3"/>
            <w:tcBorders>
              <w:tl2br w:val="nil"/>
              <w:tr2bl w:val="nil"/>
            </w:tcBorders>
            <w:tcMar>
              <w:left w:w="108" w:type="dxa"/>
              <w:right w:w="108" w:type="dxa"/>
            </w:tcMar>
            <w:vAlign w:val="center"/>
          </w:tcPr>
          <w:p w14:paraId="251E4D11">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采样时间及检测结果</w:t>
            </w:r>
          </w:p>
        </w:tc>
        <w:tc>
          <w:tcPr>
            <w:tcW w:w="327" w:type="pct"/>
            <w:vMerge w:val="restart"/>
            <w:tcBorders>
              <w:tl2br w:val="nil"/>
              <w:tr2bl w:val="nil"/>
            </w:tcBorders>
            <w:shd w:val="clear" w:color="auto" w:fill="auto"/>
            <w:tcMar>
              <w:left w:w="108" w:type="dxa"/>
              <w:right w:w="108" w:type="dxa"/>
            </w:tcMar>
            <w:vAlign w:val="center"/>
          </w:tcPr>
          <w:p w14:paraId="4007D7AC">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cs="Times New Roman"/>
                <w:b w:val="0"/>
                <w:bCs w:val="0"/>
                <w:color w:val="auto"/>
                <w:u w:val="none" w:color="auto"/>
                <w:lang w:val="en-US" w:eastAsia="zh-CN"/>
              </w:rPr>
              <w:t>S</w:t>
            </w:r>
            <w:r>
              <w:rPr>
                <w:rFonts w:hint="default" w:ascii="Times New Roman" w:hAnsi="Times New Roman" w:cs="Times New Roman"/>
                <w:b w:val="0"/>
                <w:bCs w:val="0"/>
                <w:color w:val="auto"/>
                <w:u w:val="none" w:color="auto"/>
                <w:vertAlign w:val="subscript"/>
                <w:lang w:val="en-US" w:eastAsia="zh-CN"/>
              </w:rPr>
              <w:t>i</w:t>
            </w:r>
            <w:r>
              <w:rPr>
                <w:rFonts w:hint="eastAsia" w:cs="Times New Roman"/>
                <w:b w:val="0"/>
                <w:bCs w:val="0"/>
                <w:color w:val="auto"/>
                <w:u w:val="none" w:color="auto"/>
                <w:vertAlign w:val="subscript"/>
                <w:lang w:val="en-US" w:eastAsia="zh-CN"/>
              </w:rPr>
              <w:t>,</w:t>
            </w:r>
            <w:r>
              <w:rPr>
                <w:rFonts w:hint="default" w:ascii="Times New Roman" w:hAnsi="Times New Roman" w:cs="Times New Roman"/>
                <w:b w:val="0"/>
                <w:bCs w:val="0"/>
                <w:color w:val="auto"/>
                <w:u w:val="none" w:color="auto"/>
                <w:vertAlign w:val="subscript"/>
                <w:lang w:val="en-US" w:eastAsia="zh-CN"/>
              </w:rPr>
              <w:t>j</w:t>
            </w:r>
          </w:p>
        </w:tc>
        <w:tc>
          <w:tcPr>
            <w:tcW w:w="468" w:type="pct"/>
            <w:vMerge w:val="restart"/>
            <w:tcBorders>
              <w:tl2br w:val="nil"/>
              <w:tr2bl w:val="nil"/>
            </w:tcBorders>
            <w:shd w:val="clear" w:color="auto" w:fill="auto"/>
            <w:tcMar>
              <w:left w:w="108" w:type="dxa"/>
              <w:right w:w="108" w:type="dxa"/>
            </w:tcMar>
            <w:vAlign w:val="center"/>
          </w:tcPr>
          <w:p w14:paraId="5513FA40">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bCs/>
                <w:color w:val="auto"/>
                <w:sz w:val="21"/>
                <w:szCs w:val="21"/>
                <w:highlight w:val="none"/>
                <w:u w:val="none" w:color="auto"/>
                <w:vertAlign w:val="baseline"/>
                <w:lang w:val="en-US" w:eastAsia="zh-CN"/>
              </w:rPr>
              <w:t>超标</w:t>
            </w:r>
            <w:r>
              <w:rPr>
                <w:rFonts w:hint="default" w:ascii="Times New Roman" w:hAnsi="Times New Roman" w:eastAsia="宋体" w:cs="Times New Roman"/>
                <w:b/>
                <w:bCs/>
                <w:color w:val="auto"/>
                <w:sz w:val="21"/>
                <w:szCs w:val="21"/>
                <w:highlight w:val="none"/>
                <w:u w:val="none" w:color="auto"/>
                <w:vertAlign w:val="baseline"/>
                <w:lang w:eastAsia="zh-CN"/>
              </w:rPr>
              <w:t>率（%）</w:t>
            </w:r>
          </w:p>
        </w:tc>
        <w:tc>
          <w:tcPr>
            <w:tcW w:w="525" w:type="pct"/>
            <w:vMerge w:val="restart"/>
            <w:tcBorders>
              <w:tl2br w:val="nil"/>
              <w:tr2bl w:val="nil"/>
            </w:tcBorders>
            <w:shd w:val="clear" w:color="auto" w:fill="auto"/>
            <w:tcMar>
              <w:left w:w="108" w:type="dxa"/>
              <w:right w:w="108" w:type="dxa"/>
            </w:tcMar>
            <w:vAlign w:val="center"/>
          </w:tcPr>
          <w:p w14:paraId="39B1CCFE">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bCs/>
                <w:color w:val="auto"/>
                <w:sz w:val="21"/>
                <w:szCs w:val="21"/>
                <w:highlight w:val="none"/>
                <w:u w:val="none" w:color="auto"/>
                <w:vertAlign w:val="baseline"/>
                <w:lang w:val="en-US" w:eastAsia="zh-CN"/>
              </w:rPr>
              <w:t>最大</w:t>
            </w:r>
            <w:r>
              <w:rPr>
                <w:rFonts w:hint="default" w:ascii="Times New Roman" w:hAnsi="Times New Roman" w:eastAsia="宋体" w:cs="Times New Roman"/>
                <w:b/>
                <w:bCs/>
                <w:color w:val="auto"/>
                <w:sz w:val="21"/>
                <w:szCs w:val="21"/>
                <w:highlight w:val="none"/>
                <w:u w:val="none" w:color="auto"/>
                <w:vertAlign w:val="baseline"/>
                <w:lang w:eastAsia="zh-CN"/>
              </w:rPr>
              <w:t>超标倍数</w:t>
            </w:r>
          </w:p>
        </w:tc>
        <w:tc>
          <w:tcPr>
            <w:tcW w:w="385" w:type="pct"/>
            <w:vMerge w:val="restart"/>
            <w:tcBorders>
              <w:tl2br w:val="nil"/>
              <w:tr2bl w:val="nil"/>
            </w:tcBorders>
            <w:shd w:val="clear" w:color="auto" w:fill="auto"/>
            <w:tcMar>
              <w:left w:w="108" w:type="dxa"/>
              <w:right w:w="108" w:type="dxa"/>
            </w:tcMar>
            <w:vAlign w:val="center"/>
          </w:tcPr>
          <w:p w14:paraId="61A232CD">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bCs/>
                <w:color w:val="auto"/>
                <w:sz w:val="21"/>
                <w:szCs w:val="21"/>
                <w:highlight w:val="none"/>
                <w:u w:val="none" w:color="auto"/>
                <w:vertAlign w:val="baseline"/>
                <w:lang w:eastAsia="zh-CN"/>
              </w:rPr>
              <w:t>评价结果</w:t>
            </w:r>
          </w:p>
        </w:tc>
        <w:tc>
          <w:tcPr>
            <w:tcW w:w="463" w:type="pct"/>
            <w:vMerge w:val="restart"/>
            <w:tcBorders>
              <w:tl2br w:val="nil"/>
              <w:tr2bl w:val="nil"/>
            </w:tcBorders>
            <w:tcMar>
              <w:left w:w="108" w:type="dxa"/>
              <w:right w:w="108" w:type="dxa"/>
            </w:tcMar>
            <w:vAlign w:val="center"/>
          </w:tcPr>
          <w:p w14:paraId="4A9F56BB">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浓度限值</w:t>
            </w:r>
          </w:p>
        </w:tc>
      </w:tr>
      <w:tr w14:paraId="3A6925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71D59749">
            <w:pPr>
              <w:keepNext w:val="0"/>
              <w:keepLines w:val="0"/>
              <w:pageBreakBefore w:val="0"/>
              <w:widowControl/>
              <w:kinsoku/>
              <w:wordWrap/>
              <w:overflowPunct/>
              <w:autoSpaceDE/>
              <w:autoSpaceDN/>
              <w:bidi w:val="0"/>
              <w:spacing w:line="240" w:lineRule="auto"/>
              <w:ind w:left="0" w:firstLine="0" w:firstLineChars="0"/>
              <w:jc w:val="center"/>
              <w:textAlignment w:val="auto"/>
              <w:rPr>
                <w:b/>
              </w:rPr>
            </w:pPr>
          </w:p>
        </w:tc>
        <w:tc>
          <w:tcPr>
            <w:tcW w:w="681" w:type="pct"/>
            <w:vMerge w:val="continue"/>
            <w:tcBorders>
              <w:tl2br w:val="nil"/>
              <w:tr2bl w:val="nil"/>
            </w:tcBorders>
            <w:tcMar>
              <w:left w:w="108" w:type="dxa"/>
              <w:right w:w="108" w:type="dxa"/>
            </w:tcMar>
            <w:vAlign w:val="center"/>
          </w:tcPr>
          <w:p w14:paraId="0F35C261">
            <w:pPr>
              <w:keepNext w:val="0"/>
              <w:keepLines w:val="0"/>
              <w:pageBreakBefore w:val="0"/>
              <w:widowControl/>
              <w:kinsoku/>
              <w:wordWrap/>
              <w:overflowPunct/>
              <w:autoSpaceDE/>
              <w:autoSpaceDN/>
              <w:bidi w:val="0"/>
              <w:spacing w:line="240" w:lineRule="auto"/>
              <w:ind w:left="0" w:firstLine="0" w:firstLineChars="0"/>
              <w:jc w:val="center"/>
              <w:textAlignment w:val="auto"/>
              <w:rPr>
                <w:b/>
              </w:rPr>
            </w:pPr>
          </w:p>
        </w:tc>
        <w:tc>
          <w:tcPr>
            <w:tcW w:w="317" w:type="pct"/>
            <w:vMerge w:val="continue"/>
            <w:tcBorders>
              <w:tl2br w:val="nil"/>
              <w:tr2bl w:val="nil"/>
            </w:tcBorders>
            <w:tcMar>
              <w:left w:w="108" w:type="dxa"/>
              <w:right w:w="108" w:type="dxa"/>
            </w:tcMar>
            <w:vAlign w:val="center"/>
          </w:tcPr>
          <w:p w14:paraId="59795B6D">
            <w:pPr>
              <w:keepNext w:val="0"/>
              <w:keepLines w:val="0"/>
              <w:pageBreakBefore w:val="0"/>
              <w:widowControl/>
              <w:kinsoku/>
              <w:wordWrap/>
              <w:overflowPunct/>
              <w:autoSpaceDE/>
              <w:autoSpaceDN/>
              <w:bidi w:val="0"/>
              <w:spacing w:line="240" w:lineRule="auto"/>
              <w:ind w:left="0" w:firstLine="0" w:firstLineChars="0"/>
              <w:jc w:val="center"/>
              <w:textAlignment w:val="auto"/>
              <w:rPr>
                <w:b/>
              </w:rPr>
            </w:pPr>
          </w:p>
        </w:tc>
        <w:tc>
          <w:tcPr>
            <w:tcW w:w="452" w:type="pct"/>
            <w:tcBorders>
              <w:tl2br w:val="nil"/>
              <w:tr2bl w:val="nil"/>
            </w:tcBorders>
            <w:tcMar>
              <w:left w:w="108" w:type="dxa"/>
              <w:right w:w="108" w:type="dxa"/>
            </w:tcMar>
            <w:vAlign w:val="center"/>
          </w:tcPr>
          <w:p w14:paraId="5DA97F51">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2026.01.30</w:t>
            </w:r>
          </w:p>
        </w:tc>
        <w:tc>
          <w:tcPr>
            <w:tcW w:w="452" w:type="pct"/>
            <w:tcBorders>
              <w:tl2br w:val="nil"/>
              <w:tr2bl w:val="nil"/>
            </w:tcBorders>
            <w:tcMar>
              <w:left w:w="108" w:type="dxa"/>
              <w:right w:w="108" w:type="dxa"/>
            </w:tcMar>
            <w:vAlign w:val="center"/>
          </w:tcPr>
          <w:p w14:paraId="2F8BB3F8">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2026.01.31</w:t>
            </w:r>
          </w:p>
        </w:tc>
        <w:tc>
          <w:tcPr>
            <w:tcW w:w="452" w:type="pct"/>
            <w:tcBorders>
              <w:tl2br w:val="nil"/>
              <w:tr2bl w:val="nil"/>
            </w:tcBorders>
            <w:tcMar>
              <w:left w:w="108" w:type="dxa"/>
              <w:right w:w="108" w:type="dxa"/>
            </w:tcMar>
            <w:vAlign w:val="center"/>
          </w:tcPr>
          <w:p w14:paraId="25CD25D0">
            <w:pPr>
              <w:keepNext w:val="0"/>
              <w:keepLines w:val="0"/>
              <w:pageBreakBefore w:val="0"/>
              <w:widowControl/>
              <w:kinsoku/>
              <w:wordWrap/>
              <w:overflowPunct/>
              <w:autoSpaceDE/>
              <w:autoSpaceDN/>
              <w:bidi w:val="0"/>
              <w:spacing w:line="240" w:lineRule="auto"/>
              <w:ind w:left="0" w:firstLine="0" w:firstLineChars="0"/>
              <w:jc w:val="center"/>
              <w:textAlignment w:val="auto"/>
              <w:rPr>
                <w:b/>
              </w:rPr>
            </w:pPr>
            <w:r>
              <w:rPr>
                <w:b/>
              </w:rPr>
              <w:t>2026.02.01</w:t>
            </w:r>
          </w:p>
        </w:tc>
        <w:tc>
          <w:tcPr>
            <w:tcW w:w="327" w:type="pct"/>
            <w:vMerge w:val="continue"/>
            <w:tcBorders>
              <w:tl2br w:val="nil"/>
              <w:tr2bl w:val="nil"/>
            </w:tcBorders>
            <w:shd w:val="clear" w:color="auto" w:fill="auto"/>
            <w:tcMar>
              <w:left w:w="108" w:type="dxa"/>
              <w:right w:w="108" w:type="dxa"/>
            </w:tcMar>
            <w:vAlign w:val="center"/>
          </w:tcPr>
          <w:p w14:paraId="09CC58C0">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cs="Times New Roman"/>
                <w:b w:val="0"/>
                <w:bCs w:val="0"/>
                <w:color w:val="auto"/>
                <w:u w:val="none" w:color="auto"/>
                <w:lang w:val="en-US" w:eastAsia="zh-CN"/>
              </w:rPr>
              <w:t>S</w:t>
            </w:r>
            <w:r>
              <w:rPr>
                <w:rFonts w:hint="default" w:ascii="Times New Roman" w:hAnsi="Times New Roman" w:cs="Times New Roman"/>
                <w:b w:val="0"/>
                <w:bCs w:val="0"/>
                <w:color w:val="auto"/>
                <w:u w:val="none" w:color="auto"/>
                <w:vertAlign w:val="subscript"/>
                <w:lang w:val="en-US" w:eastAsia="zh-CN"/>
              </w:rPr>
              <w:t>ij</w:t>
            </w:r>
          </w:p>
        </w:tc>
        <w:tc>
          <w:tcPr>
            <w:tcW w:w="468" w:type="pct"/>
            <w:vMerge w:val="continue"/>
            <w:tcBorders>
              <w:tl2br w:val="nil"/>
              <w:tr2bl w:val="nil"/>
            </w:tcBorders>
            <w:shd w:val="clear" w:color="auto" w:fill="auto"/>
            <w:tcMar>
              <w:left w:w="108" w:type="dxa"/>
              <w:right w:w="108" w:type="dxa"/>
            </w:tcMar>
            <w:vAlign w:val="center"/>
          </w:tcPr>
          <w:p w14:paraId="126558BE">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bCs/>
                <w:color w:val="auto"/>
                <w:sz w:val="21"/>
                <w:szCs w:val="21"/>
                <w:highlight w:val="none"/>
                <w:u w:val="none" w:color="auto"/>
                <w:vertAlign w:val="baseline"/>
                <w:lang w:val="en-US" w:eastAsia="zh-CN"/>
              </w:rPr>
              <w:t>超标</w:t>
            </w:r>
            <w:r>
              <w:rPr>
                <w:rFonts w:hint="default" w:ascii="Times New Roman" w:hAnsi="Times New Roman" w:eastAsia="宋体" w:cs="Times New Roman"/>
                <w:b/>
                <w:bCs/>
                <w:color w:val="auto"/>
                <w:sz w:val="21"/>
                <w:szCs w:val="21"/>
                <w:highlight w:val="none"/>
                <w:u w:val="none" w:color="auto"/>
                <w:vertAlign w:val="baseline"/>
                <w:lang w:eastAsia="zh-CN"/>
              </w:rPr>
              <w:t>率（%）</w:t>
            </w:r>
          </w:p>
        </w:tc>
        <w:tc>
          <w:tcPr>
            <w:tcW w:w="525" w:type="pct"/>
            <w:vMerge w:val="continue"/>
            <w:tcBorders>
              <w:tl2br w:val="nil"/>
              <w:tr2bl w:val="nil"/>
            </w:tcBorders>
            <w:shd w:val="clear" w:color="auto" w:fill="auto"/>
            <w:tcMar>
              <w:left w:w="108" w:type="dxa"/>
              <w:right w:w="108" w:type="dxa"/>
            </w:tcMar>
            <w:vAlign w:val="center"/>
          </w:tcPr>
          <w:p w14:paraId="74209577">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bCs/>
                <w:color w:val="auto"/>
                <w:sz w:val="21"/>
                <w:szCs w:val="21"/>
                <w:highlight w:val="none"/>
                <w:u w:val="none" w:color="auto"/>
                <w:vertAlign w:val="baseline"/>
                <w:lang w:val="en-US" w:eastAsia="zh-CN"/>
              </w:rPr>
              <w:t>最大</w:t>
            </w:r>
            <w:r>
              <w:rPr>
                <w:rFonts w:hint="default" w:ascii="Times New Roman" w:hAnsi="Times New Roman" w:eastAsia="宋体" w:cs="Times New Roman"/>
                <w:b/>
                <w:bCs/>
                <w:color w:val="auto"/>
                <w:sz w:val="21"/>
                <w:szCs w:val="21"/>
                <w:highlight w:val="none"/>
                <w:u w:val="none" w:color="auto"/>
                <w:vertAlign w:val="baseline"/>
                <w:lang w:eastAsia="zh-CN"/>
              </w:rPr>
              <w:t>超标倍数</w:t>
            </w:r>
          </w:p>
        </w:tc>
        <w:tc>
          <w:tcPr>
            <w:tcW w:w="385" w:type="pct"/>
            <w:vMerge w:val="continue"/>
            <w:tcBorders>
              <w:tl2br w:val="nil"/>
              <w:tr2bl w:val="nil"/>
            </w:tcBorders>
            <w:shd w:val="clear" w:color="auto" w:fill="auto"/>
            <w:tcMar>
              <w:left w:w="108" w:type="dxa"/>
              <w:right w:w="108" w:type="dxa"/>
            </w:tcMar>
            <w:vAlign w:val="center"/>
          </w:tcPr>
          <w:p w14:paraId="301F7AF7">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
                <w:bCs/>
                <w:color w:val="auto"/>
                <w:sz w:val="21"/>
                <w:szCs w:val="21"/>
                <w:highlight w:val="none"/>
                <w:u w:val="none" w:color="auto"/>
                <w:vertAlign w:val="baseline"/>
                <w:lang w:eastAsia="zh-CN"/>
              </w:rPr>
              <w:t>评价结果</w:t>
            </w:r>
          </w:p>
        </w:tc>
        <w:tc>
          <w:tcPr>
            <w:tcW w:w="463" w:type="pct"/>
            <w:vMerge w:val="continue"/>
            <w:tcBorders>
              <w:tl2br w:val="nil"/>
              <w:tr2bl w:val="nil"/>
            </w:tcBorders>
            <w:tcMar>
              <w:left w:w="108" w:type="dxa"/>
              <w:right w:w="108" w:type="dxa"/>
            </w:tcMar>
            <w:vAlign w:val="center"/>
          </w:tcPr>
          <w:p w14:paraId="71344043">
            <w:pPr>
              <w:keepNext w:val="0"/>
              <w:keepLines w:val="0"/>
              <w:pageBreakBefore w:val="0"/>
              <w:widowControl/>
              <w:kinsoku/>
              <w:wordWrap/>
              <w:overflowPunct/>
              <w:autoSpaceDE/>
              <w:autoSpaceDN/>
              <w:bidi w:val="0"/>
              <w:spacing w:line="240" w:lineRule="auto"/>
              <w:ind w:left="0" w:firstLine="0" w:firstLineChars="0"/>
              <w:jc w:val="center"/>
              <w:textAlignment w:val="auto"/>
            </w:pPr>
          </w:p>
        </w:tc>
      </w:tr>
      <w:tr w14:paraId="663187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restart"/>
            <w:tcBorders>
              <w:tl2br w:val="nil"/>
              <w:tr2bl w:val="nil"/>
            </w:tcBorders>
            <w:tcMar>
              <w:left w:w="108" w:type="dxa"/>
              <w:right w:w="108" w:type="dxa"/>
            </w:tcMar>
            <w:vAlign w:val="center"/>
          </w:tcPr>
          <w:p w14:paraId="5B10F3A7">
            <w:pPr>
              <w:keepNext w:val="0"/>
              <w:keepLines w:val="0"/>
              <w:pageBreakBefore w:val="0"/>
              <w:widowControl/>
              <w:kinsoku/>
              <w:wordWrap/>
              <w:overflowPunct/>
              <w:autoSpaceDE/>
              <w:autoSpaceDN/>
              <w:bidi w:val="0"/>
              <w:spacing w:line="240" w:lineRule="auto"/>
              <w:ind w:left="0" w:firstLine="0" w:firstLineChars="0"/>
              <w:jc w:val="center"/>
              <w:textAlignment w:val="auto"/>
            </w:pPr>
            <w:r>
              <w:t>W1万古（白荆）水库</w:t>
            </w:r>
          </w:p>
        </w:tc>
        <w:tc>
          <w:tcPr>
            <w:tcW w:w="681" w:type="pct"/>
            <w:tcBorders>
              <w:tl2br w:val="nil"/>
              <w:tr2bl w:val="nil"/>
            </w:tcBorders>
            <w:tcMar>
              <w:left w:w="108" w:type="dxa"/>
              <w:right w:w="108" w:type="dxa"/>
            </w:tcMar>
            <w:vAlign w:val="center"/>
          </w:tcPr>
          <w:p w14:paraId="65E182FF">
            <w:pPr>
              <w:keepNext w:val="0"/>
              <w:keepLines w:val="0"/>
              <w:pageBreakBefore w:val="0"/>
              <w:widowControl/>
              <w:kinsoku/>
              <w:wordWrap/>
              <w:overflowPunct/>
              <w:autoSpaceDE/>
              <w:autoSpaceDN/>
              <w:bidi w:val="0"/>
              <w:spacing w:line="240" w:lineRule="auto"/>
              <w:ind w:left="0" w:firstLine="0" w:firstLineChars="0"/>
              <w:jc w:val="center"/>
              <w:textAlignment w:val="auto"/>
            </w:pPr>
            <w:r>
              <w:t>pH值</w:t>
            </w:r>
          </w:p>
        </w:tc>
        <w:tc>
          <w:tcPr>
            <w:tcW w:w="317" w:type="pct"/>
            <w:tcBorders>
              <w:tl2br w:val="nil"/>
              <w:tr2bl w:val="nil"/>
            </w:tcBorders>
            <w:tcMar>
              <w:left w:w="108" w:type="dxa"/>
              <w:right w:w="108" w:type="dxa"/>
            </w:tcMar>
            <w:vAlign w:val="center"/>
          </w:tcPr>
          <w:p w14:paraId="49BDA15A">
            <w:pPr>
              <w:keepNext w:val="0"/>
              <w:keepLines w:val="0"/>
              <w:pageBreakBefore w:val="0"/>
              <w:widowControl/>
              <w:kinsoku/>
              <w:wordWrap/>
              <w:overflowPunct/>
              <w:autoSpaceDE/>
              <w:autoSpaceDN/>
              <w:bidi w:val="0"/>
              <w:spacing w:line="240" w:lineRule="auto"/>
              <w:ind w:left="0" w:firstLine="0" w:firstLineChars="0"/>
              <w:jc w:val="center"/>
              <w:textAlignment w:val="auto"/>
            </w:pPr>
            <w:r>
              <w:t>无量纲</w:t>
            </w:r>
          </w:p>
        </w:tc>
        <w:tc>
          <w:tcPr>
            <w:tcW w:w="452" w:type="pct"/>
            <w:tcBorders>
              <w:tl2br w:val="nil"/>
              <w:tr2bl w:val="nil"/>
            </w:tcBorders>
            <w:tcMar>
              <w:left w:w="108" w:type="dxa"/>
              <w:right w:w="108" w:type="dxa"/>
            </w:tcMar>
            <w:vAlign w:val="center"/>
          </w:tcPr>
          <w:p w14:paraId="291A5BC8">
            <w:pPr>
              <w:keepNext w:val="0"/>
              <w:keepLines w:val="0"/>
              <w:pageBreakBefore w:val="0"/>
              <w:widowControl/>
              <w:kinsoku/>
              <w:wordWrap/>
              <w:overflowPunct/>
              <w:autoSpaceDE/>
              <w:autoSpaceDN/>
              <w:bidi w:val="0"/>
              <w:spacing w:line="240" w:lineRule="auto"/>
              <w:ind w:left="0" w:firstLine="0" w:firstLineChars="0"/>
              <w:jc w:val="center"/>
              <w:textAlignment w:val="auto"/>
            </w:pPr>
            <w:r>
              <w:t>8.1</w:t>
            </w:r>
          </w:p>
        </w:tc>
        <w:tc>
          <w:tcPr>
            <w:tcW w:w="452" w:type="pct"/>
            <w:tcBorders>
              <w:tl2br w:val="nil"/>
              <w:tr2bl w:val="nil"/>
            </w:tcBorders>
            <w:tcMar>
              <w:left w:w="108" w:type="dxa"/>
              <w:right w:w="108" w:type="dxa"/>
            </w:tcMar>
            <w:vAlign w:val="center"/>
          </w:tcPr>
          <w:p w14:paraId="575F6A15">
            <w:pPr>
              <w:keepNext w:val="0"/>
              <w:keepLines w:val="0"/>
              <w:pageBreakBefore w:val="0"/>
              <w:widowControl/>
              <w:kinsoku/>
              <w:wordWrap/>
              <w:overflowPunct/>
              <w:autoSpaceDE/>
              <w:autoSpaceDN/>
              <w:bidi w:val="0"/>
              <w:spacing w:line="240" w:lineRule="auto"/>
              <w:ind w:left="0" w:firstLine="0" w:firstLineChars="0"/>
              <w:jc w:val="center"/>
              <w:textAlignment w:val="auto"/>
            </w:pPr>
            <w:r>
              <w:t>7.9</w:t>
            </w:r>
          </w:p>
        </w:tc>
        <w:tc>
          <w:tcPr>
            <w:tcW w:w="452" w:type="pct"/>
            <w:tcBorders>
              <w:tl2br w:val="nil"/>
              <w:tr2bl w:val="nil"/>
            </w:tcBorders>
            <w:tcMar>
              <w:left w:w="108" w:type="dxa"/>
              <w:right w:w="108" w:type="dxa"/>
            </w:tcMar>
            <w:vAlign w:val="center"/>
          </w:tcPr>
          <w:p w14:paraId="7BDB50B8">
            <w:pPr>
              <w:keepNext w:val="0"/>
              <w:keepLines w:val="0"/>
              <w:pageBreakBefore w:val="0"/>
              <w:widowControl/>
              <w:kinsoku/>
              <w:wordWrap/>
              <w:overflowPunct/>
              <w:autoSpaceDE/>
              <w:autoSpaceDN/>
              <w:bidi w:val="0"/>
              <w:spacing w:line="240" w:lineRule="auto"/>
              <w:ind w:left="0" w:firstLine="0" w:firstLineChars="0"/>
              <w:jc w:val="center"/>
              <w:textAlignment w:val="auto"/>
            </w:pPr>
            <w:r>
              <w:t>7.7</w:t>
            </w:r>
          </w:p>
        </w:tc>
        <w:tc>
          <w:tcPr>
            <w:tcW w:w="327" w:type="pct"/>
            <w:tcBorders>
              <w:tl2br w:val="nil"/>
              <w:tr2bl w:val="nil"/>
            </w:tcBorders>
            <w:shd w:val="clear" w:color="auto" w:fill="auto"/>
            <w:tcMar>
              <w:left w:w="108" w:type="dxa"/>
              <w:right w:w="108" w:type="dxa"/>
            </w:tcMar>
            <w:vAlign w:val="center"/>
          </w:tcPr>
          <w:p w14:paraId="26F737D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0.55</w:t>
            </w:r>
          </w:p>
        </w:tc>
        <w:tc>
          <w:tcPr>
            <w:tcW w:w="468" w:type="pct"/>
            <w:tcBorders>
              <w:tl2br w:val="nil"/>
              <w:tr2bl w:val="nil"/>
            </w:tcBorders>
            <w:shd w:val="clear" w:color="auto" w:fill="auto"/>
            <w:tcMar>
              <w:left w:w="108" w:type="dxa"/>
              <w:right w:w="108" w:type="dxa"/>
            </w:tcMar>
            <w:vAlign w:val="center"/>
          </w:tcPr>
          <w:p w14:paraId="1153404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6A29C52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0AEF102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3A340D8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6-9</w:t>
            </w:r>
          </w:p>
        </w:tc>
      </w:tr>
      <w:tr w14:paraId="3628DF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7CB3FC35">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0C183069">
            <w:pPr>
              <w:keepNext w:val="0"/>
              <w:keepLines w:val="0"/>
              <w:pageBreakBefore w:val="0"/>
              <w:widowControl/>
              <w:kinsoku/>
              <w:wordWrap/>
              <w:overflowPunct/>
              <w:autoSpaceDE/>
              <w:autoSpaceDN/>
              <w:bidi w:val="0"/>
              <w:spacing w:line="240" w:lineRule="auto"/>
              <w:ind w:left="0" w:firstLine="0" w:firstLineChars="0"/>
              <w:jc w:val="center"/>
              <w:textAlignment w:val="auto"/>
            </w:pPr>
            <w:r>
              <w:t>水温</w:t>
            </w:r>
          </w:p>
        </w:tc>
        <w:tc>
          <w:tcPr>
            <w:tcW w:w="317" w:type="pct"/>
            <w:tcBorders>
              <w:tl2br w:val="nil"/>
              <w:tr2bl w:val="nil"/>
            </w:tcBorders>
            <w:tcMar>
              <w:left w:w="108" w:type="dxa"/>
              <w:right w:w="108" w:type="dxa"/>
            </w:tcMar>
            <w:vAlign w:val="center"/>
          </w:tcPr>
          <w:p w14:paraId="19D706F0">
            <w:pPr>
              <w:keepNext w:val="0"/>
              <w:keepLines w:val="0"/>
              <w:pageBreakBefore w:val="0"/>
              <w:widowControl/>
              <w:kinsoku/>
              <w:wordWrap/>
              <w:overflowPunct/>
              <w:autoSpaceDE/>
              <w:autoSpaceDN/>
              <w:bidi w:val="0"/>
              <w:spacing w:line="240" w:lineRule="auto"/>
              <w:ind w:left="0" w:firstLine="0" w:firstLineChars="0"/>
              <w:jc w:val="center"/>
              <w:textAlignment w:val="auto"/>
            </w:pPr>
            <w:r>
              <w:t>℃</w:t>
            </w:r>
          </w:p>
        </w:tc>
        <w:tc>
          <w:tcPr>
            <w:tcW w:w="452" w:type="pct"/>
            <w:tcBorders>
              <w:tl2br w:val="nil"/>
              <w:tr2bl w:val="nil"/>
            </w:tcBorders>
            <w:tcMar>
              <w:left w:w="108" w:type="dxa"/>
              <w:right w:w="108" w:type="dxa"/>
            </w:tcMar>
            <w:vAlign w:val="center"/>
          </w:tcPr>
          <w:p w14:paraId="3DBED6C2">
            <w:pPr>
              <w:keepNext w:val="0"/>
              <w:keepLines w:val="0"/>
              <w:pageBreakBefore w:val="0"/>
              <w:widowControl/>
              <w:kinsoku/>
              <w:wordWrap/>
              <w:overflowPunct/>
              <w:autoSpaceDE/>
              <w:autoSpaceDN/>
              <w:bidi w:val="0"/>
              <w:spacing w:line="240" w:lineRule="auto"/>
              <w:ind w:left="0" w:firstLine="0" w:firstLineChars="0"/>
              <w:jc w:val="center"/>
              <w:textAlignment w:val="auto"/>
            </w:pPr>
            <w:r>
              <w:t>10.2</w:t>
            </w:r>
          </w:p>
        </w:tc>
        <w:tc>
          <w:tcPr>
            <w:tcW w:w="452" w:type="pct"/>
            <w:tcBorders>
              <w:tl2br w:val="nil"/>
              <w:tr2bl w:val="nil"/>
            </w:tcBorders>
            <w:tcMar>
              <w:left w:w="108" w:type="dxa"/>
              <w:right w:w="108" w:type="dxa"/>
            </w:tcMar>
            <w:vAlign w:val="center"/>
          </w:tcPr>
          <w:p w14:paraId="41051268">
            <w:pPr>
              <w:keepNext w:val="0"/>
              <w:keepLines w:val="0"/>
              <w:pageBreakBefore w:val="0"/>
              <w:widowControl/>
              <w:kinsoku/>
              <w:wordWrap/>
              <w:overflowPunct/>
              <w:autoSpaceDE/>
              <w:autoSpaceDN/>
              <w:bidi w:val="0"/>
              <w:spacing w:line="240" w:lineRule="auto"/>
              <w:ind w:left="0" w:firstLine="0" w:firstLineChars="0"/>
              <w:jc w:val="center"/>
              <w:textAlignment w:val="auto"/>
            </w:pPr>
            <w:r>
              <w:t>11.7</w:t>
            </w:r>
          </w:p>
        </w:tc>
        <w:tc>
          <w:tcPr>
            <w:tcW w:w="452" w:type="pct"/>
            <w:tcBorders>
              <w:tl2br w:val="nil"/>
              <w:tr2bl w:val="nil"/>
            </w:tcBorders>
            <w:tcMar>
              <w:left w:w="108" w:type="dxa"/>
              <w:right w:w="108" w:type="dxa"/>
            </w:tcMar>
            <w:vAlign w:val="center"/>
          </w:tcPr>
          <w:p w14:paraId="726EDF33">
            <w:pPr>
              <w:keepNext w:val="0"/>
              <w:keepLines w:val="0"/>
              <w:pageBreakBefore w:val="0"/>
              <w:widowControl/>
              <w:kinsoku/>
              <w:wordWrap/>
              <w:overflowPunct/>
              <w:autoSpaceDE/>
              <w:autoSpaceDN/>
              <w:bidi w:val="0"/>
              <w:spacing w:line="240" w:lineRule="auto"/>
              <w:ind w:left="0" w:firstLine="0" w:firstLineChars="0"/>
              <w:jc w:val="center"/>
              <w:textAlignment w:val="auto"/>
            </w:pPr>
            <w:r>
              <w:t>13.7</w:t>
            </w:r>
          </w:p>
        </w:tc>
        <w:tc>
          <w:tcPr>
            <w:tcW w:w="327" w:type="pct"/>
            <w:tcBorders>
              <w:tl2br w:val="nil"/>
              <w:tr2bl w:val="nil"/>
            </w:tcBorders>
            <w:shd w:val="clear" w:color="auto" w:fill="auto"/>
            <w:tcMar>
              <w:left w:w="108" w:type="dxa"/>
              <w:right w:w="108" w:type="dxa"/>
            </w:tcMar>
            <w:vAlign w:val="center"/>
          </w:tcPr>
          <w:p w14:paraId="5FE30CA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position w:val="-2"/>
                <w:sz w:val="21"/>
                <w:szCs w:val="21"/>
                <w:lang w:val="en-US" w:eastAsia="zh-CN"/>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tcMar>
              <w:left w:w="108" w:type="dxa"/>
              <w:right w:w="108" w:type="dxa"/>
            </w:tcMar>
            <w:vAlign w:val="center"/>
          </w:tcPr>
          <w:p w14:paraId="569E561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position w:val="-2"/>
                <w:sz w:val="21"/>
                <w:szCs w:val="21"/>
                <w:lang w:val="en-US" w:eastAsia="zh-CN"/>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tcMar>
              <w:left w:w="108" w:type="dxa"/>
              <w:right w:w="108" w:type="dxa"/>
            </w:tcMar>
            <w:vAlign w:val="center"/>
          </w:tcPr>
          <w:p w14:paraId="2C6D7F1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position w:val="-2"/>
                <w:sz w:val="21"/>
                <w:szCs w:val="21"/>
                <w:lang w:val="en-US" w:eastAsia="zh-CN"/>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tcMar>
              <w:left w:w="108" w:type="dxa"/>
              <w:right w:w="108" w:type="dxa"/>
            </w:tcMar>
            <w:vAlign w:val="center"/>
          </w:tcPr>
          <w:p w14:paraId="435C26C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position w:val="-2"/>
                <w:sz w:val="21"/>
                <w:szCs w:val="21"/>
                <w:lang w:val="en-US" w:eastAsia="zh-CN"/>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tcMar>
              <w:left w:w="108" w:type="dxa"/>
              <w:right w:w="108" w:type="dxa"/>
            </w:tcMar>
            <w:vAlign w:val="center"/>
          </w:tcPr>
          <w:p w14:paraId="04664A2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7BA4DD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2613CBA">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10C11291">
            <w:pPr>
              <w:keepNext w:val="0"/>
              <w:keepLines w:val="0"/>
              <w:pageBreakBefore w:val="0"/>
              <w:widowControl/>
              <w:kinsoku/>
              <w:wordWrap/>
              <w:overflowPunct/>
              <w:autoSpaceDE/>
              <w:autoSpaceDN/>
              <w:bidi w:val="0"/>
              <w:spacing w:line="240" w:lineRule="auto"/>
              <w:ind w:left="0" w:firstLine="0" w:firstLineChars="0"/>
              <w:jc w:val="center"/>
              <w:textAlignment w:val="auto"/>
            </w:pPr>
            <w:r>
              <w:t>溶解氧</w:t>
            </w:r>
          </w:p>
        </w:tc>
        <w:tc>
          <w:tcPr>
            <w:tcW w:w="317" w:type="pct"/>
            <w:tcBorders>
              <w:tl2br w:val="nil"/>
              <w:tr2bl w:val="nil"/>
            </w:tcBorders>
            <w:tcMar>
              <w:left w:w="108" w:type="dxa"/>
              <w:right w:w="108" w:type="dxa"/>
            </w:tcMar>
            <w:vAlign w:val="center"/>
          </w:tcPr>
          <w:p w14:paraId="16837D82">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6AD3F00F">
            <w:pPr>
              <w:keepNext w:val="0"/>
              <w:keepLines w:val="0"/>
              <w:pageBreakBefore w:val="0"/>
              <w:widowControl/>
              <w:kinsoku/>
              <w:wordWrap/>
              <w:overflowPunct/>
              <w:autoSpaceDE/>
              <w:autoSpaceDN/>
              <w:bidi w:val="0"/>
              <w:spacing w:line="240" w:lineRule="auto"/>
              <w:ind w:left="0" w:firstLine="0" w:firstLineChars="0"/>
              <w:jc w:val="center"/>
              <w:textAlignment w:val="auto"/>
            </w:pPr>
            <w:r>
              <w:t>11.17</w:t>
            </w:r>
          </w:p>
        </w:tc>
        <w:tc>
          <w:tcPr>
            <w:tcW w:w="452" w:type="pct"/>
            <w:tcBorders>
              <w:tl2br w:val="nil"/>
              <w:tr2bl w:val="nil"/>
            </w:tcBorders>
            <w:tcMar>
              <w:left w:w="108" w:type="dxa"/>
              <w:right w:w="108" w:type="dxa"/>
            </w:tcMar>
            <w:vAlign w:val="center"/>
          </w:tcPr>
          <w:p w14:paraId="43FFE470">
            <w:pPr>
              <w:keepNext w:val="0"/>
              <w:keepLines w:val="0"/>
              <w:pageBreakBefore w:val="0"/>
              <w:widowControl/>
              <w:kinsoku/>
              <w:wordWrap/>
              <w:overflowPunct/>
              <w:autoSpaceDE/>
              <w:autoSpaceDN/>
              <w:bidi w:val="0"/>
              <w:spacing w:line="240" w:lineRule="auto"/>
              <w:ind w:left="0" w:firstLine="0" w:firstLineChars="0"/>
              <w:jc w:val="center"/>
              <w:textAlignment w:val="auto"/>
            </w:pPr>
            <w:r>
              <w:t>10.68</w:t>
            </w:r>
          </w:p>
        </w:tc>
        <w:tc>
          <w:tcPr>
            <w:tcW w:w="452" w:type="pct"/>
            <w:tcBorders>
              <w:tl2br w:val="nil"/>
              <w:tr2bl w:val="nil"/>
            </w:tcBorders>
            <w:tcMar>
              <w:left w:w="108" w:type="dxa"/>
              <w:right w:w="108" w:type="dxa"/>
            </w:tcMar>
            <w:vAlign w:val="center"/>
          </w:tcPr>
          <w:p w14:paraId="1319BAC9">
            <w:pPr>
              <w:keepNext w:val="0"/>
              <w:keepLines w:val="0"/>
              <w:pageBreakBefore w:val="0"/>
              <w:widowControl/>
              <w:kinsoku/>
              <w:wordWrap/>
              <w:overflowPunct/>
              <w:autoSpaceDE/>
              <w:autoSpaceDN/>
              <w:bidi w:val="0"/>
              <w:spacing w:line="240" w:lineRule="auto"/>
              <w:ind w:left="0" w:firstLine="0" w:firstLineChars="0"/>
              <w:jc w:val="center"/>
              <w:textAlignment w:val="auto"/>
            </w:pPr>
            <w:r>
              <w:t>10.16</w:t>
            </w:r>
          </w:p>
        </w:tc>
        <w:tc>
          <w:tcPr>
            <w:tcW w:w="327" w:type="pct"/>
            <w:tcBorders>
              <w:tl2br w:val="nil"/>
              <w:tr2bl w:val="nil"/>
            </w:tcBorders>
            <w:shd w:val="clear" w:color="auto" w:fill="auto"/>
            <w:tcMar>
              <w:left w:w="108" w:type="dxa"/>
              <w:right w:w="108" w:type="dxa"/>
            </w:tcMar>
            <w:vAlign w:val="center"/>
          </w:tcPr>
          <w:p w14:paraId="0EC4641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1"/>
                <w:sz w:val="21"/>
                <w:szCs w:val="21"/>
                <w:lang w:val="en-US" w:eastAsia="zh-CN"/>
              </w:rPr>
            </w:pPr>
            <w:r>
              <w:rPr>
                <w:rFonts w:hint="eastAsia" w:eastAsia="宋体" w:cs="Times New Roman"/>
                <w:spacing w:val="1"/>
                <w:sz w:val="21"/>
                <w:szCs w:val="21"/>
                <w:lang w:val="en-US" w:eastAsia="zh-CN"/>
              </w:rPr>
              <w:t>0.49</w:t>
            </w:r>
          </w:p>
        </w:tc>
        <w:tc>
          <w:tcPr>
            <w:tcW w:w="468" w:type="pct"/>
            <w:tcBorders>
              <w:tl2br w:val="nil"/>
              <w:tr2bl w:val="nil"/>
            </w:tcBorders>
            <w:shd w:val="clear" w:color="auto" w:fill="auto"/>
            <w:tcMar>
              <w:left w:w="108" w:type="dxa"/>
              <w:right w:w="108" w:type="dxa"/>
            </w:tcMar>
            <w:vAlign w:val="center"/>
          </w:tcPr>
          <w:p w14:paraId="12C5FE1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7EBFB9E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5EF5A13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9E9366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≥5</w:t>
            </w:r>
          </w:p>
        </w:tc>
      </w:tr>
      <w:tr w14:paraId="2BF4A6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1549C0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245293A4">
            <w:pPr>
              <w:keepNext w:val="0"/>
              <w:keepLines w:val="0"/>
              <w:pageBreakBefore w:val="0"/>
              <w:widowControl/>
              <w:kinsoku/>
              <w:wordWrap/>
              <w:overflowPunct/>
              <w:autoSpaceDE/>
              <w:autoSpaceDN/>
              <w:bidi w:val="0"/>
              <w:spacing w:line="240" w:lineRule="auto"/>
              <w:ind w:left="0" w:firstLine="0" w:firstLineChars="0"/>
              <w:jc w:val="center"/>
              <w:textAlignment w:val="auto"/>
            </w:pPr>
            <w:r>
              <w:t>化学需氧量</w:t>
            </w:r>
          </w:p>
        </w:tc>
        <w:tc>
          <w:tcPr>
            <w:tcW w:w="317" w:type="pct"/>
            <w:tcBorders>
              <w:tl2br w:val="nil"/>
              <w:tr2bl w:val="nil"/>
            </w:tcBorders>
            <w:tcMar>
              <w:left w:w="108" w:type="dxa"/>
              <w:right w:w="108" w:type="dxa"/>
            </w:tcMar>
            <w:vAlign w:val="center"/>
          </w:tcPr>
          <w:p w14:paraId="66E58367">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7B3CD8EF">
            <w:pPr>
              <w:keepNext w:val="0"/>
              <w:keepLines w:val="0"/>
              <w:pageBreakBefore w:val="0"/>
              <w:widowControl/>
              <w:kinsoku/>
              <w:wordWrap/>
              <w:overflowPunct/>
              <w:autoSpaceDE/>
              <w:autoSpaceDN/>
              <w:bidi w:val="0"/>
              <w:spacing w:line="240" w:lineRule="auto"/>
              <w:ind w:left="0" w:firstLine="0" w:firstLineChars="0"/>
              <w:jc w:val="center"/>
              <w:textAlignment w:val="auto"/>
            </w:pPr>
            <w:r>
              <w:t>9</w:t>
            </w:r>
          </w:p>
        </w:tc>
        <w:tc>
          <w:tcPr>
            <w:tcW w:w="452" w:type="pct"/>
            <w:tcBorders>
              <w:tl2br w:val="nil"/>
              <w:tr2bl w:val="nil"/>
            </w:tcBorders>
            <w:tcMar>
              <w:left w:w="108" w:type="dxa"/>
              <w:right w:w="108" w:type="dxa"/>
            </w:tcMar>
            <w:vAlign w:val="center"/>
          </w:tcPr>
          <w:p w14:paraId="589665FB">
            <w:pPr>
              <w:keepNext w:val="0"/>
              <w:keepLines w:val="0"/>
              <w:pageBreakBefore w:val="0"/>
              <w:widowControl/>
              <w:kinsoku/>
              <w:wordWrap/>
              <w:overflowPunct/>
              <w:autoSpaceDE/>
              <w:autoSpaceDN/>
              <w:bidi w:val="0"/>
              <w:spacing w:line="240" w:lineRule="auto"/>
              <w:ind w:left="0" w:firstLine="0" w:firstLineChars="0"/>
              <w:jc w:val="center"/>
              <w:textAlignment w:val="auto"/>
            </w:pPr>
            <w:r>
              <w:t>7</w:t>
            </w:r>
          </w:p>
        </w:tc>
        <w:tc>
          <w:tcPr>
            <w:tcW w:w="452" w:type="pct"/>
            <w:tcBorders>
              <w:tl2br w:val="nil"/>
              <w:tr2bl w:val="nil"/>
            </w:tcBorders>
            <w:tcMar>
              <w:left w:w="108" w:type="dxa"/>
              <w:right w:w="108" w:type="dxa"/>
            </w:tcMar>
            <w:vAlign w:val="center"/>
          </w:tcPr>
          <w:p w14:paraId="26AE1FE4">
            <w:pPr>
              <w:keepNext w:val="0"/>
              <w:keepLines w:val="0"/>
              <w:pageBreakBefore w:val="0"/>
              <w:widowControl/>
              <w:kinsoku/>
              <w:wordWrap/>
              <w:overflowPunct/>
              <w:autoSpaceDE/>
              <w:autoSpaceDN/>
              <w:bidi w:val="0"/>
              <w:spacing w:line="240" w:lineRule="auto"/>
              <w:ind w:left="0" w:firstLine="0" w:firstLineChars="0"/>
              <w:jc w:val="center"/>
              <w:textAlignment w:val="auto"/>
            </w:pPr>
            <w:r>
              <w:t>8</w:t>
            </w:r>
          </w:p>
        </w:tc>
        <w:tc>
          <w:tcPr>
            <w:tcW w:w="327" w:type="pct"/>
            <w:tcBorders>
              <w:tl2br w:val="nil"/>
              <w:tr2bl w:val="nil"/>
            </w:tcBorders>
            <w:shd w:val="clear" w:color="auto" w:fill="auto"/>
            <w:tcMar>
              <w:left w:w="108" w:type="dxa"/>
              <w:right w:w="108" w:type="dxa"/>
            </w:tcMar>
            <w:vAlign w:val="center"/>
          </w:tcPr>
          <w:p w14:paraId="78A5DCB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0.45</w:t>
            </w:r>
          </w:p>
        </w:tc>
        <w:tc>
          <w:tcPr>
            <w:tcW w:w="468" w:type="pct"/>
            <w:tcBorders>
              <w:tl2br w:val="nil"/>
              <w:tr2bl w:val="nil"/>
            </w:tcBorders>
            <w:shd w:val="clear" w:color="auto" w:fill="auto"/>
            <w:tcMar>
              <w:left w:w="108" w:type="dxa"/>
              <w:right w:w="108" w:type="dxa"/>
            </w:tcMar>
            <w:vAlign w:val="center"/>
          </w:tcPr>
          <w:p w14:paraId="4091A66D">
            <w:pPr>
              <w:keepNext w:val="0"/>
              <w:keepLines w:val="0"/>
              <w:pageBreakBefore w:val="0"/>
              <w:widowControl/>
              <w:kinsoku/>
              <w:wordWrap/>
              <w:overflowPunct/>
              <w:autoSpaceDE/>
              <w:autoSpaceDN/>
              <w:bidi w:val="0"/>
              <w:spacing w:line="240" w:lineRule="auto"/>
              <w:ind w:left="0" w:firstLine="0" w:firstLineChars="0"/>
              <w:jc w:val="center"/>
              <w:textAlignment w:val="auto"/>
              <w:rPr>
                <w:rFonts w:hint="default" w:eastAsia="宋体"/>
                <w:lang w:val="en-US" w:eastAsia="zh-CN"/>
              </w:rPr>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29C72B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sz w:val="21"/>
                <w:szCs w:val="21"/>
                <w:lang w:val="en-US" w:eastAsia="zh-CN"/>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2449A2C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sz w:val="21"/>
                <w:szCs w:val="21"/>
                <w:lang w:val="en-US" w:eastAsia="zh-CN"/>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57D7BB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≤20</w:t>
            </w:r>
          </w:p>
        </w:tc>
      </w:tr>
      <w:tr w14:paraId="4F8CB4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A555D9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02A1F031">
            <w:pPr>
              <w:keepNext w:val="0"/>
              <w:keepLines w:val="0"/>
              <w:pageBreakBefore w:val="0"/>
              <w:widowControl/>
              <w:kinsoku/>
              <w:wordWrap/>
              <w:overflowPunct/>
              <w:autoSpaceDE/>
              <w:autoSpaceDN/>
              <w:bidi w:val="0"/>
              <w:spacing w:line="240" w:lineRule="auto"/>
              <w:ind w:left="0" w:firstLine="0" w:firstLineChars="0"/>
              <w:jc w:val="center"/>
              <w:textAlignment w:val="auto"/>
            </w:pPr>
            <w:r>
              <w:t>高锰酸盐指数</w:t>
            </w:r>
          </w:p>
        </w:tc>
        <w:tc>
          <w:tcPr>
            <w:tcW w:w="317" w:type="pct"/>
            <w:tcBorders>
              <w:tl2br w:val="nil"/>
              <w:tr2bl w:val="nil"/>
            </w:tcBorders>
            <w:tcMar>
              <w:left w:w="108" w:type="dxa"/>
              <w:right w:w="108" w:type="dxa"/>
            </w:tcMar>
            <w:vAlign w:val="center"/>
          </w:tcPr>
          <w:p w14:paraId="1F1B485E">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60F5AACA">
            <w:pPr>
              <w:keepNext w:val="0"/>
              <w:keepLines w:val="0"/>
              <w:pageBreakBefore w:val="0"/>
              <w:widowControl/>
              <w:kinsoku/>
              <w:wordWrap/>
              <w:overflowPunct/>
              <w:autoSpaceDE/>
              <w:autoSpaceDN/>
              <w:bidi w:val="0"/>
              <w:spacing w:line="240" w:lineRule="auto"/>
              <w:ind w:left="0" w:firstLine="0" w:firstLineChars="0"/>
              <w:jc w:val="center"/>
              <w:textAlignment w:val="auto"/>
            </w:pPr>
            <w:r>
              <w:t>1.1</w:t>
            </w:r>
          </w:p>
        </w:tc>
        <w:tc>
          <w:tcPr>
            <w:tcW w:w="452" w:type="pct"/>
            <w:tcBorders>
              <w:tl2br w:val="nil"/>
              <w:tr2bl w:val="nil"/>
            </w:tcBorders>
            <w:tcMar>
              <w:left w:w="108" w:type="dxa"/>
              <w:right w:w="108" w:type="dxa"/>
            </w:tcMar>
            <w:vAlign w:val="center"/>
          </w:tcPr>
          <w:p w14:paraId="4E1FFD18">
            <w:pPr>
              <w:keepNext w:val="0"/>
              <w:keepLines w:val="0"/>
              <w:pageBreakBefore w:val="0"/>
              <w:widowControl/>
              <w:kinsoku/>
              <w:wordWrap/>
              <w:overflowPunct/>
              <w:autoSpaceDE/>
              <w:autoSpaceDN/>
              <w:bidi w:val="0"/>
              <w:spacing w:line="240" w:lineRule="auto"/>
              <w:ind w:left="0" w:firstLine="0" w:firstLineChars="0"/>
              <w:jc w:val="center"/>
              <w:textAlignment w:val="auto"/>
            </w:pPr>
            <w:r>
              <w:t>1.2</w:t>
            </w:r>
          </w:p>
        </w:tc>
        <w:tc>
          <w:tcPr>
            <w:tcW w:w="452" w:type="pct"/>
            <w:tcBorders>
              <w:tl2br w:val="nil"/>
              <w:tr2bl w:val="nil"/>
            </w:tcBorders>
            <w:tcMar>
              <w:left w:w="108" w:type="dxa"/>
              <w:right w:w="108" w:type="dxa"/>
            </w:tcMar>
            <w:vAlign w:val="center"/>
          </w:tcPr>
          <w:p w14:paraId="0A94F008">
            <w:pPr>
              <w:keepNext w:val="0"/>
              <w:keepLines w:val="0"/>
              <w:pageBreakBefore w:val="0"/>
              <w:widowControl/>
              <w:kinsoku/>
              <w:wordWrap/>
              <w:overflowPunct/>
              <w:autoSpaceDE/>
              <w:autoSpaceDN/>
              <w:bidi w:val="0"/>
              <w:spacing w:line="240" w:lineRule="auto"/>
              <w:ind w:left="0" w:firstLine="0" w:firstLineChars="0"/>
              <w:jc w:val="center"/>
              <w:textAlignment w:val="auto"/>
            </w:pPr>
            <w:r>
              <w:t>1.2</w:t>
            </w:r>
          </w:p>
        </w:tc>
        <w:tc>
          <w:tcPr>
            <w:tcW w:w="327" w:type="pct"/>
            <w:tcBorders>
              <w:tl2br w:val="nil"/>
              <w:tr2bl w:val="nil"/>
            </w:tcBorders>
            <w:shd w:val="clear" w:color="auto" w:fill="auto"/>
            <w:tcMar>
              <w:left w:w="108" w:type="dxa"/>
              <w:right w:w="108" w:type="dxa"/>
            </w:tcMar>
            <w:vAlign w:val="center"/>
          </w:tcPr>
          <w:p w14:paraId="157E394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w:t>
            </w:r>
          </w:p>
        </w:tc>
        <w:tc>
          <w:tcPr>
            <w:tcW w:w="468" w:type="pct"/>
            <w:tcBorders>
              <w:tl2br w:val="nil"/>
              <w:tr2bl w:val="nil"/>
            </w:tcBorders>
            <w:shd w:val="clear" w:color="auto" w:fill="auto"/>
            <w:tcMar>
              <w:left w:w="108" w:type="dxa"/>
              <w:right w:w="108" w:type="dxa"/>
            </w:tcMar>
            <w:vAlign w:val="center"/>
          </w:tcPr>
          <w:p w14:paraId="7A5E2BD1">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883E24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4AADA4B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3D98EA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≤6</w:t>
            </w:r>
          </w:p>
        </w:tc>
      </w:tr>
      <w:tr w14:paraId="5FFAFF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92CFBE5">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2202DECE">
            <w:pPr>
              <w:keepNext w:val="0"/>
              <w:keepLines w:val="0"/>
              <w:pageBreakBefore w:val="0"/>
              <w:widowControl/>
              <w:kinsoku/>
              <w:wordWrap/>
              <w:overflowPunct/>
              <w:autoSpaceDE/>
              <w:autoSpaceDN/>
              <w:bidi w:val="0"/>
              <w:spacing w:line="240" w:lineRule="auto"/>
              <w:ind w:left="0" w:firstLine="0" w:firstLineChars="0"/>
              <w:jc w:val="center"/>
              <w:textAlignment w:val="auto"/>
            </w:pPr>
            <w:r>
              <w:t>五日生化需氧量</w:t>
            </w:r>
          </w:p>
        </w:tc>
        <w:tc>
          <w:tcPr>
            <w:tcW w:w="317" w:type="pct"/>
            <w:tcBorders>
              <w:tl2br w:val="nil"/>
              <w:tr2bl w:val="nil"/>
            </w:tcBorders>
            <w:tcMar>
              <w:left w:w="108" w:type="dxa"/>
              <w:right w:w="108" w:type="dxa"/>
            </w:tcMar>
            <w:vAlign w:val="center"/>
          </w:tcPr>
          <w:p w14:paraId="1C6CB8F0">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17237252">
            <w:pPr>
              <w:keepNext w:val="0"/>
              <w:keepLines w:val="0"/>
              <w:pageBreakBefore w:val="0"/>
              <w:widowControl/>
              <w:kinsoku/>
              <w:wordWrap/>
              <w:overflowPunct/>
              <w:autoSpaceDE/>
              <w:autoSpaceDN/>
              <w:bidi w:val="0"/>
              <w:spacing w:line="240" w:lineRule="auto"/>
              <w:ind w:left="0" w:firstLine="0" w:firstLineChars="0"/>
              <w:jc w:val="center"/>
              <w:textAlignment w:val="auto"/>
            </w:pPr>
            <w:r>
              <w:t>2.4</w:t>
            </w:r>
          </w:p>
        </w:tc>
        <w:tc>
          <w:tcPr>
            <w:tcW w:w="452" w:type="pct"/>
            <w:tcBorders>
              <w:tl2br w:val="nil"/>
              <w:tr2bl w:val="nil"/>
            </w:tcBorders>
            <w:tcMar>
              <w:left w:w="108" w:type="dxa"/>
              <w:right w:w="108" w:type="dxa"/>
            </w:tcMar>
            <w:vAlign w:val="center"/>
          </w:tcPr>
          <w:p w14:paraId="7856E489">
            <w:pPr>
              <w:keepNext w:val="0"/>
              <w:keepLines w:val="0"/>
              <w:pageBreakBefore w:val="0"/>
              <w:widowControl/>
              <w:kinsoku/>
              <w:wordWrap/>
              <w:overflowPunct/>
              <w:autoSpaceDE/>
              <w:autoSpaceDN/>
              <w:bidi w:val="0"/>
              <w:spacing w:line="240" w:lineRule="auto"/>
              <w:ind w:left="0" w:firstLine="0" w:firstLineChars="0"/>
              <w:jc w:val="center"/>
              <w:textAlignment w:val="auto"/>
            </w:pPr>
            <w:r>
              <w:t>1.8</w:t>
            </w:r>
          </w:p>
        </w:tc>
        <w:tc>
          <w:tcPr>
            <w:tcW w:w="452" w:type="pct"/>
            <w:tcBorders>
              <w:tl2br w:val="nil"/>
              <w:tr2bl w:val="nil"/>
            </w:tcBorders>
            <w:tcMar>
              <w:left w:w="108" w:type="dxa"/>
              <w:right w:w="108" w:type="dxa"/>
            </w:tcMar>
            <w:vAlign w:val="center"/>
          </w:tcPr>
          <w:p w14:paraId="46C8F6F5">
            <w:pPr>
              <w:keepNext w:val="0"/>
              <w:keepLines w:val="0"/>
              <w:pageBreakBefore w:val="0"/>
              <w:widowControl/>
              <w:kinsoku/>
              <w:wordWrap/>
              <w:overflowPunct/>
              <w:autoSpaceDE/>
              <w:autoSpaceDN/>
              <w:bidi w:val="0"/>
              <w:spacing w:line="240" w:lineRule="auto"/>
              <w:ind w:left="0" w:firstLine="0" w:firstLineChars="0"/>
              <w:jc w:val="center"/>
              <w:textAlignment w:val="auto"/>
            </w:pPr>
            <w:r>
              <w:t>1.7</w:t>
            </w:r>
          </w:p>
        </w:tc>
        <w:tc>
          <w:tcPr>
            <w:tcW w:w="327" w:type="pct"/>
            <w:tcBorders>
              <w:tl2br w:val="nil"/>
              <w:tr2bl w:val="nil"/>
            </w:tcBorders>
            <w:shd w:val="clear" w:color="auto" w:fill="auto"/>
            <w:tcMar>
              <w:left w:w="108" w:type="dxa"/>
              <w:right w:w="108" w:type="dxa"/>
            </w:tcMar>
            <w:vAlign w:val="center"/>
          </w:tcPr>
          <w:p w14:paraId="3AEB9869">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0.6</w:t>
            </w:r>
          </w:p>
        </w:tc>
        <w:tc>
          <w:tcPr>
            <w:tcW w:w="468" w:type="pct"/>
            <w:tcBorders>
              <w:tl2br w:val="nil"/>
              <w:tr2bl w:val="nil"/>
            </w:tcBorders>
            <w:shd w:val="clear" w:color="auto" w:fill="auto"/>
            <w:tcMar>
              <w:left w:w="108" w:type="dxa"/>
              <w:right w:w="108" w:type="dxa"/>
            </w:tcMar>
            <w:vAlign w:val="center"/>
          </w:tcPr>
          <w:p w14:paraId="4C0321C7">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94A5E0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786CFEC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3A4A7B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≤4</w:t>
            </w:r>
          </w:p>
        </w:tc>
      </w:tr>
      <w:tr w14:paraId="00C147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6DDD09E0">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4B0DA70D">
            <w:pPr>
              <w:keepNext w:val="0"/>
              <w:keepLines w:val="0"/>
              <w:pageBreakBefore w:val="0"/>
              <w:widowControl/>
              <w:kinsoku/>
              <w:wordWrap/>
              <w:overflowPunct/>
              <w:autoSpaceDE/>
              <w:autoSpaceDN/>
              <w:bidi w:val="0"/>
              <w:spacing w:line="240" w:lineRule="auto"/>
              <w:ind w:left="0" w:firstLine="0" w:firstLineChars="0"/>
              <w:jc w:val="center"/>
              <w:textAlignment w:val="auto"/>
            </w:pPr>
            <w:r>
              <w:t>石油类</w:t>
            </w:r>
          </w:p>
        </w:tc>
        <w:tc>
          <w:tcPr>
            <w:tcW w:w="317" w:type="pct"/>
            <w:tcBorders>
              <w:tl2br w:val="nil"/>
              <w:tr2bl w:val="nil"/>
            </w:tcBorders>
            <w:tcMar>
              <w:left w:w="108" w:type="dxa"/>
              <w:right w:w="108" w:type="dxa"/>
            </w:tcMar>
            <w:vAlign w:val="center"/>
          </w:tcPr>
          <w:p w14:paraId="056C85DA">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66C9FB57">
            <w:pPr>
              <w:keepNext w:val="0"/>
              <w:keepLines w:val="0"/>
              <w:pageBreakBefore w:val="0"/>
              <w:widowControl/>
              <w:kinsoku/>
              <w:wordWrap/>
              <w:overflowPunct/>
              <w:autoSpaceDE/>
              <w:autoSpaceDN/>
              <w:bidi w:val="0"/>
              <w:spacing w:line="240" w:lineRule="auto"/>
              <w:ind w:left="0" w:firstLine="0" w:firstLineChars="0"/>
              <w:jc w:val="center"/>
              <w:textAlignment w:val="auto"/>
            </w:pPr>
            <w:r>
              <w:t>0.01L</w:t>
            </w:r>
          </w:p>
        </w:tc>
        <w:tc>
          <w:tcPr>
            <w:tcW w:w="452" w:type="pct"/>
            <w:tcBorders>
              <w:tl2br w:val="nil"/>
              <w:tr2bl w:val="nil"/>
            </w:tcBorders>
            <w:tcMar>
              <w:left w:w="108" w:type="dxa"/>
              <w:right w:w="108" w:type="dxa"/>
            </w:tcMar>
            <w:vAlign w:val="center"/>
          </w:tcPr>
          <w:p w14:paraId="7826D2C2">
            <w:pPr>
              <w:keepNext w:val="0"/>
              <w:keepLines w:val="0"/>
              <w:pageBreakBefore w:val="0"/>
              <w:widowControl/>
              <w:kinsoku/>
              <w:wordWrap/>
              <w:overflowPunct/>
              <w:autoSpaceDE/>
              <w:autoSpaceDN/>
              <w:bidi w:val="0"/>
              <w:spacing w:line="240" w:lineRule="auto"/>
              <w:ind w:left="0" w:firstLine="0" w:firstLineChars="0"/>
              <w:jc w:val="center"/>
              <w:textAlignment w:val="auto"/>
            </w:pPr>
            <w:r>
              <w:t>0.01L</w:t>
            </w:r>
          </w:p>
        </w:tc>
        <w:tc>
          <w:tcPr>
            <w:tcW w:w="452" w:type="pct"/>
            <w:tcBorders>
              <w:tl2br w:val="nil"/>
              <w:tr2bl w:val="nil"/>
            </w:tcBorders>
            <w:tcMar>
              <w:left w:w="108" w:type="dxa"/>
              <w:right w:w="108" w:type="dxa"/>
            </w:tcMar>
            <w:vAlign w:val="center"/>
          </w:tcPr>
          <w:p w14:paraId="3D3D65B4">
            <w:pPr>
              <w:keepNext w:val="0"/>
              <w:keepLines w:val="0"/>
              <w:pageBreakBefore w:val="0"/>
              <w:widowControl/>
              <w:kinsoku/>
              <w:wordWrap/>
              <w:overflowPunct/>
              <w:autoSpaceDE/>
              <w:autoSpaceDN/>
              <w:bidi w:val="0"/>
              <w:spacing w:line="240" w:lineRule="auto"/>
              <w:ind w:left="0" w:firstLine="0" w:firstLineChars="0"/>
              <w:jc w:val="center"/>
              <w:textAlignment w:val="auto"/>
            </w:pPr>
            <w:r>
              <w:t>0.01L</w:t>
            </w:r>
          </w:p>
        </w:tc>
        <w:tc>
          <w:tcPr>
            <w:tcW w:w="327" w:type="pct"/>
            <w:tcBorders>
              <w:tl2br w:val="nil"/>
              <w:tr2bl w:val="nil"/>
            </w:tcBorders>
            <w:shd w:val="clear" w:color="auto" w:fill="auto"/>
            <w:tcMar>
              <w:left w:w="108" w:type="dxa"/>
              <w:right w:w="108" w:type="dxa"/>
            </w:tcMar>
            <w:vAlign w:val="center"/>
          </w:tcPr>
          <w:p w14:paraId="75657365">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w:t>
            </w:r>
          </w:p>
        </w:tc>
        <w:tc>
          <w:tcPr>
            <w:tcW w:w="468" w:type="pct"/>
            <w:tcBorders>
              <w:tl2br w:val="nil"/>
              <w:tr2bl w:val="nil"/>
            </w:tcBorders>
            <w:shd w:val="clear" w:color="auto" w:fill="auto"/>
            <w:tcMar>
              <w:left w:w="108" w:type="dxa"/>
              <w:right w:w="108" w:type="dxa"/>
            </w:tcMar>
            <w:vAlign w:val="center"/>
          </w:tcPr>
          <w:p w14:paraId="1FBA9280">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5DAF2E2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4642C74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43D4853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97E71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7CD102B0">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602EA6A2">
            <w:pPr>
              <w:keepNext w:val="0"/>
              <w:keepLines w:val="0"/>
              <w:pageBreakBefore w:val="0"/>
              <w:widowControl/>
              <w:kinsoku/>
              <w:wordWrap/>
              <w:overflowPunct/>
              <w:autoSpaceDE/>
              <w:autoSpaceDN/>
              <w:bidi w:val="0"/>
              <w:spacing w:line="240" w:lineRule="auto"/>
              <w:ind w:left="0" w:firstLine="0" w:firstLineChars="0"/>
              <w:jc w:val="center"/>
              <w:textAlignment w:val="auto"/>
            </w:pPr>
            <w:r>
              <w:t>阴离子表面活性剂</w:t>
            </w:r>
          </w:p>
        </w:tc>
        <w:tc>
          <w:tcPr>
            <w:tcW w:w="317" w:type="pct"/>
            <w:tcBorders>
              <w:tl2br w:val="nil"/>
              <w:tr2bl w:val="nil"/>
            </w:tcBorders>
            <w:tcMar>
              <w:left w:w="108" w:type="dxa"/>
              <w:right w:w="108" w:type="dxa"/>
            </w:tcMar>
            <w:vAlign w:val="center"/>
          </w:tcPr>
          <w:p w14:paraId="5DCDB7C3">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20810460">
            <w:pPr>
              <w:keepNext w:val="0"/>
              <w:keepLines w:val="0"/>
              <w:pageBreakBefore w:val="0"/>
              <w:widowControl/>
              <w:kinsoku/>
              <w:wordWrap/>
              <w:overflowPunct/>
              <w:autoSpaceDE/>
              <w:autoSpaceDN/>
              <w:bidi w:val="0"/>
              <w:spacing w:line="240" w:lineRule="auto"/>
              <w:ind w:left="0" w:firstLine="0" w:firstLineChars="0"/>
              <w:jc w:val="center"/>
              <w:textAlignment w:val="auto"/>
            </w:pPr>
            <w:r>
              <w:t>0.05L</w:t>
            </w:r>
          </w:p>
        </w:tc>
        <w:tc>
          <w:tcPr>
            <w:tcW w:w="452" w:type="pct"/>
            <w:tcBorders>
              <w:tl2br w:val="nil"/>
              <w:tr2bl w:val="nil"/>
            </w:tcBorders>
            <w:tcMar>
              <w:left w:w="108" w:type="dxa"/>
              <w:right w:w="108" w:type="dxa"/>
            </w:tcMar>
            <w:vAlign w:val="center"/>
          </w:tcPr>
          <w:p w14:paraId="35F73A91">
            <w:pPr>
              <w:keepNext w:val="0"/>
              <w:keepLines w:val="0"/>
              <w:pageBreakBefore w:val="0"/>
              <w:widowControl/>
              <w:kinsoku/>
              <w:wordWrap/>
              <w:overflowPunct/>
              <w:autoSpaceDE/>
              <w:autoSpaceDN/>
              <w:bidi w:val="0"/>
              <w:spacing w:line="240" w:lineRule="auto"/>
              <w:ind w:left="0" w:firstLine="0" w:firstLineChars="0"/>
              <w:jc w:val="center"/>
              <w:textAlignment w:val="auto"/>
            </w:pPr>
            <w:r>
              <w:t>0.05L</w:t>
            </w:r>
          </w:p>
        </w:tc>
        <w:tc>
          <w:tcPr>
            <w:tcW w:w="452" w:type="pct"/>
            <w:tcBorders>
              <w:tl2br w:val="nil"/>
              <w:tr2bl w:val="nil"/>
            </w:tcBorders>
            <w:tcMar>
              <w:left w:w="108" w:type="dxa"/>
              <w:right w:w="108" w:type="dxa"/>
            </w:tcMar>
            <w:vAlign w:val="center"/>
          </w:tcPr>
          <w:p w14:paraId="23B6060C">
            <w:pPr>
              <w:keepNext w:val="0"/>
              <w:keepLines w:val="0"/>
              <w:pageBreakBefore w:val="0"/>
              <w:widowControl/>
              <w:kinsoku/>
              <w:wordWrap/>
              <w:overflowPunct/>
              <w:autoSpaceDE/>
              <w:autoSpaceDN/>
              <w:bidi w:val="0"/>
              <w:spacing w:line="240" w:lineRule="auto"/>
              <w:ind w:left="0" w:firstLine="0" w:firstLineChars="0"/>
              <w:jc w:val="center"/>
              <w:textAlignment w:val="auto"/>
            </w:pPr>
            <w:r>
              <w:t>0.05L</w:t>
            </w:r>
          </w:p>
        </w:tc>
        <w:tc>
          <w:tcPr>
            <w:tcW w:w="327" w:type="pct"/>
            <w:tcBorders>
              <w:tl2br w:val="nil"/>
              <w:tr2bl w:val="nil"/>
            </w:tcBorders>
            <w:shd w:val="clear" w:color="auto" w:fill="auto"/>
            <w:tcMar>
              <w:left w:w="108" w:type="dxa"/>
              <w:right w:w="108" w:type="dxa"/>
            </w:tcMar>
            <w:vAlign w:val="center"/>
          </w:tcPr>
          <w:p w14:paraId="73BA1F2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0.125</w:t>
            </w:r>
          </w:p>
        </w:tc>
        <w:tc>
          <w:tcPr>
            <w:tcW w:w="468" w:type="pct"/>
            <w:tcBorders>
              <w:tl2br w:val="nil"/>
              <w:tr2bl w:val="nil"/>
            </w:tcBorders>
            <w:shd w:val="clear" w:color="auto" w:fill="auto"/>
            <w:tcMar>
              <w:left w:w="108" w:type="dxa"/>
              <w:right w:w="108" w:type="dxa"/>
            </w:tcMar>
            <w:vAlign w:val="center"/>
          </w:tcPr>
          <w:p w14:paraId="774F2BC3">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4C25264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6D3166C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6FE1AF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74BA27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02EA679D">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75C32AA1">
            <w:pPr>
              <w:keepNext w:val="0"/>
              <w:keepLines w:val="0"/>
              <w:pageBreakBefore w:val="0"/>
              <w:widowControl/>
              <w:kinsoku/>
              <w:wordWrap/>
              <w:overflowPunct/>
              <w:autoSpaceDE/>
              <w:autoSpaceDN/>
              <w:bidi w:val="0"/>
              <w:spacing w:line="240" w:lineRule="auto"/>
              <w:ind w:left="0" w:firstLine="0" w:firstLineChars="0"/>
              <w:jc w:val="center"/>
              <w:textAlignment w:val="auto"/>
            </w:pPr>
            <w:r>
              <w:t>总氮</w:t>
            </w:r>
          </w:p>
        </w:tc>
        <w:tc>
          <w:tcPr>
            <w:tcW w:w="317" w:type="pct"/>
            <w:tcBorders>
              <w:tl2br w:val="nil"/>
              <w:tr2bl w:val="nil"/>
            </w:tcBorders>
            <w:tcMar>
              <w:left w:w="108" w:type="dxa"/>
              <w:right w:w="108" w:type="dxa"/>
            </w:tcMar>
            <w:vAlign w:val="center"/>
          </w:tcPr>
          <w:p w14:paraId="2DBACBE0">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48B60A3E">
            <w:pPr>
              <w:keepNext w:val="0"/>
              <w:keepLines w:val="0"/>
              <w:pageBreakBefore w:val="0"/>
              <w:widowControl/>
              <w:kinsoku/>
              <w:wordWrap/>
              <w:overflowPunct/>
              <w:autoSpaceDE/>
              <w:autoSpaceDN/>
              <w:bidi w:val="0"/>
              <w:spacing w:line="240" w:lineRule="auto"/>
              <w:ind w:left="0" w:firstLine="0" w:firstLineChars="0"/>
              <w:jc w:val="center"/>
              <w:textAlignment w:val="auto"/>
            </w:pPr>
            <w:r>
              <w:t>0.92</w:t>
            </w:r>
          </w:p>
        </w:tc>
        <w:tc>
          <w:tcPr>
            <w:tcW w:w="452" w:type="pct"/>
            <w:tcBorders>
              <w:tl2br w:val="nil"/>
              <w:tr2bl w:val="nil"/>
            </w:tcBorders>
            <w:tcMar>
              <w:left w:w="108" w:type="dxa"/>
              <w:right w:w="108" w:type="dxa"/>
            </w:tcMar>
            <w:vAlign w:val="center"/>
          </w:tcPr>
          <w:p w14:paraId="2AF1D524">
            <w:pPr>
              <w:keepNext w:val="0"/>
              <w:keepLines w:val="0"/>
              <w:pageBreakBefore w:val="0"/>
              <w:widowControl/>
              <w:kinsoku/>
              <w:wordWrap/>
              <w:overflowPunct/>
              <w:autoSpaceDE/>
              <w:autoSpaceDN/>
              <w:bidi w:val="0"/>
              <w:spacing w:line="240" w:lineRule="auto"/>
              <w:ind w:left="0" w:firstLine="0" w:firstLineChars="0"/>
              <w:jc w:val="center"/>
              <w:textAlignment w:val="auto"/>
            </w:pPr>
            <w:r>
              <w:t>0.91</w:t>
            </w:r>
          </w:p>
        </w:tc>
        <w:tc>
          <w:tcPr>
            <w:tcW w:w="452" w:type="pct"/>
            <w:tcBorders>
              <w:tl2br w:val="nil"/>
              <w:tr2bl w:val="nil"/>
            </w:tcBorders>
            <w:tcMar>
              <w:left w:w="108" w:type="dxa"/>
              <w:right w:w="108" w:type="dxa"/>
            </w:tcMar>
            <w:vAlign w:val="center"/>
          </w:tcPr>
          <w:p w14:paraId="4156E406">
            <w:pPr>
              <w:keepNext w:val="0"/>
              <w:keepLines w:val="0"/>
              <w:pageBreakBefore w:val="0"/>
              <w:widowControl/>
              <w:kinsoku/>
              <w:wordWrap/>
              <w:overflowPunct/>
              <w:autoSpaceDE/>
              <w:autoSpaceDN/>
              <w:bidi w:val="0"/>
              <w:spacing w:line="240" w:lineRule="auto"/>
              <w:ind w:left="0" w:firstLine="0" w:firstLineChars="0"/>
              <w:jc w:val="center"/>
              <w:textAlignment w:val="auto"/>
            </w:pPr>
            <w:r>
              <w:t>0.91</w:t>
            </w:r>
          </w:p>
        </w:tc>
        <w:tc>
          <w:tcPr>
            <w:tcW w:w="327" w:type="pct"/>
            <w:tcBorders>
              <w:tl2br w:val="nil"/>
              <w:tr2bl w:val="nil"/>
            </w:tcBorders>
            <w:shd w:val="clear" w:color="auto" w:fill="auto"/>
            <w:tcMar>
              <w:left w:w="108" w:type="dxa"/>
              <w:right w:w="108" w:type="dxa"/>
            </w:tcMar>
            <w:vAlign w:val="center"/>
          </w:tcPr>
          <w:p w14:paraId="249B0EC2">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0.92</w:t>
            </w:r>
          </w:p>
        </w:tc>
        <w:tc>
          <w:tcPr>
            <w:tcW w:w="468" w:type="pct"/>
            <w:tcBorders>
              <w:tl2br w:val="nil"/>
              <w:tr2bl w:val="nil"/>
            </w:tcBorders>
            <w:shd w:val="clear" w:color="auto" w:fill="auto"/>
            <w:tcMar>
              <w:left w:w="108" w:type="dxa"/>
              <w:right w:w="108" w:type="dxa"/>
            </w:tcMar>
            <w:vAlign w:val="center"/>
          </w:tcPr>
          <w:p w14:paraId="009DE455">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5314A04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32ED546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6A2CE6A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1C09BF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6C58C9ED">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239FDECC">
            <w:pPr>
              <w:keepNext w:val="0"/>
              <w:keepLines w:val="0"/>
              <w:pageBreakBefore w:val="0"/>
              <w:widowControl/>
              <w:kinsoku/>
              <w:wordWrap/>
              <w:overflowPunct/>
              <w:autoSpaceDE/>
              <w:autoSpaceDN/>
              <w:bidi w:val="0"/>
              <w:spacing w:line="240" w:lineRule="auto"/>
              <w:ind w:left="0" w:firstLine="0" w:firstLineChars="0"/>
              <w:jc w:val="center"/>
              <w:textAlignment w:val="auto"/>
            </w:pPr>
            <w:r>
              <w:t>氨氮</w:t>
            </w:r>
          </w:p>
        </w:tc>
        <w:tc>
          <w:tcPr>
            <w:tcW w:w="317" w:type="pct"/>
            <w:tcBorders>
              <w:tl2br w:val="nil"/>
              <w:tr2bl w:val="nil"/>
            </w:tcBorders>
            <w:tcMar>
              <w:left w:w="108" w:type="dxa"/>
              <w:right w:w="108" w:type="dxa"/>
            </w:tcMar>
            <w:vAlign w:val="center"/>
          </w:tcPr>
          <w:p w14:paraId="3D574867">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1500BF7C">
            <w:pPr>
              <w:keepNext w:val="0"/>
              <w:keepLines w:val="0"/>
              <w:pageBreakBefore w:val="0"/>
              <w:widowControl/>
              <w:kinsoku/>
              <w:wordWrap/>
              <w:overflowPunct/>
              <w:autoSpaceDE/>
              <w:autoSpaceDN/>
              <w:bidi w:val="0"/>
              <w:spacing w:line="240" w:lineRule="auto"/>
              <w:ind w:left="0" w:firstLine="0" w:firstLineChars="0"/>
              <w:jc w:val="center"/>
              <w:textAlignment w:val="auto"/>
            </w:pPr>
            <w:r>
              <w:t>0.12</w:t>
            </w:r>
          </w:p>
        </w:tc>
        <w:tc>
          <w:tcPr>
            <w:tcW w:w="452" w:type="pct"/>
            <w:tcBorders>
              <w:tl2br w:val="nil"/>
              <w:tr2bl w:val="nil"/>
            </w:tcBorders>
            <w:tcMar>
              <w:left w:w="108" w:type="dxa"/>
              <w:right w:w="108" w:type="dxa"/>
            </w:tcMar>
            <w:vAlign w:val="center"/>
          </w:tcPr>
          <w:p w14:paraId="3B6CF363">
            <w:pPr>
              <w:keepNext w:val="0"/>
              <w:keepLines w:val="0"/>
              <w:pageBreakBefore w:val="0"/>
              <w:widowControl/>
              <w:kinsoku/>
              <w:wordWrap/>
              <w:overflowPunct/>
              <w:autoSpaceDE/>
              <w:autoSpaceDN/>
              <w:bidi w:val="0"/>
              <w:spacing w:line="240" w:lineRule="auto"/>
              <w:ind w:left="0" w:firstLine="0" w:firstLineChars="0"/>
              <w:jc w:val="center"/>
              <w:textAlignment w:val="auto"/>
            </w:pPr>
            <w:r>
              <w:t>0.13</w:t>
            </w:r>
          </w:p>
        </w:tc>
        <w:tc>
          <w:tcPr>
            <w:tcW w:w="452" w:type="pct"/>
            <w:tcBorders>
              <w:tl2br w:val="nil"/>
              <w:tr2bl w:val="nil"/>
            </w:tcBorders>
            <w:tcMar>
              <w:left w:w="108" w:type="dxa"/>
              <w:right w:w="108" w:type="dxa"/>
            </w:tcMar>
            <w:vAlign w:val="center"/>
          </w:tcPr>
          <w:p w14:paraId="43BF6693">
            <w:pPr>
              <w:keepNext w:val="0"/>
              <w:keepLines w:val="0"/>
              <w:pageBreakBefore w:val="0"/>
              <w:widowControl/>
              <w:kinsoku/>
              <w:wordWrap/>
              <w:overflowPunct/>
              <w:autoSpaceDE/>
              <w:autoSpaceDN/>
              <w:bidi w:val="0"/>
              <w:spacing w:line="240" w:lineRule="auto"/>
              <w:ind w:left="0" w:firstLine="0" w:firstLineChars="0"/>
              <w:jc w:val="center"/>
              <w:textAlignment w:val="auto"/>
            </w:pPr>
            <w:r>
              <w:t>0.09</w:t>
            </w:r>
          </w:p>
        </w:tc>
        <w:tc>
          <w:tcPr>
            <w:tcW w:w="327" w:type="pct"/>
            <w:tcBorders>
              <w:tl2br w:val="nil"/>
              <w:tr2bl w:val="nil"/>
            </w:tcBorders>
            <w:shd w:val="clear" w:color="auto" w:fill="auto"/>
            <w:tcMar>
              <w:left w:w="108" w:type="dxa"/>
              <w:right w:w="108" w:type="dxa"/>
            </w:tcMar>
            <w:vAlign w:val="center"/>
          </w:tcPr>
          <w:p w14:paraId="393D996B">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0.13</w:t>
            </w:r>
          </w:p>
        </w:tc>
        <w:tc>
          <w:tcPr>
            <w:tcW w:w="468" w:type="pct"/>
            <w:tcBorders>
              <w:tl2br w:val="nil"/>
              <w:tr2bl w:val="nil"/>
            </w:tcBorders>
            <w:shd w:val="clear" w:color="auto" w:fill="auto"/>
            <w:tcMar>
              <w:left w:w="108" w:type="dxa"/>
              <w:right w:w="108" w:type="dxa"/>
            </w:tcMar>
            <w:vAlign w:val="center"/>
          </w:tcPr>
          <w:p w14:paraId="7563D83C">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61A28FD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1E20EEF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1ABD1AF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124CEE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3EB7C58">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3332418F">
            <w:pPr>
              <w:keepNext w:val="0"/>
              <w:keepLines w:val="0"/>
              <w:pageBreakBefore w:val="0"/>
              <w:widowControl/>
              <w:kinsoku/>
              <w:wordWrap/>
              <w:overflowPunct/>
              <w:autoSpaceDE/>
              <w:autoSpaceDN/>
              <w:bidi w:val="0"/>
              <w:spacing w:line="240" w:lineRule="auto"/>
              <w:ind w:left="0" w:firstLine="0" w:firstLineChars="0"/>
              <w:jc w:val="center"/>
              <w:textAlignment w:val="auto"/>
            </w:pPr>
            <w:r>
              <w:t>总磷</w:t>
            </w:r>
          </w:p>
        </w:tc>
        <w:tc>
          <w:tcPr>
            <w:tcW w:w="317" w:type="pct"/>
            <w:tcBorders>
              <w:tl2br w:val="nil"/>
              <w:tr2bl w:val="nil"/>
            </w:tcBorders>
            <w:tcMar>
              <w:left w:w="108" w:type="dxa"/>
              <w:right w:w="108" w:type="dxa"/>
            </w:tcMar>
            <w:vAlign w:val="center"/>
          </w:tcPr>
          <w:p w14:paraId="54A11710">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0C6B5C8D">
            <w:pPr>
              <w:keepNext w:val="0"/>
              <w:keepLines w:val="0"/>
              <w:pageBreakBefore w:val="0"/>
              <w:widowControl/>
              <w:kinsoku/>
              <w:wordWrap/>
              <w:overflowPunct/>
              <w:autoSpaceDE/>
              <w:autoSpaceDN/>
              <w:bidi w:val="0"/>
              <w:spacing w:line="240" w:lineRule="auto"/>
              <w:ind w:left="0" w:firstLine="0" w:firstLineChars="0"/>
              <w:jc w:val="center"/>
              <w:textAlignment w:val="auto"/>
            </w:pPr>
            <w:r>
              <w:t>0.16</w:t>
            </w:r>
          </w:p>
        </w:tc>
        <w:tc>
          <w:tcPr>
            <w:tcW w:w="452" w:type="pct"/>
            <w:tcBorders>
              <w:tl2br w:val="nil"/>
              <w:tr2bl w:val="nil"/>
            </w:tcBorders>
            <w:tcMar>
              <w:left w:w="108" w:type="dxa"/>
              <w:right w:w="108" w:type="dxa"/>
            </w:tcMar>
            <w:vAlign w:val="center"/>
          </w:tcPr>
          <w:p w14:paraId="181021F4">
            <w:pPr>
              <w:keepNext w:val="0"/>
              <w:keepLines w:val="0"/>
              <w:pageBreakBefore w:val="0"/>
              <w:widowControl/>
              <w:kinsoku/>
              <w:wordWrap/>
              <w:overflowPunct/>
              <w:autoSpaceDE/>
              <w:autoSpaceDN/>
              <w:bidi w:val="0"/>
              <w:spacing w:line="240" w:lineRule="auto"/>
              <w:ind w:left="0" w:firstLine="0" w:firstLineChars="0"/>
              <w:jc w:val="center"/>
              <w:textAlignment w:val="auto"/>
            </w:pPr>
            <w:r>
              <w:t>0.15</w:t>
            </w:r>
          </w:p>
        </w:tc>
        <w:tc>
          <w:tcPr>
            <w:tcW w:w="452" w:type="pct"/>
            <w:tcBorders>
              <w:tl2br w:val="nil"/>
              <w:tr2bl w:val="nil"/>
            </w:tcBorders>
            <w:tcMar>
              <w:left w:w="108" w:type="dxa"/>
              <w:right w:w="108" w:type="dxa"/>
            </w:tcMar>
            <w:vAlign w:val="center"/>
          </w:tcPr>
          <w:p w14:paraId="6512F8C2">
            <w:pPr>
              <w:keepNext w:val="0"/>
              <w:keepLines w:val="0"/>
              <w:pageBreakBefore w:val="0"/>
              <w:widowControl/>
              <w:kinsoku/>
              <w:wordWrap/>
              <w:overflowPunct/>
              <w:autoSpaceDE/>
              <w:autoSpaceDN/>
              <w:bidi w:val="0"/>
              <w:spacing w:line="240" w:lineRule="auto"/>
              <w:ind w:left="0" w:firstLine="0" w:firstLineChars="0"/>
              <w:jc w:val="center"/>
              <w:textAlignment w:val="auto"/>
            </w:pPr>
            <w:r>
              <w:t>0.14</w:t>
            </w:r>
          </w:p>
        </w:tc>
        <w:tc>
          <w:tcPr>
            <w:tcW w:w="327" w:type="pct"/>
            <w:tcBorders>
              <w:tl2br w:val="nil"/>
              <w:tr2bl w:val="nil"/>
            </w:tcBorders>
            <w:shd w:val="clear" w:color="auto" w:fill="auto"/>
            <w:tcMar>
              <w:left w:w="108" w:type="dxa"/>
              <w:right w:w="108" w:type="dxa"/>
            </w:tcMar>
            <w:vAlign w:val="center"/>
          </w:tcPr>
          <w:p w14:paraId="4FF67DA1">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3.2</w:t>
            </w:r>
          </w:p>
        </w:tc>
        <w:tc>
          <w:tcPr>
            <w:tcW w:w="468" w:type="pct"/>
            <w:tcBorders>
              <w:tl2br w:val="nil"/>
              <w:tr2bl w:val="nil"/>
            </w:tcBorders>
            <w:shd w:val="clear" w:color="auto" w:fill="auto"/>
            <w:tcMar>
              <w:left w:w="108" w:type="dxa"/>
              <w:right w:w="108" w:type="dxa"/>
            </w:tcMar>
            <w:vAlign w:val="center"/>
          </w:tcPr>
          <w:p w14:paraId="5845F8D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eastAsia="宋体"/>
                <w:lang w:val="en-US" w:eastAsia="zh-CN"/>
              </w:rPr>
            </w:pPr>
            <w:r>
              <w:rPr>
                <w:rFonts w:hint="eastAsia"/>
                <w:lang w:val="en-US" w:eastAsia="zh-CN"/>
              </w:rPr>
              <w:t>100</w:t>
            </w:r>
          </w:p>
        </w:tc>
        <w:tc>
          <w:tcPr>
            <w:tcW w:w="525" w:type="pct"/>
            <w:tcBorders>
              <w:tl2br w:val="nil"/>
              <w:tr2bl w:val="nil"/>
            </w:tcBorders>
            <w:shd w:val="clear" w:color="auto" w:fill="auto"/>
            <w:tcMar>
              <w:left w:w="108" w:type="dxa"/>
              <w:right w:w="108" w:type="dxa"/>
            </w:tcMar>
            <w:vAlign w:val="center"/>
          </w:tcPr>
          <w:p w14:paraId="48DED2F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eastAsia="宋体"/>
                <w:spacing w:val="-2"/>
                <w:sz w:val="21"/>
                <w:szCs w:val="21"/>
                <w:lang w:val="en-US" w:eastAsia="zh-CN"/>
              </w:rPr>
            </w:pPr>
            <w:r>
              <w:rPr>
                <w:rFonts w:hint="eastAsia"/>
                <w:spacing w:val="-2"/>
                <w:sz w:val="21"/>
                <w:szCs w:val="21"/>
                <w:lang w:val="en-US" w:eastAsia="zh-CN"/>
              </w:rPr>
              <w:t>3.2</w:t>
            </w:r>
          </w:p>
        </w:tc>
        <w:tc>
          <w:tcPr>
            <w:tcW w:w="385" w:type="pct"/>
            <w:tcBorders>
              <w:tl2br w:val="nil"/>
              <w:tr2bl w:val="nil"/>
            </w:tcBorders>
            <w:shd w:val="clear" w:color="auto" w:fill="auto"/>
            <w:tcMar>
              <w:left w:w="108" w:type="dxa"/>
              <w:right w:w="108" w:type="dxa"/>
            </w:tcMar>
            <w:vAlign w:val="center"/>
          </w:tcPr>
          <w:p w14:paraId="2A34CFD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eastAsia="宋体"/>
                <w:spacing w:val="-2"/>
                <w:sz w:val="21"/>
                <w:szCs w:val="21"/>
                <w:lang w:val="en-US" w:eastAsia="zh-CN"/>
              </w:rPr>
            </w:pPr>
            <w:r>
              <w:rPr>
                <w:rFonts w:hint="eastAsia"/>
                <w:spacing w:val="-2"/>
                <w:sz w:val="21"/>
                <w:szCs w:val="21"/>
                <w:lang w:val="en-US" w:eastAsia="zh-CN"/>
              </w:rPr>
              <w:t>超标</w:t>
            </w:r>
          </w:p>
        </w:tc>
        <w:tc>
          <w:tcPr>
            <w:tcW w:w="463" w:type="pct"/>
            <w:tcBorders>
              <w:tl2br w:val="nil"/>
              <w:tr2bl w:val="nil"/>
            </w:tcBorders>
            <w:shd w:val="clear" w:color="auto" w:fill="auto"/>
            <w:tcMar>
              <w:left w:w="108" w:type="dxa"/>
              <w:right w:w="108" w:type="dxa"/>
            </w:tcMar>
            <w:vAlign w:val="center"/>
          </w:tcPr>
          <w:p w14:paraId="7003546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≤0.2</w:t>
            </w:r>
          </w:p>
          <w:p w14:paraId="325865CF">
            <w:pPr>
              <w:pStyle w:val="197"/>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宋体" w:hAnsi="宋体" w:eastAsia="宋体" w:cs="宋体"/>
                <w:color w:val="auto"/>
                <w:kern w:val="2"/>
                <w:sz w:val="21"/>
                <w:szCs w:val="21"/>
                <w:lang w:val="en-US" w:eastAsia="en-US" w:bidi="ar-SA"/>
              </w:rPr>
            </w:pPr>
            <w:r>
              <w:rPr>
                <w:spacing w:val="-2"/>
                <w:sz w:val="21"/>
                <w:szCs w:val="21"/>
              </w:rPr>
              <w:t>（湖、库</w:t>
            </w:r>
            <w:r>
              <w:rPr>
                <w:rFonts w:ascii="Times New Roman" w:hAnsi="Times New Roman" w:eastAsia="Times New Roman" w:cs="Times New Roman"/>
                <w:spacing w:val="-2"/>
                <w:sz w:val="21"/>
                <w:szCs w:val="21"/>
              </w:rPr>
              <w:t>0.05</w:t>
            </w:r>
            <w:r>
              <w:rPr>
                <w:spacing w:val="-2"/>
                <w:sz w:val="21"/>
                <w:szCs w:val="21"/>
              </w:rPr>
              <w:t>）</w:t>
            </w:r>
          </w:p>
        </w:tc>
      </w:tr>
      <w:tr w14:paraId="088022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BBDC15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786EA1AC">
            <w:pPr>
              <w:keepNext w:val="0"/>
              <w:keepLines w:val="0"/>
              <w:pageBreakBefore w:val="0"/>
              <w:widowControl/>
              <w:kinsoku/>
              <w:wordWrap/>
              <w:overflowPunct/>
              <w:autoSpaceDE/>
              <w:autoSpaceDN/>
              <w:bidi w:val="0"/>
              <w:spacing w:line="240" w:lineRule="auto"/>
              <w:ind w:left="0" w:firstLine="0" w:firstLineChars="0"/>
              <w:jc w:val="center"/>
              <w:textAlignment w:val="auto"/>
            </w:pPr>
            <w:r>
              <w:t>粪大肠菌群</w:t>
            </w:r>
          </w:p>
        </w:tc>
        <w:tc>
          <w:tcPr>
            <w:tcW w:w="317" w:type="pct"/>
            <w:tcBorders>
              <w:tl2br w:val="nil"/>
              <w:tr2bl w:val="nil"/>
            </w:tcBorders>
            <w:tcMar>
              <w:left w:w="108" w:type="dxa"/>
              <w:right w:w="108" w:type="dxa"/>
            </w:tcMar>
            <w:vAlign w:val="center"/>
          </w:tcPr>
          <w:p w14:paraId="3118BF3C">
            <w:pPr>
              <w:keepNext w:val="0"/>
              <w:keepLines w:val="0"/>
              <w:pageBreakBefore w:val="0"/>
              <w:widowControl/>
              <w:kinsoku/>
              <w:wordWrap/>
              <w:overflowPunct/>
              <w:autoSpaceDE/>
              <w:autoSpaceDN/>
              <w:bidi w:val="0"/>
              <w:spacing w:line="240" w:lineRule="auto"/>
              <w:ind w:left="0" w:firstLine="0" w:firstLineChars="0"/>
              <w:jc w:val="center"/>
              <w:textAlignment w:val="auto"/>
            </w:pPr>
            <w:r>
              <w:t>MPN/L</w:t>
            </w:r>
          </w:p>
        </w:tc>
        <w:tc>
          <w:tcPr>
            <w:tcW w:w="452" w:type="pct"/>
            <w:tcBorders>
              <w:tl2br w:val="nil"/>
              <w:tr2bl w:val="nil"/>
            </w:tcBorders>
            <w:tcMar>
              <w:left w:w="108" w:type="dxa"/>
              <w:right w:w="108" w:type="dxa"/>
            </w:tcMar>
            <w:vAlign w:val="center"/>
          </w:tcPr>
          <w:p w14:paraId="64A5E1AF">
            <w:pPr>
              <w:keepNext w:val="0"/>
              <w:keepLines w:val="0"/>
              <w:pageBreakBefore w:val="0"/>
              <w:widowControl/>
              <w:kinsoku/>
              <w:wordWrap/>
              <w:overflowPunct/>
              <w:autoSpaceDE/>
              <w:autoSpaceDN/>
              <w:bidi w:val="0"/>
              <w:spacing w:line="240" w:lineRule="auto"/>
              <w:ind w:left="0" w:firstLine="0" w:firstLineChars="0"/>
              <w:jc w:val="center"/>
              <w:textAlignment w:val="auto"/>
            </w:pPr>
            <w:r>
              <w:t>6.3×10</w:t>
            </w:r>
            <w:r>
              <w:rPr>
                <w:vertAlign w:val="superscript"/>
              </w:rPr>
              <w:t>2</w:t>
            </w:r>
          </w:p>
        </w:tc>
        <w:tc>
          <w:tcPr>
            <w:tcW w:w="452" w:type="pct"/>
            <w:tcBorders>
              <w:tl2br w:val="nil"/>
              <w:tr2bl w:val="nil"/>
            </w:tcBorders>
            <w:tcMar>
              <w:left w:w="108" w:type="dxa"/>
              <w:right w:w="108" w:type="dxa"/>
            </w:tcMar>
            <w:vAlign w:val="center"/>
          </w:tcPr>
          <w:p w14:paraId="155AECA8">
            <w:pPr>
              <w:keepNext w:val="0"/>
              <w:keepLines w:val="0"/>
              <w:pageBreakBefore w:val="0"/>
              <w:widowControl/>
              <w:kinsoku/>
              <w:wordWrap/>
              <w:overflowPunct/>
              <w:autoSpaceDE/>
              <w:autoSpaceDN/>
              <w:bidi w:val="0"/>
              <w:spacing w:line="240" w:lineRule="auto"/>
              <w:ind w:left="0" w:firstLine="0" w:firstLineChars="0"/>
              <w:jc w:val="center"/>
              <w:textAlignment w:val="auto"/>
            </w:pPr>
            <w:r>
              <w:t>6.4×10</w:t>
            </w:r>
            <w:r>
              <w:rPr>
                <w:vertAlign w:val="superscript"/>
              </w:rPr>
              <w:t>2</w:t>
            </w:r>
          </w:p>
        </w:tc>
        <w:tc>
          <w:tcPr>
            <w:tcW w:w="452" w:type="pct"/>
            <w:tcBorders>
              <w:tl2br w:val="nil"/>
              <w:tr2bl w:val="nil"/>
            </w:tcBorders>
            <w:tcMar>
              <w:left w:w="108" w:type="dxa"/>
              <w:right w:w="108" w:type="dxa"/>
            </w:tcMar>
            <w:vAlign w:val="center"/>
          </w:tcPr>
          <w:p w14:paraId="2BA0E4F9">
            <w:pPr>
              <w:keepNext w:val="0"/>
              <w:keepLines w:val="0"/>
              <w:pageBreakBefore w:val="0"/>
              <w:widowControl/>
              <w:kinsoku/>
              <w:wordWrap/>
              <w:overflowPunct/>
              <w:autoSpaceDE/>
              <w:autoSpaceDN/>
              <w:bidi w:val="0"/>
              <w:spacing w:line="240" w:lineRule="auto"/>
              <w:ind w:left="0" w:firstLine="0" w:firstLineChars="0"/>
              <w:jc w:val="center"/>
              <w:textAlignment w:val="auto"/>
            </w:pPr>
            <w:r>
              <w:t>6.9×10</w:t>
            </w:r>
            <w:r>
              <w:rPr>
                <w:vertAlign w:val="superscript"/>
              </w:rPr>
              <w:t>2</w:t>
            </w:r>
          </w:p>
        </w:tc>
        <w:tc>
          <w:tcPr>
            <w:tcW w:w="327" w:type="pct"/>
            <w:tcBorders>
              <w:tl2br w:val="nil"/>
              <w:tr2bl w:val="nil"/>
            </w:tcBorders>
            <w:shd w:val="clear" w:color="auto" w:fill="auto"/>
            <w:tcMar>
              <w:left w:w="108" w:type="dxa"/>
              <w:right w:w="108" w:type="dxa"/>
            </w:tcMar>
            <w:vAlign w:val="center"/>
          </w:tcPr>
          <w:p w14:paraId="6052CE61">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0.069</w:t>
            </w:r>
          </w:p>
        </w:tc>
        <w:tc>
          <w:tcPr>
            <w:tcW w:w="468" w:type="pct"/>
            <w:tcBorders>
              <w:tl2br w:val="nil"/>
              <w:tr2bl w:val="nil"/>
            </w:tcBorders>
            <w:shd w:val="clear" w:color="auto" w:fill="auto"/>
            <w:tcMar>
              <w:left w:w="108" w:type="dxa"/>
              <w:right w:w="108" w:type="dxa"/>
            </w:tcMar>
            <w:vAlign w:val="center"/>
          </w:tcPr>
          <w:p w14:paraId="482A5792">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3DE4EB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75D5697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12160C3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≤10000</w:t>
            </w:r>
          </w:p>
        </w:tc>
      </w:tr>
      <w:tr w14:paraId="7B114C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201F6CBB">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144F9C9C">
            <w:pPr>
              <w:keepNext w:val="0"/>
              <w:keepLines w:val="0"/>
              <w:pageBreakBefore w:val="0"/>
              <w:widowControl/>
              <w:kinsoku/>
              <w:wordWrap/>
              <w:overflowPunct/>
              <w:autoSpaceDE/>
              <w:autoSpaceDN/>
              <w:bidi w:val="0"/>
              <w:spacing w:line="240" w:lineRule="auto"/>
              <w:ind w:left="0" w:firstLine="0" w:firstLineChars="0"/>
              <w:jc w:val="center"/>
              <w:textAlignment w:val="auto"/>
            </w:pPr>
            <w:r>
              <w:t>氟化物</w:t>
            </w:r>
          </w:p>
        </w:tc>
        <w:tc>
          <w:tcPr>
            <w:tcW w:w="317" w:type="pct"/>
            <w:tcBorders>
              <w:tl2br w:val="nil"/>
              <w:tr2bl w:val="nil"/>
            </w:tcBorders>
            <w:tcMar>
              <w:left w:w="108" w:type="dxa"/>
              <w:right w:w="108" w:type="dxa"/>
            </w:tcMar>
            <w:vAlign w:val="center"/>
          </w:tcPr>
          <w:p w14:paraId="7580D71E">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5F5214F1">
            <w:pPr>
              <w:keepNext w:val="0"/>
              <w:keepLines w:val="0"/>
              <w:pageBreakBefore w:val="0"/>
              <w:widowControl/>
              <w:kinsoku/>
              <w:wordWrap/>
              <w:overflowPunct/>
              <w:autoSpaceDE/>
              <w:autoSpaceDN/>
              <w:bidi w:val="0"/>
              <w:spacing w:line="240" w:lineRule="auto"/>
              <w:ind w:left="0" w:firstLine="0" w:firstLineChars="0"/>
              <w:jc w:val="center"/>
              <w:textAlignment w:val="auto"/>
            </w:pPr>
            <w:r>
              <w:t>0.39</w:t>
            </w:r>
          </w:p>
        </w:tc>
        <w:tc>
          <w:tcPr>
            <w:tcW w:w="452" w:type="pct"/>
            <w:tcBorders>
              <w:tl2br w:val="nil"/>
              <w:tr2bl w:val="nil"/>
            </w:tcBorders>
            <w:tcMar>
              <w:left w:w="108" w:type="dxa"/>
              <w:right w:w="108" w:type="dxa"/>
            </w:tcMar>
            <w:vAlign w:val="center"/>
          </w:tcPr>
          <w:p w14:paraId="64C930B7">
            <w:pPr>
              <w:keepNext w:val="0"/>
              <w:keepLines w:val="0"/>
              <w:pageBreakBefore w:val="0"/>
              <w:widowControl/>
              <w:kinsoku/>
              <w:wordWrap/>
              <w:overflowPunct/>
              <w:autoSpaceDE/>
              <w:autoSpaceDN/>
              <w:bidi w:val="0"/>
              <w:spacing w:line="240" w:lineRule="auto"/>
              <w:ind w:left="0" w:firstLine="0" w:firstLineChars="0"/>
              <w:jc w:val="center"/>
              <w:textAlignment w:val="auto"/>
            </w:pPr>
            <w:r>
              <w:t>0.37</w:t>
            </w:r>
          </w:p>
        </w:tc>
        <w:tc>
          <w:tcPr>
            <w:tcW w:w="452" w:type="pct"/>
            <w:tcBorders>
              <w:tl2br w:val="nil"/>
              <w:tr2bl w:val="nil"/>
            </w:tcBorders>
            <w:tcMar>
              <w:left w:w="108" w:type="dxa"/>
              <w:right w:w="108" w:type="dxa"/>
            </w:tcMar>
            <w:vAlign w:val="center"/>
          </w:tcPr>
          <w:p w14:paraId="5E9DE0F2">
            <w:pPr>
              <w:keepNext w:val="0"/>
              <w:keepLines w:val="0"/>
              <w:pageBreakBefore w:val="0"/>
              <w:widowControl/>
              <w:kinsoku/>
              <w:wordWrap/>
              <w:overflowPunct/>
              <w:autoSpaceDE/>
              <w:autoSpaceDN/>
              <w:bidi w:val="0"/>
              <w:spacing w:line="240" w:lineRule="auto"/>
              <w:ind w:left="0" w:firstLine="0" w:firstLineChars="0"/>
              <w:jc w:val="center"/>
              <w:textAlignment w:val="auto"/>
            </w:pPr>
            <w:r>
              <w:t>0.44</w:t>
            </w:r>
          </w:p>
        </w:tc>
        <w:tc>
          <w:tcPr>
            <w:tcW w:w="327" w:type="pct"/>
            <w:tcBorders>
              <w:tl2br w:val="nil"/>
              <w:tr2bl w:val="nil"/>
            </w:tcBorders>
            <w:shd w:val="clear" w:color="auto" w:fill="auto"/>
            <w:tcMar>
              <w:left w:w="108" w:type="dxa"/>
              <w:right w:w="108" w:type="dxa"/>
            </w:tcMar>
            <w:vAlign w:val="center"/>
          </w:tcPr>
          <w:p w14:paraId="2C7221C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0.44</w:t>
            </w:r>
          </w:p>
        </w:tc>
        <w:tc>
          <w:tcPr>
            <w:tcW w:w="468" w:type="pct"/>
            <w:tcBorders>
              <w:tl2br w:val="nil"/>
              <w:tr2bl w:val="nil"/>
            </w:tcBorders>
            <w:shd w:val="clear" w:color="auto" w:fill="auto"/>
            <w:tcMar>
              <w:left w:w="108" w:type="dxa"/>
              <w:right w:w="108" w:type="dxa"/>
            </w:tcMar>
            <w:vAlign w:val="center"/>
          </w:tcPr>
          <w:p w14:paraId="51D75437">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65EDBF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50B372A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6548A3C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5B0CED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189BC0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5674F77F">
            <w:pPr>
              <w:keepNext w:val="0"/>
              <w:keepLines w:val="0"/>
              <w:pageBreakBefore w:val="0"/>
              <w:widowControl/>
              <w:kinsoku/>
              <w:wordWrap/>
              <w:overflowPunct/>
              <w:autoSpaceDE/>
              <w:autoSpaceDN/>
              <w:bidi w:val="0"/>
              <w:spacing w:line="240" w:lineRule="auto"/>
              <w:ind w:left="0" w:firstLine="0" w:firstLineChars="0"/>
              <w:jc w:val="center"/>
              <w:textAlignment w:val="auto"/>
            </w:pPr>
            <w:r>
              <w:t>挥发酚</w:t>
            </w:r>
          </w:p>
        </w:tc>
        <w:tc>
          <w:tcPr>
            <w:tcW w:w="317" w:type="pct"/>
            <w:tcBorders>
              <w:tl2br w:val="nil"/>
              <w:tr2bl w:val="nil"/>
            </w:tcBorders>
            <w:tcMar>
              <w:left w:w="108" w:type="dxa"/>
              <w:right w:w="108" w:type="dxa"/>
            </w:tcMar>
            <w:vAlign w:val="center"/>
          </w:tcPr>
          <w:p w14:paraId="598C2FDC">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11282703">
            <w:pPr>
              <w:keepNext w:val="0"/>
              <w:keepLines w:val="0"/>
              <w:pageBreakBefore w:val="0"/>
              <w:widowControl/>
              <w:kinsoku/>
              <w:wordWrap/>
              <w:overflowPunct/>
              <w:autoSpaceDE/>
              <w:autoSpaceDN/>
              <w:bidi w:val="0"/>
              <w:spacing w:line="240" w:lineRule="auto"/>
              <w:ind w:left="0" w:firstLine="0" w:firstLineChars="0"/>
              <w:jc w:val="center"/>
              <w:textAlignment w:val="auto"/>
            </w:pPr>
            <w:r>
              <w:t>0.0003L</w:t>
            </w:r>
          </w:p>
        </w:tc>
        <w:tc>
          <w:tcPr>
            <w:tcW w:w="452" w:type="pct"/>
            <w:tcBorders>
              <w:tl2br w:val="nil"/>
              <w:tr2bl w:val="nil"/>
            </w:tcBorders>
            <w:tcMar>
              <w:left w:w="108" w:type="dxa"/>
              <w:right w:w="108" w:type="dxa"/>
            </w:tcMar>
            <w:vAlign w:val="center"/>
          </w:tcPr>
          <w:p w14:paraId="097E3B12">
            <w:pPr>
              <w:keepNext w:val="0"/>
              <w:keepLines w:val="0"/>
              <w:pageBreakBefore w:val="0"/>
              <w:widowControl/>
              <w:kinsoku/>
              <w:wordWrap/>
              <w:overflowPunct/>
              <w:autoSpaceDE/>
              <w:autoSpaceDN/>
              <w:bidi w:val="0"/>
              <w:spacing w:line="240" w:lineRule="auto"/>
              <w:ind w:left="0" w:firstLine="0" w:firstLineChars="0"/>
              <w:jc w:val="center"/>
              <w:textAlignment w:val="auto"/>
            </w:pPr>
            <w:r>
              <w:t>0.0003L</w:t>
            </w:r>
          </w:p>
        </w:tc>
        <w:tc>
          <w:tcPr>
            <w:tcW w:w="452" w:type="pct"/>
            <w:tcBorders>
              <w:tl2br w:val="nil"/>
              <w:tr2bl w:val="nil"/>
            </w:tcBorders>
            <w:tcMar>
              <w:left w:w="108" w:type="dxa"/>
              <w:right w:w="108" w:type="dxa"/>
            </w:tcMar>
            <w:vAlign w:val="center"/>
          </w:tcPr>
          <w:p w14:paraId="39B5CF7E">
            <w:pPr>
              <w:keepNext w:val="0"/>
              <w:keepLines w:val="0"/>
              <w:pageBreakBefore w:val="0"/>
              <w:widowControl/>
              <w:kinsoku/>
              <w:wordWrap/>
              <w:overflowPunct/>
              <w:autoSpaceDE/>
              <w:autoSpaceDN/>
              <w:bidi w:val="0"/>
              <w:spacing w:line="240" w:lineRule="auto"/>
              <w:ind w:left="0" w:firstLine="0" w:firstLineChars="0"/>
              <w:jc w:val="center"/>
              <w:textAlignment w:val="auto"/>
            </w:pPr>
            <w:r>
              <w:t>0.0003L</w:t>
            </w:r>
          </w:p>
        </w:tc>
        <w:tc>
          <w:tcPr>
            <w:tcW w:w="327" w:type="pct"/>
            <w:tcBorders>
              <w:tl2br w:val="nil"/>
              <w:tr2bl w:val="nil"/>
            </w:tcBorders>
            <w:shd w:val="clear" w:color="auto" w:fill="auto"/>
            <w:tcMar>
              <w:left w:w="108" w:type="dxa"/>
              <w:right w:w="108" w:type="dxa"/>
            </w:tcMar>
            <w:vAlign w:val="center"/>
          </w:tcPr>
          <w:p w14:paraId="010AEDB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0.03</w:t>
            </w:r>
          </w:p>
        </w:tc>
        <w:tc>
          <w:tcPr>
            <w:tcW w:w="468" w:type="pct"/>
            <w:tcBorders>
              <w:tl2br w:val="nil"/>
              <w:tr2bl w:val="nil"/>
            </w:tcBorders>
            <w:shd w:val="clear" w:color="auto" w:fill="auto"/>
            <w:tcMar>
              <w:left w:w="108" w:type="dxa"/>
              <w:right w:w="108" w:type="dxa"/>
            </w:tcMar>
            <w:vAlign w:val="center"/>
          </w:tcPr>
          <w:p w14:paraId="3C4D4348">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4ADFD08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37D8355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33CA825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1AE40E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5650343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36BDEF40">
            <w:pPr>
              <w:keepNext w:val="0"/>
              <w:keepLines w:val="0"/>
              <w:pageBreakBefore w:val="0"/>
              <w:widowControl/>
              <w:kinsoku/>
              <w:wordWrap/>
              <w:overflowPunct/>
              <w:autoSpaceDE/>
              <w:autoSpaceDN/>
              <w:bidi w:val="0"/>
              <w:spacing w:line="240" w:lineRule="auto"/>
              <w:ind w:left="0" w:firstLine="0" w:firstLineChars="0"/>
              <w:jc w:val="center"/>
              <w:textAlignment w:val="auto"/>
            </w:pPr>
            <w:r>
              <w:t>氰化物</w:t>
            </w:r>
          </w:p>
        </w:tc>
        <w:tc>
          <w:tcPr>
            <w:tcW w:w="317" w:type="pct"/>
            <w:tcBorders>
              <w:tl2br w:val="nil"/>
              <w:tr2bl w:val="nil"/>
            </w:tcBorders>
            <w:tcMar>
              <w:left w:w="108" w:type="dxa"/>
              <w:right w:w="108" w:type="dxa"/>
            </w:tcMar>
            <w:vAlign w:val="center"/>
          </w:tcPr>
          <w:p w14:paraId="06924F2C">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378BB668">
            <w:pPr>
              <w:keepNext w:val="0"/>
              <w:keepLines w:val="0"/>
              <w:pageBreakBefore w:val="0"/>
              <w:widowControl/>
              <w:kinsoku/>
              <w:wordWrap/>
              <w:overflowPunct/>
              <w:autoSpaceDE/>
              <w:autoSpaceDN/>
              <w:bidi w:val="0"/>
              <w:spacing w:line="240" w:lineRule="auto"/>
              <w:ind w:left="0" w:firstLine="0" w:firstLineChars="0"/>
              <w:jc w:val="center"/>
              <w:textAlignment w:val="auto"/>
            </w:pPr>
            <w:r>
              <w:t>0.004L</w:t>
            </w:r>
          </w:p>
        </w:tc>
        <w:tc>
          <w:tcPr>
            <w:tcW w:w="452" w:type="pct"/>
            <w:tcBorders>
              <w:tl2br w:val="nil"/>
              <w:tr2bl w:val="nil"/>
            </w:tcBorders>
            <w:tcMar>
              <w:left w:w="108" w:type="dxa"/>
              <w:right w:w="108" w:type="dxa"/>
            </w:tcMar>
            <w:vAlign w:val="center"/>
          </w:tcPr>
          <w:p w14:paraId="35A58A6A">
            <w:pPr>
              <w:keepNext w:val="0"/>
              <w:keepLines w:val="0"/>
              <w:pageBreakBefore w:val="0"/>
              <w:widowControl/>
              <w:kinsoku/>
              <w:wordWrap/>
              <w:overflowPunct/>
              <w:autoSpaceDE/>
              <w:autoSpaceDN/>
              <w:bidi w:val="0"/>
              <w:spacing w:line="240" w:lineRule="auto"/>
              <w:ind w:left="0" w:firstLine="0" w:firstLineChars="0"/>
              <w:jc w:val="center"/>
              <w:textAlignment w:val="auto"/>
            </w:pPr>
            <w:r>
              <w:t>0.004L</w:t>
            </w:r>
          </w:p>
        </w:tc>
        <w:tc>
          <w:tcPr>
            <w:tcW w:w="452" w:type="pct"/>
            <w:tcBorders>
              <w:tl2br w:val="nil"/>
              <w:tr2bl w:val="nil"/>
            </w:tcBorders>
            <w:tcMar>
              <w:left w:w="108" w:type="dxa"/>
              <w:right w:w="108" w:type="dxa"/>
            </w:tcMar>
            <w:vAlign w:val="center"/>
          </w:tcPr>
          <w:p w14:paraId="46FA0762">
            <w:pPr>
              <w:keepNext w:val="0"/>
              <w:keepLines w:val="0"/>
              <w:pageBreakBefore w:val="0"/>
              <w:widowControl/>
              <w:kinsoku/>
              <w:wordWrap/>
              <w:overflowPunct/>
              <w:autoSpaceDE/>
              <w:autoSpaceDN/>
              <w:bidi w:val="0"/>
              <w:spacing w:line="240" w:lineRule="auto"/>
              <w:ind w:left="0" w:firstLine="0" w:firstLineChars="0"/>
              <w:jc w:val="center"/>
              <w:textAlignment w:val="auto"/>
            </w:pPr>
            <w:r>
              <w:t>0.004L</w:t>
            </w:r>
          </w:p>
        </w:tc>
        <w:tc>
          <w:tcPr>
            <w:tcW w:w="327" w:type="pct"/>
            <w:tcBorders>
              <w:tl2br w:val="nil"/>
              <w:tr2bl w:val="nil"/>
            </w:tcBorders>
            <w:shd w:val="clear" w:color="auto" w:fill="auto"/>
            <w:tcMar>
              <w:left w:w="108" w:type="dxa"/>
              <w:right w:w="108" w:type="dxa"/>
            </w:tcMar>
            <w:vAlign w:val="center"/>
          </w:tcPr>
          <w:p w14:paraId="74B08D81">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0.01</w:t>
            </w:r>
          </w:p>
        </w:tc>
        <w:tc>
          <w:tcPr>
            <w:tcW w:w="468" w:type="pct"/>
            <w:tcBorders>
              <w:tl2br w:val="nil"/>
              <w:tr2bl w:val="nil"/>
            </w:tcBorders>
            <w:shd w:val="clear" w:color="auto" w:fill="auto"/>
            <w:tcMar>
              <w:left w:w="108" w:type="dxa"/>
              <w:right w:w="108" w:type="dxa"/>
            </w:tcMar>
            <w:vAlign w:val="center"/>
          </w:tcPr>
          <w:p w14:paraId="12C7ABCA">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39F3631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329128E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69DB8AB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3877F8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237F87B">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52396E44">
            <w:pPr>
              <w:keepNext w:val="0"/>
              <w:keepLines w:val="0"/>
              <w:pageBreakBefore w:val="0"/>
              <w:widowControl/>
              <w:kinsoku/>
              <w:wordWrap/>
              <w:overflowPunct/>
              <w:autoSpaceDE/>
              <w:autoSpaceDN/>
              <w:bidi w:val="0"/>
              <w:spacing w:line="240" w:lineRule="auto"/>
              <w:ind w:left="0" w:firstLine="0" w:firstLineChars="0"/>
              <w:jc w:val="center"/>
              <w:textAlignment w:val="auto"/>
            </w:pPr>
            <w:r>
              <w:t>硫化物</w:t>
            </w:r>
          </w:p>
        </w:tc>
        <w:tc>
          <w:tcPr>
            <w:tcW w:w="317" w:type="pct"/>
            <w:tcBorders>
              <w:tl2br w:val="nil"/>
              <w:tr2bl w:val="nil"/>
            </w:tcBorders>
            <w:tcMar>
              <w:left w:w="108" w:type="dxa"/>
              <w:right w:w="108" w:type="dxa"/>
            </w:tcMar>
            <w:vAlign w:val="center"/>
          </w:tcPr>
          <w:p w14:paraId="0BD97159">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0296B439">
            <w:pPr>
              <w:keepNext w:val="0"/>
              <w:keepLines w:val="0"/>
              <w:pageBreakBefore w:val="0"/>
              <w:widowControl/>
              <w:kinsoku/>
              <w:wordWrap/>
              <w:overflowPunct/>
              <w:autoSpaceDE/>
              <w:autoSpaceDN/>
              <w:bidi w:val="0"/>
              <w:spacing w:line="240" w:lineRule="auto"/>
              <w:ind w:left="0" w:firstLine="0" w:firstLineChars="0"/>
              <w:jc w:val="center"/>
              <w:textAlignment w:val="auto"/>
            </w:pPr>
            <w:r>
              <w:t>0.01L</w:t>
            </w:r>
          </w:p>
        </w:tc>
        <w:tc>
          <w:tcPr>
            <w:tcW w:w="452" w:type="pct"/>
            <w:tcBorders>
              <w:tl2br w:val="nil"/>
              <w:tr2bl w:val="nil"/>
            </w:tcBorders>
            <w:tcMar>
              <w:left w:w="108" w:type="dxa"/>
              <w:right w:w="108" w:type="dxa"/>
            </w:tcMar>
            <w:vAlign w:val="center"/>
          </w:tcPr>
          <w:p w14:paraId="1B9839F7">
            <w:pPr>
              <w:keepNext w:val="0"/>
              <w:keepLines w:val="0"/>
              <w:pageBreakBefore w:val="0"/>
              <w:widowControl/>
              <w:kinsoku/>
              <w:wordWrap/>
              <w:overflowPunct/>
              <w:autoSpaceDE/>
              <w:autoSpaceDN/>
              <w:bidi w:val="0"/>
              <w:spacing w:line="240" w:lineRule="auto"/>
              <w:ind w:left="0" w:firstLine="0" w:firstLineChars="0"/>
              <w:jc w:val="center"/>
              <w:textAlignment w:val="auto"/>
            </w:pPr>
            <w:r>
              <w:t>0.01L</w:t>
            </w:r>
          </w:p>
        </w:tc>
        <w:tc>
          <w:tcPr>
            <w:tcW w:w="452" w:type="pct"/>
            <w:tcBorders>
              <w:tl2br w:val="nil"/>
              <w:tr2bl w:val="nil"/>
            </w:tcBorders>
            <w:tcMar>
              <w:left w:w="108" w:type="dxa"/>
              <w:right w:w="108" w:type="dxa"/>
            </w:tcMar>
            <w:vAlign w:val="center"/>
          </w:tcPr>
          <w:p w14:paraId="22F42C18">
            <w:pPr>
              <w:keepNext w:val="0"/>
              <w:keepLines w:val="0"/>
              <w:pageBreakBefore w:val="0"/>
              <w:widowControl/>
              <w:kinsoku/>
              <w:wordWrap/>
              <w:overflowPunct/>
              <w:autoSpaceDE/>
              <w:autoSpaceDN/>
              <w:bidi w:val="0"/>
              <w:spacing w:line="240" w:lineRule="auto"/>
              <w:ind w:left="0" w:firstLine="0" w:firstLineChars="0"/>
              <w:jc w:val="center"/>
              <w:textAlignment w:val="auto"/>
            </w:pPr>
            <w:r>
              <w:t>0.01L</w:t>
            </w:r>
          </w:p>
        </w:tc>
        <w:tc>
          <w:tcPr>
            <w:tcW w:w="327" w:type="pct"/>
            <w:tcBorders>
              <w:tl2br w:val="nil"/>
              <w:tr2bl w:val="nil"/>
            </w:tcBorders>
            <w:shd w:val="clear" w:color="auto" w:fill="auto"/>
            <w:tcMar>
              <w:left w:w="108" w:type="dxa"/>
              <w:right w:w="108" w:type="dxa"/>
            </w:tcMar>
            <w:vAlign w:val="center"/>
          </w:tcPr>
          <w:p w14:paraId="2F973D9A">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0.025</w:t>
            </w:r>
          </w:p>
        </w:tc>
        <w:tc>
          <w:tcPr>
            <w:tcW w:w="468" w:type="pct"/>
            <w:tcBorders>
              <w:tl2br w:val="nil"/>
              <w:tr2bl w:val="nil"/>
            </w:tcBorders>
            <w:shd w:val="clear" w:color="auto" w:fill="auto"/>
            <w:tcMar>
              <w:left w:w="108" w:type="dxa"/>
              <w:right w:w="108" w:type="dxa"/>
            </w:tcMar>
            <w:vAlign w:val="center"/>
          </w:tcPr>
          <w:p w14:paraId="1E326AF8">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4E5A112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5BD638D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9E9833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13AF97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1370C2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43F6FE07">
            <w:pPr>
              <w:keepNext w:val="0"/>
              <w:keepLines w:val="0"/>
              <w:pageBreakBefore w:val="0"/>
              <w:widowControl/>
              <w:kinsoku/>
              <w:wordWrap/>
              <w:overflowPunct/>
              <w:autoSpaceDE/>
              <w:autoSpaceDN/>
              <w:bidi w:val="0"/>
              <w:spacing w:line="240" w:lineRule="auto"/>
              <w:ind w:left="0" w:firstLine="0" w:firstLineChars="0"/>
              <w:jc w:val="center"/>
              <w:textAlignment w:val="auto"/>
            </w:pPr>
            <w:r>
              <w:t>汞</w:t>
            </w:r>
          </w:p>
        </w:tc>
        <w:tc>
          <w:tcPr>
            <w:tcW w:w="317" w:type="pct"/>
            <w:tcBorders>
              <w:tl2br w:val="nil"/>
              <w:tr2bl w:val="nil"/>
            </w:tcBorders>
            <w:tcMar>
              <w:left w:w="108" w:type="dxa"/>
              <w:right w:w="108" w:type="dxa"/>
            </w:tcMar>
            <w:vAlign w:val="center"/>
          </w:tcPr>
          <w:p w14:paraId="6A8D31FA">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2748273C">
            <w:pPr>
              <w:keepNext w:val="0"/>
              <w:keepLines w:val="0"/>
              <w:pageBreakBefore w:val="0"/>
              <w:widowControl/>
              <w:kinsoku/>
              <w:wordWrap/>
              <w:overflowPunct/>
              <w:autoSpaceDE/>
              <w:autoSpaceDN/>
              <w:bidi w:val="0"/>
              <w:spacing w:line="240" w:lineRule="auto"/>
              <w:ind w:left="0" w:firstLine="0" w:firstLineChars="0"/>
              <w:jc w:val="center"/>
              <w:textAlignment w:val="auto"/>
            </w:pPr>
            <w:r>
              <w:t>0.00004L</w:t>
            </w:r>
          </w:p>
        </w:tc>
        <w:tc>
          <w:tcPr>
            <w:tcW w:w="452" w:type="pct"/>
            <w:tcBorders>
              <w:tl2br w:val="nil"/>
              <w:tr2bl w:val="nil"/>
            </w:tcBorders>
            <w:tcMar>
              <w:left w:w="108" w:type="dxa"/>
              <w:right w:w="108" w:type="dxa"/>
            </w:tcMar>
            <w:vAlign w:val="center"/>
          </w:tcPr>
          <w:p w14:paraId="2B982ECC">
            <w:pPr>
              <w:keepNext w:val="0"/>
              <w:keepLines w:val="0"/>
              <w:pageBreakBefore w:val="0"/>
              <w:widowControl/>
              <w:kinsoku/>
              <w:wordWrap/>
              <w:overflowPunct/>
              <w:autoSpaceDE/>
              <w:autoSpaceDN/>
              <w:bidi w:val="0"/>
              <w:spacing w:line="240" w:lineRule="auto"/>
              <w:ind w:left="0" w:firstLine="0" w:firstLineChars="0"/>
              <w:jc w:val="center"/>
              <w:textAlignment w:val="auto"/>
            </w:pPr>
            <w:r>
              <w:t>0.00004L</w:t>
            </w:r>
          </w:p>
        </w:tc>
        <w:tc>
          <w:tcPr>
            <w:tcW w:w="452" w:type="pct"/>
            <w:tcBorders>
              <w:tl2br w:val="nil"/>
              <w:tr2bl w:val="nil"/>
            </w:tcBorders>
            <w:tcMar>
              <w:left w:w="108" w:type="dxa"/>
              <w:right w:w="108" w:type="dxa"/>
            </w:tcMar>
            <w:vAlign w:val="center"/>
          </w:tcPr>
          <w:p w14:paraId="5B0CDBB0">
            <w:pPr>
              <w:keepNext w:val="0"/>
              <w:keepLines w:val="0"/>
              <w:pageBreakBefore w:val="0"/>
              <w:widowControl/>
              <w:kinsoku/>
              <w:wordWrap/>
              <w:overflowPunct/>
              <w:autoSpaceDE/>
              <w:autoSpaceDN/>
              <w:bidi w:val="0"/>
              <w:spacing w:line="240" w:lineRule="auto"/>
              <w:ind w:left="0" w:firstLine="0" w:firstLineChars="0"/>
              <w:jc w:val="center"/>
              <w:textAlignment w:val="auto"/>
            </w:pPr>
            <w:r>
              <w:t>0.00004L</w:t>
            </w:r>
          </w:p>
        </w:tc>
        <w:tc>
          <w:tcPr>
            <w:tcW w:w="327" w:type="pct"/>
            <w:tcBorders>
              <w:tl2br w:val="nil"/>
              <w:tr2bl w:val="nil"/>
            </w:tcBorders>
            <w:shd w:val="clear" w:color="auto" w:fill="auto"/>
            <w:tcMar>
              <w:left w:w="108" w:type="dxa"/>
              <w:right w:w="108" w:type="dxa"/>
            </w:tcMar>
            <w:vAlign w:val="center"/>
          </w:tcPr>
          <w:p w14:paraId="1338EA86">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w:t>
            </w:r>
          </w:p>
        </w:tc>
        <w:tc>
          <w:tcPr>
            <w:tcW w:w="468" w:type="pct"/>
            <w:tcBorders>
              <w:tl2br w:val="nil"/>
              <w:tr2bl w:val="nil"/>
            </w:tcBorders>
            <w:shd w:val="clear" w:color="auto" w:fill="auto"/>
            <w:tcMar>
              <w:left w:w="108" w:type="dxa"/>
              <w:right w:w="108" w:type="dxa"/>
            </w:tcMar>
            <w:vAlign w:val="center"/>
          </w:tcPr>
          <w:p w14:paraId="5C633A32">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5EF33C7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27C4E0B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54889B5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≤0.0001</w:t>
            </w:r>
          </w:p>
        </w:tc>
      </w:tr>
      <w:tr w14:paraId="3ECCC2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2AA2155">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2AD7E8E5">
            <w:pPr>
              <w:keepNext w:val="0"/>
              <w:keepLines w:val="0"/>
              <w:pageBreakBefore w:val="0"/>
              <w:widowControl/>
              <w:kinsoku/>
              <w:wordWrap/>
              <w:overflowPunct/>
              <w:autoSpaceDE/>
              <w:autoSpaceDN/>
              <w:bidi w:val="0"/>
              <w:spacing w:line="240" w:lineRule="auto"/>
              <w:ind w:left="0" w:firstLine="0" w:firstLineChars="0"/>
              <w:jc w:val="center"/>
              <w:textAlignment w:val="auto"/>
            </w:pPr>
            <w:r>
              <w:t>镉</w:t>
            </w:r>
          </w:p>
        </w:tc>
        <w:tc>
          <w:tcPr>
            <w:tcW w:w="317" w:type="pct"/>
            <w:tcBorders>
              <w:tl2br w:val="nil"/>
              <w:tr2bl w:val="nil"/>
            </w:tcBorders>
            <w:tcMar>
              <w:left w:w="108" w:type="dxa"/>
              <w:right w:w="108" w:type="dxa"/>
            </w:tcMar>
            <w:vAlign w:val="center"/>
          </w:tcPr>
          <w:p w14:paraId="20578341">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707BDEC1">
            <w:pPr>
              <w:keepNext w:val="0"/>
              <w:keepLines w:val="0"/>
              <w:pageBreakBefore w:val="0"/>
              <w:widowControl/>
              <w:kinsoku/>
              <w:wordWrap/>
              <w:overflowPunct/>
              <w:autoSpaceDE/>
              <w:autoSpaceDN/>
              <w:bidi w:val="0"/>
              <w:spacing w:line="240" w:lineRule="auto"/>
              <w:ind w:left="0" w:firstLine="0" w:firstLineChars="0"/>
              <w:jc w:val="center"/>
              <w:textAlignment w:val="auto"/>
            </w:pPr>
            <w:r>
              <w:t>0.00005L</w:t>
            </w:r>
          </w:p>
        </w:tc>
        <w:tc>
          <w:tcPr>
            <w:tcW w:w="452" w:type="pct"/>
            <w:tcBorders>
              <w:tl2br w:val="nil"/>
              <w:tr2bl w:val="nil"/>
            </w:tcBorders>
            <w:tcMar>
              <w:left w:w="108" w:type="dxa"/>
              <w:right w:w="108" w:type="dxa"/>
            </w:tcMar>
            <w:vAlign w:val="center"/>
          </w:tcPr>
          <w:p w14:paraId="6103EB8C">
            <w:pPr>
              <w:keepNext w:val="0"/>
              <w:keepLines w:val="0"/>
              <w:pageBreakBefore w:val="0"/>
              <w:widowControl/>
              <w:kinsoku/>
              <w:wordWrap/>
              <w:overflowPunct/>
              <w:autoSpaceDE/>
              <w:autoSpaceDN/>
              <w:bidi w:val="0"/>
              <w:spacing w:line="240" w:lineRule="auto"/>
              <w:ind w:left="0" w:firstLine="0" w:firstLineChars="0"/>
              <w:jc w:val="center"/>
              <w:textAlignment w:val="auto"/>
            </w:pPr>
            <w:r>
              <w:t>0.00005L</w:t>
            </w:r>
          </w:p>
        </w:tc>
        <w:tc>
          <w:tcPr>
            <w:tcW w:w="452" w:type="pct"/>
            <w:tcBorders>
              <w:tl2br w:val="nil"/>
              <w:tr2bl w:val="nil"/>
            </w:tcBorders>
            <w:tcMar>
              <w:left w:w="108" w:type="dxa"/>
              <w:right w:w="108" w:type="dxa"/>
            </w:tcMar>
            <w:vAlign w:val="center"/>
          </w:tcPr>
          <w:p w14:paraId="2AA39B2C">
            <w:pPr>
              <w:keepNext w:val="0"/>
              <w:keepLines w:val="0"/>
              <w:pageBreakBefore w:val="0"/>
              <w:widowControl/>
              <w:kinsoku/>
              <w:wordWrap/>
              <w:overflowPunct/>
              <w:autoSpaceDE/>
              <w:autoSpaceDN/>
              <w:bidi w:val="0"/>
              <w:spacing w:line="240" w:lineRule="auto"/>
              <w:ind w:left="0" w:firstLine="0" w:firstLineChars="0"/>
              <w:jc w:val="center"/>
              <w:textAlignment w:val="auto"/>
            </w:pPr>
            <w:r>
              <w:t>0.00005L</w:t>
            </w:r>
          </w:p>
        </w:tc>
        <w:tc>
          <w:tcPr>
            <w:tcW w:w="327" w:type="pct"/>
            <w:tcBorders>
              <w:tl2br w:val="nil"/>
              <w:tr2bl w:val="nil"/>
            </w:tcBorders>
            <w:shd w:val="clear" w:color="auto" w:fill="auto"/>
            <w:tcMar>
              <w:left w:w="108" w:type="dxa"/>
              <w:right w:w="108" w:type="dxa"/>
            </w:tcMar>
            <w:vAlign w:val="center"/>
          </w:tcPr>
          <w:p w14:paraId="17E10450">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0.005</w:t>
            </w:r>
          </w:p>
        </w:tc>
        <w:tc>
          <w:tcPr>
            <w:tcW w:w="468" w:type="pct"/>
            <w:tcBorders>
              <w:tl2br w:val="nil"/>
              <w:tr2bl w:val="nil"/>
            </w:tcBorders>
            <w:shd w:val="clear" w:color="auto" w:fill="auto"/>
            <w:tcMar>
              <w:left w:w="108" w:type="dxa"/>
              <w:right w:w="108" w:type="dxa"/>
            </w:tcMar>
            <w:vAlign w:val="center"/>
          </w:tcPr>
          <w:p w14:paraId="540BF97F">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43DFE57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2484466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5E0516E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7D87DE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6C7DADE7">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0409C4B7">
            <w:pPr>
              <w:keepNext w:val="0"/>
              <w:keepLines w:val="0"/>
              <w:pageBreakBefore w:val="0"/>
              <w:widowControl/>
              <w:kinsoku/>
              <w:wordWrap/>
              <w:overflowPunct/>
              <w:autoSpaceDE/>
              <w:autoSpaceDN/>
              <w:bidi w:val="0"/>
              <w:spacing w:line="240" w:lineRule="auto"/>
              <w:ind w:left="0" w:firstLine="0" w:firstLineChars="0"/>
              <w:jc w:val="center"/>
              <w:textAlignment w:val="auto"/>
            </w:pPr>
            <w:r>
              <w:t>六价铬</w:t>
            </w:r>
          </w:p>
        </w:tc>
        <w:tc>
          <w:tcPr>
            <w:tcW w:w="317" w:type="pct"/>
            <w:tcBorders>
              <w:tl2br w:val="nil"/>
              <w:tr2bl w:val="nil"/>
            </w:tcBorders>
            <w:tcMar>
              <w:left w:w="108" w:type="dxa"/>
              <w:right w:w="108" w:type="dxa"/>
            </w:tcMar>
            <w:vAlign w:val="center"/>
          </w:tcPr>
          <w:p w14:paraId="2A7F4994">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584ADE21">
            <w:pPr>
              <w:keepNext w:val="0"/>
              <w:keepLines w:val="0"/>
              <w:pageBreakBefore w:val="0"/>
              <w:widowControl/>
              <w:kinsoku/>
              <w:wordWrap/>
              <w:overflowPunct/>
              <w:autoSpaceDE/>
              <w:autoSpaceDN/>
              <w:bidi w:val="0"/>
              <w:spacing w:line="240" w:lineRule="auto"/>
              <w:ind w:left="0" w:firstLine="0" w:firstLineChars="0"/>
              <w:jc w:val="center"/>
              <w:textAlignment w:val="auto"/>
            </w:pPr>
            <w:r>
              <w:t>0.004L</w:t>
            </w:r>
          </w:p>
        </w:tc>
        <w:tc>
          <w:tcPr>
            <w:tcW w:w="452" w:type="pct"/>
            <w:tcBorders>
              <w:tl2br w:val="nil"/>
              <w:tr2bl w:val="nil"/>
            </w:tcBorders>
            <w:tcMar>
              <w:left w:w="108" w:type="dxa"/>
              <w:right w:w="108" w:type="dxa"/>
            </w:tcMar>
            <w:vAlign w:val="center"/>
          </w:tcPr>
          <w:p w14:paraId="3BF72E97">
            <w:pPr>
              <w:keepNext w:val="0"/>
              <w:keepLines w:val="0"/>
              <w:pageBreakBefore w:val="0"/>
              <w:widowControl/>
              <w:kinsoku/>
              <w:wordWrap/>
              <w:overflowPunct/>
              <w:autoSpaceDE/>
              <w:autoSpaceDN/>
              <w:bidi w:val="0"/>
              <w:spacing w:line="240" w:lineRule="auto"/>
              <w:ind w:left="0" w:firstLine="0" w:firstLineChars="0"/>
              <w:jc w:val="center"/>
              <w:textAlignment w:val="auto"/>
            </w:pPr>
            <w:r>
              <w:t>0.004L</w:t>
            </w:r>
          </w:p>
        </w:tc>
        <w:tc>
          <w:tcPr>
            <w:tcW w:w="452" w:type="pct"/>
            <w:tcBorders>
              <w:tl2br w:val="nil"/>
              <w:tr2bl w:val="nil"/>
            </w:tcBorders>
            <w:tcMar>
              <w:left w:w="108" w:type="dxa"/>
              <w:right w:w="108" w:type="dxa"/>
            </w:tcMar>
            <w:vAlign w:val="center"/>
          </w:tcPr>
          <w:p w14:paraId="76F0465D">
            <w:pPr>
              <w:keepNext w:val="0"/>
              <w:keepLines w:val="0"/>
              <w:pageBreakBefore w:val="0"/>
              <w:widowControl/>
              <w:kinsoku/>
              <w:wordWrap/>
              <w:overflowPunct/>
              <w:autoSpaceDE/>
              <w:autoSpaceDN/>
              <w:bidi w:val="0"/>
              <w:spacing w:line="240" w:lineRule="auto"/>
              <w:ind w:left="0" w:firstLine="0" w:firstLineChars="0"/>
              <w:jc w:val="center"/>
              <w:textAlignment w:val="auto"/>
            </w:pPr>
            <w:r>
              <w:t>0.004L</w:t>
            </w:r>
          </w:p>
        </w:tc>
        <w:tc>
          <w:tcPr>
            <w:tcW w:w="327" w:type="pct"/>
            <w:tcBorders>
              <w:tl2br w:val="nil"/>
              <w:tr2bl w:val="nil"/>
            </w:tcBorders>
            <w:shd w:val="clear" w:color="auto" w:fill="auto"/>
            <w:tcMar>
              <w:left w:w="108" w:type="dxa"/>
              <w:right w:w="108" w:type="dxa"/>
            </w:tcMar>
            <w:vAlign w:val="center"/>
          </w:tcPr>
          <w:p w14:paraId="686688D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w:t>
            </w:r>
          </w:p>
        </w:tc>
        <w:tc>
          <w:tcPr>
            <w:tcW w:w="468" w:type="pct"/>
            <w:tcBorders>
              <w:tl2br w:val="nil"/>
              <w:tr2bl w:val="nil"/>
            </w:tcBorders>
            <w:shd w:val="clear" w:color="auto" w:fill="auto"/>
            <w:tcMar>
              <w:left w:w="108" w:type="dxa"/>
              <w:right w:w="108" w:type="dxa"/>
            </w:tcMar>
            <w:vAlign w:val="center"/>
          </w:tcPr>
          <w:p w14:paraId="608E54A3">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845C75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64D6553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B414D9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191B60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31C15F96">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5399134B">
            <w:pPr>
              <w:keepNext w:val="0"/>
              <w:keepLines w:val="0"/>
              <w:pageBreakBefore w:val="0"/>
              <w:widowControl/>
              <w:kinsoku/>
              <w:wordWrap/>
              <w:overflowPunct/>
              <w:autoSpaceDE/>
              <w:autoSpaceDN/>
              <w:bidi w:val="0"/>
              <w:spacing w:line="240" w:lineRule="auto"/>
              <w:ind w:left="0" w:firstLine="0" w:firstLineChars="0"/>
              <w:jc w:val="center"/>
              <w:textAlignment w:val="auto"/>
            </w:pPr>
            <w:r>
              <w:t>硒</w:t>
            </w:r>
          </w:p>
        </w:tc>
        <w:tc>
          <w:tcPr>
            <w:tcW w:w="317" w:type="pct"/>
            <w:tcBorders>
              <w:tl2br w:val="nil"/>
              <w:tr2bl w:val="nil"/>
            </w:tcBorders>
            <w:tcMar>
              <w:left w:w="108" w:type="dxa"/>
              <w:right w:w="108" w:type="dxa"/>
            </w:tcMar>
            <w:vAlign w:val="center"/>
          </w:tcPr>
          <w:p w14:paraId="7C28DB59">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4AB581D7">
            <w:pPr>
              <w:keepNext w:val="0"/>
              <w:keepLines w:val="0"/>
              <w:pageBreakBefore w:val="0"/>
              <w:widowControl/>
              <w:kinsoku/>
              <w:wordWrap/>
              <w:overflowPunct/>
              <w:autoSpaceDE/>
              <w:autoSpaceDN/>
              <w:bidi w:val="0"/>
              <w:spacing w:line="240" w:lineRule="auto"/>
              <w:ind w:left="0" w:firstLine="0" w:firstLineChars="0"/>
              <w:jc w:val="center"/>
              <w:textAlignment w:val="auto"/>
            </w:pPr>
            <w:r>
              <w:t>0.00047</w:t>
            </w:r>
          </w:p>
        </w:tc>
        <w:tc>
          <w:tcPr>
            <w:tcW w:w="452" w:type="pct"/>
            <w:tcBorders>
              <w:tl2br w:val="nil"/>
              <w:tr2bl w:val="nil"/>
            </w:tcBorders>
            <w:tcMar>
              <w:left w:w="108" w:type="dxa"/>
              <w:right w:w="108" w:type="dxa"/>
            </w:tcMar>
            <w:vAlign w:val="center"/>
          </w:tcPr>
          <w:p w14:paraId="25EDEA55">
            <w:pPr>
              <w:keepNext w:val="0"/>
              <w:keepLines w:val="0"/>
              <w:pageBreakBefore w:val="0"/>
              <w:widowControl/>
              <w:kinsoku/>
              <w:wordWrap/>
              <w:overflowPunct/>
              <w:autoSpaceDE/>
              <w:autoSpaceDN/>
              <w:bidi w:val="0"/>
              <w:spacing w:line="240" w:lineRule="auto"/>
              <w:ind w:left="0" w:firstLine="0" w:firstLineChars="0"/>
              <w:jc w:val="center"/>
              <w:textAlignment w:val="auto"/>
            </w:pPr>
            <w:r>
              <w:t>0.00041L</w:t>
            </w:r>
          </w:p>
        </w:tc>
        <w:tc>
          <w:tcPr>
            <w:tcW w:w="452" w:type="pct"/>
            <w:tcBorders>
              <w:tl2br w:val="nil"/>
              <w:tr2bl w:val="nil"/>
            </w:tcBorders>
            <w:tcMar>
              <w:left w:w="108" w:type="dxa"/>
              <w:right w:w="108" w:type="dxa"/>
            </w:tcMar>
            <w:vAlign w:val="center"/>
          </w:tcPr>
          <w:p w14:paraId="138A2ED4">
            <w:pPr>
              <w:keepNext w:val="0"/>
              <w:keepLines w:val="0"/>
              <w:pageBreakBefore w:val="0"/>
              <w:widowControl/>
              <w:kinsoku/>
              <w:wordWrap/>
              <w:overflowPunct/>
              <w:autoSpaceDE/>
              <w:autoSpaceDN/>
              <w:bidi w:val="0"/>
              <w:spacing w:line="240" w:lineRule="auto"/>
              <w:ind w:left="0" w:firstLine="0" w:firstLineChars="0"/>
              <w:jc w:val="center"/>
              <w:textAlignment w:val="auto"/>
            </w:pPr>
            <w:r>
              <w:t>0.00041L</w:t>
            </w:r>
          </w:p>
        </w:tc>
        <w:tc>
          <w:tcPr>
            <w:tcW w:w="327" w:type="pct"/>
            <w:tcBorders>
              <w:tl2br w:val="nil"/>
              <w:tr2bl w:val="nil"/>
            </w:tcBorders>
            <w:shd w:val="clear" w:color="auto" w:fill="auto"/>
            <w:tcMar>
              <w:left w:w="108" w:type="dxa"/>
              <w:right w:w="108" w:type="dxa"/>
            </w:tcMar>
            <w:vAlign w:val="center"/>
          </w:tcPr>
          <w:p w14:paraId="56D5D14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0.047</w:t>
            </w:r>
          </w:p>
        </w:tc>
        <w:tc>
          <w:tcPr>
            <w:tcW w:w="468" w:type="pct"/>
            <w:tcBorders>
              <w:tl2br w:val="nil"/>
              <w:tr2bl w:val="nil"/>
            </w:tcBorders>
            <w:shd w:val="clear" w:color="auto" w:fill="auto"/>
            <w:tcMar>
              <w:left w:w="108" w:type="dxa"/>
              <w:right w:w="108" w:type="dxa"/>
            </w:tcMar>
            <w:vAlign w:val="center"/>
          </w:tcPr>
          <w:p w14:paraId="2A327549">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10E9C5E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3CF53F4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47F8261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≤0.01</w:t>
            </w:r>
          </w:p>
        </w:tc>
      </w:tr>
      <w:tr w14:paraId="733C3A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6133FD41">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59B59CA2">
            <w:pPr>
              <w:keepNext w:val="0"/>
              <w:keepLines w:val="0"/>
              <w:pageBreakBefore w:val="0"/>
              <w:widowControl/>
              <w:kinsoku/>
              <w:wordWrap/>
              <w:overflowPunct/>
              <w:autoSpaceDE/>
              <w:autoSpaceDN/>
              <w:bidi w:val="0"/>
              <w:spacing w:line="240" w:lineRule="auto"/>
              <w:ind w:left="0" w:firstLine="0" w:firstLineChars="0"/>
              <w:jc w:val="center"/>
              <w:textAlignment w:val="auto"/>
            </w:pPr>
            <w:r>
              <w:t>砷</w:t>
            </w:r>
          </w:p>
        </w:tc>
        <w:tc>
          <w:tcPr>
            <w:tcW w:w="317" w:type="pct"/>
            <w:tcBorders>
              <w:tl2br w:val="nil"/>
              <w:tr2bl w:val="nil"/>
            </w:tcBorders>
            <w:tcMar>
              <w:left w:w="108" w:type="dxa"/>
              <w:right w:w="108" w:type="dxa"/>
            </w:tcMar>
            <w:vAlign w:val="center"/>
          </w:tcPr>
          <w:p w14:paraId="21910DCB">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568E861B">
            <w:pPr>
              <w:keepNext w:val="0"/>
              <w:keepLines w:val="0"/>
              <w:pageBreakBefore w:val="0"/>
              <w:widowControl/>
              <w:kinsoku/>
              <w:wordWrap/>
              <w:overflowPunct/>
              <w:autoSpaceDE/>
              <w:autoSpaceDN/>
              <w:bidi w:val="0"/>
              <w:spacing w:line="240" w:lineRule="auto"/>
              <w:ind w:left="0" w:firstLine="0" w:firstLineChars="0"/>
              <w:jc w:val="center"/>
              <w:textAlignment w:val="auto"/>
            </w:pPr>
            <w:r>
              <w:t>0.00497</w:t>
            </w:r>
          </w:p>
        </w:tc>
        <w:tc>
          <w:tcPr>
            <w:tcW w:w="452" w:type="pct"/>
            <w:tcBorders>
              <w:tl2br w:val="nil"/>
              <w:tr2bl w:val="nil"/>
            </w:tcBorders>
            <w:tcMar>
              <w:left w:w="108" w:type="dxa"/>
              <w:right w:w="108" w:type="dxa"/>
            </w:tcMar>
            <w:vAlign w:val="center"/>
          </w:tcPr>
          <w:p w14:paraId="6845A2DE">
            <w:pPr>
              <w:keepNext w:val="0"/>
              <w:keepLines w:val="0"/>
              <w:pageBreakBefore w:val="0"/>
              <w:widowControl/>
              <w:kinsoku/>
              <w:wordWrap/>
              <w:overflowPunct/>
              <w:autoSpaceDE/>
              <w:autoSpaceDN/>
              <w:bidi w:val="0"/>
              <w:spacing w:line="240" w:lineRule="auto"/>
              <w:ind w:left="0" w:firstLine="0" w:firstLineChars="0"/>
              <w:jc w:val="center"/>
              <w:textAlignment w:val="auto"/>
            </w:pPr>
            <w:r>
              <w:t>0.00499</w:t>
            </w:r>
          </w:p>
        </w:tc>
        <w:tc>
          <w:tcPr>
            <w:tcW w:w="452" w:type="pct"/>
            <w:tcBorders>
              <w:tl2br w:val="nil"/>
              <w:tr2bl w:val="nil"/>
            </w:tcBorders>
            <w:tcMar>
              <w:left w:w="108" w:type="dxa"/>
              <w:right w:w="108" w:type="dxa"/>
            </w:tcMar>
            <w:vAlign w:val="center"/>
          </w:tcPr>
          <w:p w14:paraId="52BD4188">
            <w:pPr>
              <w:keepNext w:val="0"/>
              <w:keepLines w:val="0"/>
              <w:pageBreakBefore w:val="0"/>
              <w:widowControl/>
              <w:kinsoku/>
              <w:wordWrap/>
              <w:overflowPunct/>
              <w:autoSpaceDE/>
              <w:autoSpaceDN/>
              <w:bidi w:val="0"/>
              <w:spacing w:line="240" w:lineRule="auto"/>
              <w:ind w:left="0" w:firstLine="0" w:firstLineChars="0"/>
              <w:jc w:val="center"/>
              <w:textAlignment w:val="auto"/>
            </w:pPr>
            <w:r>
              <w:t>0.00500</w:t>
            </w:r>
          </w:p>
        </w:tc>
        <w:tc>
          <w:tcPr>
            <w:tcW w:w="327" w:type="pct"/>
            <w:tcBorders>
              <w:tl2br w:val="nil"/>
              <w:tr2bl w:val="nil"/>
            </w:tcBorders>
            <w:shd w:val="clear" w:color="auto" w:fill="auto"/>
            <w:tcMar>
              <w:left w:w="108" w:type="dxa"/>
              <w:right w:w="108" w:type="dxa"/>
            </w:tcMar>
            <w:vAlign w:val="center"/>
          </w:tcPr>
          <w:p w14:paraId="206FF3DA">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w:t>
            </w:r>
          </w:p>
        </w:tc>
        <w:tc>
          <w:tcPr>
            <w:tcW w:w="468" w:type="pct"/>
            <w:tcBorders>
              <w:tl2br w:val="nil"/>
              <w:tr2bl w:val="nil"/>
            </w:tcBorders>
            <w:shd w:val="clear" w:color="auto" w:fill="auto"/>
            <w:tcMar>
              <w:left w:w="108" w:type="dxa"/>
              <w:right w:w="108" w:type="dxa"/>
            </w:tcMar>
            <w:vAlign w:val="center"/>
          </w:tcPr>
          <w:p w14:paraId="3267DFCA">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531E0AE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27F2B08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1C7EF58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22C0E3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2DFD7C4C">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6B5D9DB5">
            <w:pPr>
              <w:keepNext w:val="0"/>
              <w:keepLines w:val="0"/>
              <w:pageBreakBefore w:val="0"/>
              <w:widowControl/>
              <w:kinsoku/>
              <w:wordWrap/>
              <w:overflowPunct/>
              <w:autoSpaceDE/>
              <w:autoSpaceDN/>
              <w:bidi w:val="0"/>
              <w:spacing w:line="240" w:lineRule="auto"/>
              <w:ind w:left="0" w:firstLine="0" w:firstLineChars="0"/>
              <w:jc w:val="center"/>
              <w:textAlignment w:val="auto"/>
            </w:pPr>
            <w:r>
              <w:t>铅</w:t>
            </w:r>
          </w:p>
        </w:tc>
        <w:tc>
          <w:tcPr>
            <w:tcW w:w="317" w:type="pct"/>
            <w:tcBorders>
              <w:tl2br w:val="nil"/>
              <w:tr2bl w:val="nil"/>
            </w:tcBorders>
            <w:tcMar>
              <w:left w:w="108" w:type="dxa"/>
              <w:right w:w="108" w:type="dxa"/>
            </w:tcMar>
            <w:vAlign w:val="center"/>
          </w:tcPr>
          <w:p w14:paraId="7C4B03F8">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6AA5291E">
            <w:pPr>
              <w:keepNext w:val="0"/>
              <w:keepLines w:val="0"/>
              <w:pageBreakBefore w:val="0"/>
              <w:widowControl/>
              <w:kinsoku/>
              <w:wordWrap/>
              <w:overflowPunct/>
              <w:autoSpaceDE/>
              <w:autoSpaceDN/>
              <w:bidi w:val="0"/>
              <w:spacing w:line="240" w:lineRule="auto"/>
              <w:ind w:left="0" w:firstLine="0" w:firstLineChars="0"/>
              <w:jc w:val="center"/>
              <w:textAlignment w:val="auto"/>
            </w:pPr>
            <w:r>
              <w:t>0.00009L</w:t>
            </w:r>
          </w:p>
        </w:tc>
        <w:tc>
          <w:tcPr>
            <w:tcW w:w="452" w:type="pct"/>
            <w:tcBorders>
              <w:tl2br w:val="nil"/>
              <w:tr2bl w:val="nil"/>
            </w:tcBorders>
            <w:tcMar>
              <w:left w:w="108" w:type="dxa"/>
              <w:right w:w="108" w:type="dxa"/>
            </w:tcMar>
            <w:vAlign w:val="center"/>
          </w:tcPr>
          <w:p w14:paraId="117B5BEC">
            <w:pPr>
              <w:keepNext w:val="0"/>
              <w:keepLines w:val="0"/>
              <w:pageBreakBefore w:val="0"/>
              <w:widowControl/>
              <w:kinsoku/>
              <w:wordWrap/>
              <w:overflowPunct/>
              <w:autoSpaceDE/>
              <w:autoSpaceDN/>
              <w:bidi w:val="0"/>
              <w:spacing w:line="240" w:lineRule="auto"/>
              <w:ind w:left="0" w:firstLine="0" w:firstLineChars="0"/>
              <w:jc w:val="center"/>
              <w:textAlignment w:val="auto"/>
            </w:pPr>
            <w:r>
              <w:t>0.00009L</w:t>
            </w:r>
          </w:p>
        </w:tc>
        <w:tc>
          <w:tcPr>
            <w:tcW w:w="452" w:type="pct"/>
            <w:tcBorders>
              <w:tl2br w:val="nil"/>
              <w:tr2bl w:val="nil"/>
            </w:tcBorders>
            <w:tcMar>
              <w:left w:w="108" w:type="dxa"/>
              <w:right w:w="108" w:type="dxa"/>
            </w:tcMar>
            <w:vAlign w:val="center"/>
          </w:tcPr>
          <w:p w14:paraId="42DC4F6D">
            <w:pPr>
              <w:keepNext w:val="0"/>
              <w:keepLines w:val="0"/>
              <w:pageBreakBefore w:val="0"/>
              <w:widowControl/>
              <w:kinsoku/>
              <w:wordWrap/>
              <w:overflowPunct/>
              <w:autoSpaceDE/>
              <w:autoSpaceDN/>
              <w:bidi w:val="0"/>
              <w:spacing w:line="240" w:lineRule="auto"/>
              <w:ind w:left="0" w:firstLine="0" w:firstLineChars="0"/>
              <w:jc w:val="center"/>
              <w:textAlignment w:val="auto"/>
            </w:pPr>
            <w:r>
              <w:t>0.00009L</w:t>
            </w:r>
          </w:p>
        </w:tc>
        <w:tc>
          <w:tcPr>
            <w:tcW w:w="327" w:type="pct"/>
            <w:tcBorders>
              <w:tl2br w:val="nil"/>
              <w:tr2bl w:val="nil"/>
            </w:tcBorders>
            <w:shd w:val="clear" w:color="auto" w:fill="auto"/>
            <w:tcMar>
              <w:left w:w="108" w:type="dxa"/>
              <w:right w:w="108" w:type="dxa"/>
            </w:tcMar>
            <w:vAlign w:val="center"/>
          </w:tcPr>
          <w:p w14:paraId="4121A2F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0.0009</w:t>
            </w:r>
          </w:p>
        </w:tc>
        <w:tc>
          <w:tcPr>
            <w:tcW w:w="468" w:type="pct"/>
            <w:tcBorders>
              <w:tl2br w:val="nil"/>
              <w:tr2bl w:val="nil"/>
            </w:tcBorders>
            <w:shd w:val="clear" w:color="auto" w:fill="auto"/>
            <w:tcMar>
              <w:left w:w="108" w:type="dxa"/>
              <w:right w:w="108" w:type="dxa"/>
            </w:tcMar>
            <w:vAlign w:val="center"/>
          </w:tcPr>
          <w:p w14:paraId="54B86D01">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0427C4B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2B01B91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6219994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4B8D9E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8F252B5">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257CC1F1">
            <w:pPr>
              <w:keepNext w:val="0"/>
              <w:keepLines w:val="0"/>
              <w:pageBreakBefore w:val="0"/>
              <w:widowControl/>
              <w:kinsoku/>
              <w:wordWrap/>
              <w:overflowPunct/>
              <w:autoSpaceDE/>
              <w:autoSpaceDN/>
              <w:bidi w:val="0"/>
              <w:spacing w:line="240" w:lineRule="auto"/>
              <w:ind w:left="0" w:firstLine="0" w:firstLineChars="0"/>
              <w:jc w:val="center"/>
              <w:textAlignment w:val="auto"/>
            </w:pPr>
            <w:r>
              <w:t>锌</w:t>
            </w:r>
          </w:p>
        </w:tc>
        <w:tc>
          <w:tcPr>
            <w:tcW w:w="317" w:type="pct"/>
            <w:tcBorders>
              <w:tl2br w:val="nil"/>
              <w:tr2bl w:val="nil"/>
            </w:tcBorders>
            <w:tcMar>
              <w:left w:w="108" w:type="dxa"/>
              <w:right w:w="108" w:type="dxa"/>
            </w:tcMar>
            <w:vAlign w:val="center"/>
          </w:tcPr>
          <w:p w14:paraId="0F637C34">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47F53434">
            <w:pPr>
              <w:keepNext w:val="0"/>
              <w:keepLines w:val="0"/>
              <w:pageBreakBefore w:val="0"/>
              <w:widowControl/>
              <w:kinsoku/>
              <w:wordWrap/>
              <w:overflowPunct/>
              <w:autoSpaceDE/>
              <w:autoSpaceDN/>
              <w:bidi w:val="0"/>
              <w:spacing w:line="240" w:lineRule="auto"/>
              <w:ind w:left="0" w:firstLine="0" w:firstLineChars="0"/>
              <w:jc w:val="center"/>
              <w:textAlignment w:val="auto"/>
            </w:pPr>
            <w:r>
              <w:t>0.00134</w:t>
            </w:r>
          </w:p>
        </w:tc>
        <w:tc>
          <w:tcPr>
            <w:tcW w:w="452" w:type="pct"/>
            <w:tcBorders>
              <w:tl2br w:val="nil"/>
              <w:tr2bl w:val="nil"/>
            </w:tcBorders>
            <w:tcMar>
              <w:left w:w="108" w:type="dxa"/>
              <w:right w:w="108" w:type="dxa"/>
            </w:tcMar>
            <w:vAlign w:val="center"/>
          </w:tcPr>
          <w:p w14:paraId="5537BF76">
            <w:pPr>
              <w:keepNext w:val="0"/>
              <w:keepLines w:val="0"/>
              <w:pageBreakBefore w:val="0"/>
              <w:widowControl/>
              <w:kinsoku/>
              <w:wordWrap/>
              <w:overflowPunct/>
              <w:autoSpaceDE/>
              <w:autoSpaceDN/>
              <w:bidi w:val="0"/>
              <w:spacing w:line="240" w:lineRule="auto"/>
              <w:ind w:left="0" w:firstLine="0" w:firstLineChars="0"/>
              <w:jc w:val="center"/>
              <w:textAlignment w:val="auto"/>
            </w:pPr>
            <w:r>
              <w:t>0.00089</w:t>
            </w:r>
          </w:p>
        </w:tc>
        <w:tc>
          <w:tcPr>
            <w:tcW w:w="452" w:type="pct"/>
            <w:tcBorders>
              <w:tl2br w:val="nil"/>
              <w:tr2bl w:val="nil"/>
            </w:tcBorders>
            <w:tcMar>
              <w:left w:w="108" w:type="dxa"/>
              <w:right w:w="108" w:type="dxa"/>
            </w:tcMar>
            <w:vAlign w:val="center"/>
          </w:tcPr>
          <w:p w14:paraId="68B7F190">
            <w:pPr>
              <w:keepNext w:val="0"/>
              <w:keepLines w:val="0"/>
              <w:pageBreakBefore w:val="0"/>
              <w:widowControl/>
              <w:kinsoku/>
              <w:wordWrap/>
              <w:overflowPunct/>
              <w:autoSpaceDE/>
              <w:autoSpaceDN/>
              <w:bidi w:val="0"/>
              <w:spacing w:line="240" w:lineRule="auto"/>
              <w:ind w:left="0" w:firstLine="0" w:firstLineChars="0"/>
              <w:jc w:val="center"/>
              <w:textAlignment w:val="auto"/>
            </w:pPr>
            <w:r>
              <w:t>0.00119</w:t>
            </w:r>
          </w:p>
        </w:tc>
        <w:tc>
          <w:tcPr>
            <w:tcW w:w="327" w:type="pct"/>
            <w:tcBorders>
              <w:tl2br w:val="nil"/>
              <w:tr2bl w:val="nil"/>
            </w:tcBorders>
            <w:shd w:val="clear" w:color="auto" w:fill="auto"/>
            <w:tcMar>
              <w:left w:w="108" w:type="dxa"/>
              <w:right w:w="108" w:type="dxa"/>
            </w:tcMar>
            <w:vAlign w:val="center"/>
          </w:tcPr>
          <w:p w14:paraId="79B9416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0.00119</w:t>
            </w:r>
          </w:p>
        </w:tc>
        <w:tc>
          <w:tcPr>
            <w:tcW w:w="468" w:type="pct"/>
            <w:tcBorders>
              <w:tl2br w:val="nil"/>
              <w:tr2bl w:val="nil"/>
            </w:tcBorders>
            <w:shd w:val="clear" w:color="auto" w:fill="auto"/>
            <w:tcMar>
              <w:left w:w="108" w:type="dxa"/>
              <w:right w:w="108" w:type="dxa"/>
            </w:tcMar>
            <w:vAlign w:val="center"/>
          </w:tcPr>
          <w:p w14:paraId="3E809E40">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3B00812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0632C13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0A4B7CE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2618F5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4D1B0B50">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tcMar>
              <w:left w:w="108" w:type="dxa"/>
              <w:right w:w="108" w:type="dxa"/>
            </w:tcMar>
            <w:vAlign w:val="center"/>
          </w:tcPr>
          <w:p w14:paraId="09AFBE9B">
            <w:pPr>
              <w:keepNext w:val="0"/>
              <w:keepLines w:val="0"/>
              <w:pageBreakBefore w:val="0"/>
              <w:widowControl/>
              <w:kinsoku/>
              <w:wordWrap/>
              <w:overflowPunct/>
              <w:autoSpaceDE/>
              <w:autoSpaceDN/>
              <w:bidi w:val="0"/>
              <w:spacing w:line="240" w:lineRule="auto"/>
              <w:ind w:left="0" w:firstLine="0" w:firstLineChars="0"/>
              <w:jc w:val="center"/>
              <w:textAlignment w:val="auto"/>
            </w:pPr>
            <w:r>
              <w:t>铜</w:t>
            </w:r>
          </w:p>
        </w:tc>
        <w:tc>
          <w:tcPr>
            <w:tcW w:w="317" w:type="pct"/>
            <w:tcBorders>
              <w:tl2br w:val="nil"/>
              <w:tr2bl w:val="nil"/>
            </w:tcBorders>
            <w:tcMar>
              <w:left w:w="108" w:type="dxa"/>
              <w:right w:w="108" w:type="dxa"/>
            </w:tcMar>
            <w:vAlign w:val="center"/>
          </w:tcPr>
          <w:p w14:paraId="25F118C7">
            <w:pPr>
              <w:keepNext w:val="0"/>
              <w:keepLines w:val="0"/>
              <w:pageBreakBefore w:val="0"/>
              <w:widowControl/>
              <w:kinsoku/>
              <w:wordWrap/>
              <w:overflowPunct/>
              <w:autoSpaceDE/>
              <w:autoSpaceDN/>
              <w:bidi w:val="0"/>
              <w:spacing w:line="240" w:lineRule="auto"/>
              <w:ind w:left="0" w:firstLine="0" w:firstLineChars="0"/>
              <w:jc w:val="center"/>
              <w:textAlignment w:val="auto"/>
            </w:pPr>
            <w:r>
              <w:t>mg/L</w:t>
            </w:r>
          </w:p>
        </w:tc>
        <w:tc>
          <w:tcPr>
            <w:tcW w:w="452" w:type="pct"/>
            <w:tcBorders>
              <w:tl2br w:val="nil"/>
              <w:tr2bl w:val="nil"/>
            </w:tcBorders>
            <w:tcMar>
              <w:left w:w="108" w:type="dxa"/>
              <w:right w:w="108" w:type="dxa"/>
            </w:tcMar>
            <w:vAlign w:val="center"/>
          </w:tcPr>
          <w:p w14:paraId="45C92AAC">
            <w:pPr>
              <w:keepNext w:val="0"/>
              <w:keepLines w:val="0"/>
              <w:pageBreakBefore w:val="0"/>
              <w:widowControl/>
              <w:kinsoku/>
              <w:wordWrap/>
              <w:overflowPunct/>
              <w:autoSpaceDE/>
              <w:autoSpaceDN/>
              <w:bidi w:val="0"/>
              <w:spacing w:line="240" w:lineRule="auto"/>
              <w:ind w:left="0" w:firstLine="0" w:firstLineChars="0"/>
              <w:jc w:val="center"/>
              <w:textAlignment w:val="auto"/>
            </w:pPr>
            <w:r>
              <w:t>0.00025</w:t>
            </w:r>
          </w:p>
        </w:tc>
        <w:tc>
          <w:tcPr>
            <w:tcW w:w="452" w:type="pct"/>
            <w:tcBorders>
              <w:tl2br w:val="nil"/>
              <w:tr2bl w:val="nil"/>
            </w:tcBorders>
            <w:tcMar>
              <w:left w:w="108" w:type="dxa"/>
              <w:right w:w="108" w:type="dxa"/>
            </w:tcMar>
            <w:vAlign w:val="center"/>
          </w:tcPr>
          <w:p w14:paraId="6BE0206F">
            <w:pPr>
              <w:keepNext w:val="0"/>
              <w:keepLines w:val="0"/>
              <w:pageBreakBefore w:val="0"/>
              <w:widowControl/>
              <w:kinsoku/>
              <w:wordWrap/>
              <w:overflowPunct/>
              <w:autoSpaceDE/>
              <w:autoSpaceDN/>
              <w:bidi w:val="0"/>
              <w:spacing w:line="240" w:lineRule="auto"/>
              <w:ind w:left="0" w:firstLine="0" w:firstLineChars="0"/>
              <w:jc w:val="center"/>
              <w:textAlignment w:val="auto"/>
            </w:pPr>
            <w:r>
              <w:t>0.00026</w:t>
            </w:r>
          </w:p>
        </w:tc>
        <w:tc>
          <w:tcPr>
            <w:tcW w:w="452" w:type="pct"/>
            <w:tcBorders>
              <w:tl2br w:val="nil"/>
              <w:tr2bl w:val="nil"/>
            </w:tcBorders>
            <w:tcMar>
              <w:left w:w="108" w:type="dxa"/>
              <w:right w:w="108" w:type="dxa"/>
            </w:tcMar>
            <w:vAlign w:val="center"/>
          </w:tcPr>
          <w:p w14:paraId="033E7269">
            <w:pPr>
              <w:keepNext w:val="0"/>
              <w:keepLines w:val="0"/>
              <w:pageBreakBefore w:val="0"/>
              <w:widowControl/>
              <w:kinsoku/>
              <w:wordWrap/>
              <w:overflowPunct/>
              <w:autoSpaceDE/>
              <w:autoSpaceDN/>
              <w:bidi w:val="0"/>
              <w:spacing w:line="240" w:lineRule="auto"/>
              <w:ind w:left="0" w:firstLine="0" w:firstLineChars="0"/>
              <w:jc w:val="center"/>
              <w:textAlignment w:val="auto"/>
            </w:pPr>
            <w:r>
              <w:t>0.00031</w:t>
            </w:r>
          </w:p>
        </w:tc>
        <w:tc>
          <w:tcPr>
            <w:tcW w:w="327" w:type="pct"/>
            <w:tcBorders>
              <w:tl2br w:val="nil"/>
              <w:tr2bl w:val="nil"/>
            </w:tcBorders>
            <w:shd w:val="clear" w:color="auto" w:fill="auto"/>
            <w:tcMar>
              <w:left w:w="108" w:type="dxa"/>
              <w:right w:w="108" w:type="dxa"/>
            </w:tcMar>
            <w:vAlign w:val="center"/>
          </w:tcPr>
          <w:p w14:paraId="152D30B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0.00031</w:t>
            </w:r>
          </w:p>
        </w:tc>
        <w:tc>
          <w:tcPr>
            <w:tcW w:w="468" w:type="pct"/>
            <w:tcBorders>
              <w:tl2br w:val="nil"/>
              <w:tr2bl w:val="nil"/>
            </w:tcBorders>
            <w:shd w:val="clear" w:color="auto" w:fill="auto"/>
            <w:tcMar>
              <w:left w:w="108" w:type="dxa"/>
              <w:right w:w="108" w:type="dxa"/>
            </w:tcMar>
            <w:vAlign w:val="center"/>
          </w:tcPr>
          <w:p w14:paraId="7C2B08EF">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0ECAE99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3271D51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350364A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39AED1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0704A59">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tcMar>
              <w:left w:w="108" w:type="dxa"/>
              <w:right w:w="108" w:type="dxa"/>
            </w:tcMar>
            <w:vAlign w:val="center"/>
          </w:tcPr>
          <w:p w14:paraId="4A229F3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317" w:type="pct"/>
            <w:tcBorders>
              <w:tl2br w:val="nil"/>
              <w:tr2bl w:val="nil"/>
            </w:tcBorders>
            <w:shd w:val="clear" w:color="auto" w:fill="auto"/>
            <w:tcMar>
              <w:left w:w="108" w:type="dxa"/>
              <w:right w:w="108" w:type="dxa"/>
            </w:tcMar>
            <w:vAlign w:val="center"/>
          </w:tcPr>
          <w:p w14:paraId="76A9A6B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tcMar>
              <w:left w:w="108" w:type="dxa"/>
              <w:right w:w="108" w:type="dxa"/>
            </w:tcMar>
            <w:vAlign w:val="center"/>
          </w:tcPr>
          <w:p w14:paraId="2CB47A0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tcMar>
              <w:left w:w="108" w:type="dxa"/>
              <w:right w:w="108" w:type="dxa"/>
            </w:tcMar>
            <w:vAlign w:val="center"/>
          </w:tcPr>
          <w:p w14:paraId="30203A6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tcMar>
              <w:left w:w="108" w:type="dxa"/>
              <w:right w:w="108" w:type="dxa"/>
            </w:tcMar>
            <w:vAlign w:val="center"/>
          </w:tcPr>
          <w:p w14:paraId="5F16DE3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327" w:type="pct"/>
            <w:tcBorders>
              <w:tl2br w:val="nil"/>
              <w:tr2bl w:val="nil"/>
            </w:tcBorders>
            <w:shd w:val="clear" w:color="auto" w:fill="auto"/>
            <w:tcMar>
              <w:left w:w="108" w:type="dxa"/>
              <w:right w:w="108" w:type="dxa"/>
            </w:tcMar>
            <w:vAlign w:val="center"/>
          </w:tcPr>
          <w:p w14:paraId="39E1042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0.0015</w:t>
            </w:r>
          </w:p>
        </w:tc>
        <w:tc>
          <w:tcPr>
            <w:tcW w:w="468" w:type="pct"/>
            <w:tcBorders>
              <w:tl2br w:val="nil"/>
              <w:tr2bl w:val="nil"/>
            </w:tcBorders>
            <w:shd w:val="clear" w:color="auto" w:fill="auto"/>
            <w:tcMar>
              <w:left w:w="108" w:type="dxa"/>
              <w:right w:w="108" w:type="dxa"/>
            </w:tcMar>
            <w:vAlign w:val="center"/>
          </w:tcPr>
          <w:p w14:paraId="19513403">
            <w:pPr>
              <w:keepNext w:val="0"/>
              <w:keepLines w:val="0"/>
              <w:pageBreakBefore w:val="0"/>
              <w:widowControl/>
              <w:kinsoku/>
              <w:wordWrap/>
              <w:overflowPunct/>
              <w:autoSpaceDE/>
              <w:autoSpaceDN/>
              <w:bidi w:val="0"/>
              <w:spacing w:line="240" w:lineRule="auto"/>
              <w:ind w:left="0" w:leftChars="0" w:firstLine="0" w:firstLineChars="0"/>
              <w:jc w:val="center"/>
              <w:textAlignment w:val="auto"/>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52CEC67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14F9372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43F74C5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≤0.02</w:t>
            </w:r>
          </w:p>
        </w:tc>
      </w:tr>
      <w:tr w14:paraId="2A33F7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tcMar>
              <w:left w:w="108" w:type="dxa"/>
              <w:right w:w="108" w:type="dxa"/>
            </w:tcMar>
            <w:vAlign w:val="center"/>
          </w:tcPr>
          <w:p w14:paraId="1CB2506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tcMar>
              <w:left w:w="108" w:type="dxa"/>
              <w:right w:w="108" w:type="dxa"/>
            </w:tcMar>
            <w:vAlign w:val="center"/>
          </w:tcPr>
          <w:p w14:paraId="6A76A1C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317" w:type="pct"/>
            <w:tcBorders>
              <w:tl2br w:val="nil"/>
              <w:tr2bl w:val="nil"/>
            </w:tcBorders>
            <w:shd w:val="clear" w:color="auto" w:fill="auto"/>
            <w:tcMar>
              <w:left w:w="108" w:type="dxa"/>
              <w:right w:w="108" w:type="dxa"/>
            </w:tcMar>
            <w:vAlign w:val="center"/>
          </w:tcPr>
          <w:p w14:paraId="15D4702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tcMar>
              <w:left w:w="108" w:type="dxa"/>
              <w:right w:w="108" w:type="dxa"/>
            </w:tcMar>
            <w:vAlign w:val="center"/>
          </w:tcPr>
          <w:p w14:paraId="2ADEB73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tcMar>
              <w:left w:w="108" w:type="dxa"/>
              <w:right w:w="108" w:type="dxa"/>
            </w:tcMar>
            <w:vAlign w:val="center"/>
          </w:tcPr>
          <w:p w14:paraId="5F77F17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tcMar>
              <w:left w:w="108" w:type="dxa"/>
              <w:right w:w="108" w:type="dxa"/>
            </w:tcMar>
            <w:vAlign w:val="center"/>
          </w:tcPr>
          <w:p w14:paraId="2841E8E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327" w:type="pct"/>
            <w:tcBorders>
              <w:tl2br w:val="nil"/>
              <w:tr2bl w:val="nil"/>
            </w:tcBorders>
            <w:shd w:val="clear" w:color="auto" w:fill="auto"/>
            <w:tcMar>
              <w:left w:w="108" w:type="dxa"/>
              <w:right w:w="108" w:type="dxa"/>
            </w:tcMar>
            <w:vAlign w:val="center"/>
          </w:tcPr>
          <w:p w14:paraId="3B8680E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tcMar>
              <w:left w:w="108" w:type="dxa"/>
              <w:right w:w="108" w:type="dxa"/>
            </w:tcMar>
            <w:vAlign w:val="center"/>
          </w:tcPr>
          <w:p w14:paraId="141F6A6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tcMar>
              <w:left w:w="108" w:type="dxa"/>
              <w:right w:w="108" w:type="dxa"/>
            </w:tcMar>
            <w:vAlign w:val="center"/>
          </w:tcPr>
          <w:p w14:paraId="17A10E3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tcMar>
              <w:left w:w="108" w:type="dxa"/>
              <w:right w:w="108" w:type="dxa"/>
            </w:tcMar>
            <w:vAlign w:val="center"/>
          </w:tcPr>
          <w:p w14:paraId="556C59C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tcMar>
              <w:left w:w="108" w:type="dxa"/>
              <w:right w:w="108" w:type="dxa"/>
            </w:tcMar>
            <w:vAlign w:val="center"/>
          </w:tcPr>
          <w:p w14:paraId="3A05AD3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6601C0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restart"/>
            <w:tcBorders>
              <w:tl2br w:val="nil"/>
              <w:tr2bl w:val="nil"/>
            </w:tcBorders>
            <w:shd w:val="clear" w:color="auto" w:fill="auto"/>
            <w:tcMar>
              <w:left w:w="108" w:type="dxa"/>
              <w:right w:w="108" w:type="dxa"/>
            </w:tcMar>
            <w:vAlign w:val="center"/>
          </w:tcPr>
          <w:p w14:paraId="51EEFC2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W2无名小溪雨水汇入口断面</w:t>
            </w:r>
          </w:p>
        </w:tc>
        <w:tc>
          <w:tcPr>
            <w:tcW w:w="681" w:type="pct"/>
            <w:tcBorders>
              <w:tl2br w:val="nil"/>
              <w:tr2bl w:val="nil"/>
            </w:tcBorders>
            <w:shd w:val="clear" w:color="auto" w:fill="auto"/>
            <w:tcMar>
              <w:left w:w="108" w:type="dxa"/>
              <w:right w:w="108" w:type="dxa"/>
            </w:tcMar>
            <w:vAlign w:val="center"/>
          </w:tcPr>
          <w:p w14:paraId="3982954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pH值</w:t>
            </w:r>
          </w:p>
        </w:tc>
        <w:tc>
          <w:tcPr>
            <w:tcW w:w="317" w:type="pct"/>
            <w:tcBorders>
              <w:tl2br w:val="nil"/>
              <w:tr2bl w:val="nil"/>
            </w:tcBorders>
            <w:shd w:val="clear" w:color="auto" w:fill="auto"/>
            <w:tcMar>
              <w:left w:w="108" w:type="dxa"/>
              <w:right w:w="108" w:type="dxa"/>
            </w:tcMar>
            <w:vAlign w:val="center"/>
          </w:tcPr>
          <w:p w14:paraId="7F66006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无量纲</w:t>
            </w:r>
          </w:p>
        </w:tc>
        <w:tc>
          <w:tcPr>
            <w:tcW w:w="452" w:type="pct"/>
            <w:tcBorders>
              <w:tl2br w:val="nil"/>
              <w:tr2bl w:val="nil"/>
            </w:tcBorders>
            <w:shd w:val="clear" w:color="auto" w:fill="auto"/>
            <w:tcMar>
              <w:left w:w="108" w:type="dxa"/>
              <w:right w:w="108" w:type="dxa"/>
            </w:tcMar>
            <w:vAlign w:val="center"/>
          </w:tcPr>
          <w:p w14:paraId="1A051C3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8.4</w:t>
            </w:r>
          </w:p>
        </w:tc>
        <w:tc>
          <w:tcPr>
            <w:tcW w:w="452" w:type="pct"/>
            <w:tcBorders>
              <w:tl2br w:val="nil"/>
              <w:tr2bl w:val="nil"/>
            </w:tcBorders>
            <w:shd w:val="clear" w:color="auto" w:fill="auto"/>
            <w:tcMar>
              <w:left w:w="108" w:type="dxa"/>
              <w:right w:w="108" w:type="dxa"/>
            </w:tcMar>
            <w:vAlign w:val="center"/>
          </w:tcPr>
          <w:p w14:paraId="101770B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8.3</w:t>
            </w:r>
          </w:p>
        </w:tc>
        <w:tc>
          <w:tcPr>
            <w:tcW w:w="452" w:type="pct"/>
            <w:tcBorders>
              <w:tl2br w:val="nil"/>
              <w:tr2bl w:val="nil"/>
            </w:tcBorders>
            <w:shd w:val="clear" w:color="auto" w:fill="auto"/>
            <w:tcMar>
              <w:left w:w="108" w:type="dxa"/>
              <w:right w:w="108" w:type="dxa"/>
            </w:tcMar>
            <w:vAlign w:val="center"/>
          </w:tcPr>
          <w:p w14:paraId="6FA2DAE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8.1</w:t>
            </w:r>
          </w:p>
        </w:tc>
        <w:tc>
          <w:tcPr>
            <w:tcW w:w="327" w:type="pct"/>
            <w:tcBorders>
              <w:tl2br w:val="nil"/>
              <w:tr2bl w:val="nil"/>
            </w:tcBorders>
            <w:shd w:val="clear" w:color="auto" w:fill="auto"/>
            <w:tcMar>
              <w:left w:w="108" w:type="dxa"/>
              <w:right w:w="108" w:type="dxa"/>
            </w:tcMar>
            <w:vAlign w:val="center"/>
          </w:tcPr>
          <w:p w14:paraId="198A115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0.70.55</w:t>
            </w:r>
          </w:p>
        </w:tc>
        <w:tc>
          <w:tcPr>
            <w:tcW w:w="468" w:type="pct"/>
            <w:tcBorders>
              <w:tl2br w:val="nil"/>
              <w:tr2bl w:val="nil"/>
            </w:tcBorders>
            <w:shd w:val="clear" w:color="auto" w:fill="auto"/>
            <w:tcMar>
              <w:left w:w="108" w:type="dxa"/>
              <w:right w:w="108" w:type="dxa"/>
            </w:tcMar>
            <w:vAlign w:val="center"/>
          </w:tcPr>
          <w:p w14:paraId="7BFA7BF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lang w:val="en-US" w:eastAsia="zh-CN"/>
              </w:rPr>
              <w:t>0</w:t>
            </w:r>
          </w:p>
        </w:tc>
        <w:tc>
          <w:tcPr>
            <w:tcW w:w="525" w:type="pct"/>
            <w:tcBorders>
              <w:tl2br w:val="nil"/>
              <w:tr2bl w:val="nil"/>
            </w:tcBorders>
            <w:shd w:val="clear" w:color="auto" w:fill="auto"/>
            <w:tcMar>
              <w:left w:w="108" w:type="dxa"/>
              <w:right w:w="108" w:type="dxa"/>
            </w:tcMar>
            <w:vAlign w:val="center"/>
          </w:tcPr>
          <w:p w14:paraId="58C32A7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tcMar>
              <w:left w:w="108" w:type="dxa"/>
              <w:right w:w="108" w:type="dxa"/>
            </w:tcMar>
            <w:vAlign w:val="center"/>
          </w:tcPr>
          <w:p w14:paraId="47E2EB4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tcMar>
              <w:left w:w="108" w:type="dxa"/>
              <w:right w:w="108" w:type="dxa"/>
            </w:tcMar>
            <w:vAlign w:val="center"/>
          </w:tcPr>
          <w:p w14:paraId="6894FAB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6-9</w:t>
            </w:r>
          </w:p>
        </w:tc>
      </w:tr>
      <w:tr w14:paraId="326CDD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4A7BD29">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F27CC6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水温</w:t>
            </w:r>
          </w:p>
        </w:tc>
        <w:tc>
          <w:tcPr>
            <w:tcW w:w="317" w:type="pct"/>
            <w:tcBorders>
              <w:tl2br w:val="nil"/>
              <w:tr2bl w:val="nil"/>
            </w:tcBorders>
            <w:shd w:val="clear" w:color="auto" w:fill="auto"/>
            <w:vAlign w:val="center"/>
          </w:tcPr>
          <w:p w14:paraId="30E79CE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c>
          <w:tcPr>
            <w:tcW w:w="452" w:type="pct"/>
            <w:tcBorders>
              <w:tl2br w:val="nil"/>
              <w:tr2bl w:val="nil"/>
            </w:tcBorders>
            <w:shd w:val="clear" w:color="auto" w:fill="auto"/>
            <w:vAlign w:val="center"/>
          </w:tcPr>
          <w:p w14:paraId="07434F7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10.4</w:t>
            </w:r>
          </w:p>
        </w:tc>
        <w:tc>
          <w:tcPr>
            <w:tcW w:w="452" w:type="pct"/>
            <w:tcBorders>
              <w:tl2br w:val="nil"/>
              <w:tr2bl w:val="nil"/>
            </w:tcBorders>
            <w:shd w:val="clear" w:color="auto" w:fill="auto"/>
            <w:vAlign w:val="center"/>
          </w:tcPr>
          <w:p w14:paraId="3C37A79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11.4</w:t>
            </w:r>
          </w:p>
        </w:tc>
        <w:tc>
          <w:tcPr>
            <w:tcW w:w="452" w:type="pct"/>
            <w:tcBorders>
              <w:tl2br w:val="nil"/>
              <w:tr2bl w:val="nil"/>
            </w:tcBorders>
            <w:shd w:val="clear" w:color="auto" w:fill="auto"/>
            <w:vAlign w:val="center"/>
          </w:tcPr>
          <w:p w14:paraId="5D0C788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14.2</w:t>
            </w:r>
          </w:p>
        </w:tc>
        <w:tc>
          <w:tcPr>
            <w:tcW w:w="327" w:type="pct"/>
            <w:tcBorders>
              <w:tl2br w:val="nil"/>
              <w:tr2bl w:val="nil"/>
            </w:tcBorders>
            <w:shd w:val="clear" w:color="auto" w:fill="auto"/>
            <w:vAlign w:val="center"/>
          </w:tcPr>
          <w:p w14:paraId="2804151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4AB7A9D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743BEF5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5A84DA0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0427661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47FDD2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7A001F5">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92BE83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溶解氧</w:t>
            </w:r>
          </w:p>
        </w:tc>
        <w:tc>
          <w:tcPr>
            <w:tcW w:w="317" w:type="pct"/>
            <w:tcBorders>
              <w:tl2br w:val="nil"/>
              <w:tr2bl w:val="nil"/>
            </w:tcBorders>
            <w:shd w:val="clear" w:color="auto" w:fill="auto"/>
            <w:vAlign w:val="center"/>
          </w:tcPr>
          <w:p w14:paraId="70BF401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C86B78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11.06</w:t>
            </w:r>
          </w:p>
        </w:tc>
        <w:tc>
          <w:tcPr>
            <w:tcW w:w="452" w:type="pct"/>
            <w:tcBorders>
              <w:tl2br w:val="nil"/>
              <w:tr2bl w:val="nil"/>
            </w:tcBorders>
            <w:shd w:val="clear" w:color="auto" w:fill="auto"/>
            <w:vAlign w:val="center"/>
          </w:tcPr>
          <w:p w14:paraId="535552E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10.79</w:t>
            </w:r>
          </w:p>
        </w:tc>
        <w:tc>
          <w:tcPr>
            <w:tcW w:w="452" w:type="pct"/>
            <w:tcBorders>
              <w:tl2br w:val="nil"/>
              <w:tr2bl w:val="nil"/>
            </w:tcBorders>
            <w:shd w:val="clear" w:color="auto" w:fill="auto"/>
            <w:vAlign w:val="center"/>
          </w:tcPr>
          <w:p w14:paraId="53B4CED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10.06</w:t>
            </w:r>
          </w:p>
        </w:tc>
        <w:tc>
          <w:tcPr>
            <w:tcW w:w="327" w:type="pct"/>
            <w:tcBorders>
              <w:tl2br w:val="nil"/>
              <w:tr2bl w:val="nil"/>
            </w:tcBorders>
            <w:shd w:val="clear" w:color="auto" w:fill="auto"/>
            <w:vAlign w:val="center"/>
          </w:tcPr>
          <w:p w14:paraId="79C9022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1"/>
                <w:sz w:val="21"/>
                <w:szCs w:val="21"/>
                <w:lang w:val="en-US" w:eastAsia="zh-CN"/>
              </w:rPr>
            </w:pPr>
            <w:r>
              <w:rPr>
                <w:rFonts w:hint="eastAsia" w:eastAsia="宋体" w:cs="Times New Roman"/>
                <w:spacing w:val="1"/>
                <w:sz w:val="21"/>
                <w:szCs w:val="21"/>
                <w:lang w:val="en-US" w:eastAsia="zh-CN"/>
              </w:rPr>
              <w:t>0.50</w:t>
            </w:r>
          </w:p>
        </w:tc>
        <w:tc>
          <w:tcPr>
            <w:tcW w:w="468" w:type="pct"/>
            <w:tcBorders>
              <w:tl2br w:val="nil"/>
              <w:tr2bl w:val="nil"/>
            </w:tcBorders>
            <w:shd w:val="clear" w:color="auto" w:fill="auto"/>
            <w:vAlign w:val="center"/>
          </w:tcPr>
          <w:p w14:paraId="20235CB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6E975F5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9DE6AB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0EE8A7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≥5</w:t>
            </w:r>
          </w:p>
        </w:tc>
      </w:tr>
      <w:tr w14:paraId="551727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76D03D0">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4F0B57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化学需氧量</w:t>
            </w:r>
          </w:p>
        </w:tc>
        <w:tc>
          <w:tcPr>
            <w:tcW w:w="317" w:type="pct"/>
            <w:tcBorders>
              <w:tl2br w:val="nil"/>
              <w:tr2bl w:val="nil"/>
            </w:tcBorders>
            <w:shd w:val="clear" w:color="auto" w:fill="auto"/>
            <w:vAlign w:val="center"/>
          </w:tcPr>
          <w:p w14:paraId="7949DFD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6FC1D4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w:t>
            </w:r>
          </w:p>
        </w:tc>
        <w:tc>
          <w:tcPr>
            <w:tcW w:w="452" w:type="pct"/>
            <w:tcBorders>
              <w:tl2br w:val="nil"/>
              <w:tr2bl w:val="nil"/>
            </w:tcBorders>
            <w:shd w:val="clear" w:color="auto" w:fill="auto"/>
            <w:vAlign w:val="center"/>
          </w:tcPr>
          <w:p w14:paraId="2EF4C47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w:t>
            </w:r>
          </w:p>
        </w:tc>
        <w:tc>
          <w:tcPr>
            <w:tcW w:w="452" w:type="pct"/>
            <w:tcBorders>
              <w:tl2br w:val="nil"/>
              <w:tr2bl w:val="nil"/>
            </w:tcBorders>
            <w:shd w:val="clear" w:color="auto" w:fill="auto"/>
            <w:vAlign w:val="center"/>
          </w:tcPr>
          <w:p w14:paraId="0E7A1DF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w:t>
            </w:r>
          </w:p>
        </w:tc>
        <w:tc>
          <w:tcPr>
            <w:tcW w:w="327" w:type="pct"/>
            <w:tcBorders>
              <w:tl2br w:val="nil"/>
              <w:tr2bl w:val="nil"/>
            </w:tcBorders>
            <w:shd w:val="clear" w:color="auto" w:fill="auto"/>
            <w:vAlign w:val="center"/>
          </w:tcPr>
          <w:p w14:paraId="595A527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w:t>
            </w:r>
          </w:p>
        </w:tc>
        <w:tc>
          <w:tcPr>
            <w:tcW w:w="468" w:type="pct"/>
            <w:tcBorders>
              <w:tl2br w:val="nil"/>
              <w:tr2bl w:val="nil"/>
            </w:tcBorders>
            <w:shd w:val="clear" w:color="auto" w:fill="auto"/>
            <w:vAlign w:val="center"/>
          </w:tcPr>
          <w:p w14:paraId="3FE3B12E">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7CB58CD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C62D7F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8B88C0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≤20</w:t>
            </w:r>
          </w:p>
        </w:tc>
      </w:tr>
      <w:tr w14:paraId="301138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864F683">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54B93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高锰酸盐指数</w:t>
            </w:r>
          </w:p>
        </w:tc>
        <w:tc>
          <w:tcPr>
            <w:tcW w:w="317" w:type="pct"/>
            <w:tcBorders>
              <w:tl2br w:val="nil"/>
              <w:tr2bl w:val="nil"/>
            </w:tcBorders>
            <w:shd w:val="clear" w:color="auto" w:fill="auto"/>
            <w:vAlign w:val="center"/>
          </w:tcPr>
          <w:p w14:paraId="604B1F6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02153A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w:t>
            </w:r>
          </w:p>
        </w:tc>
        <w:tc>
          <w:tcPr>
            <w:tcW w:w="452" w:type="pct"/>
            <w:tcBorders>
              <w:tl2br w:val="nil"/>
              <w:tr2bl w:val="nil"/>
            </w:tcBorders>
            <w:shd w:val="clear" w:color="auto" w:fill="auto"/>
            <w:vAlign w:val="center"/>
          </w:tcPr>
          <w:p w14:paraId="4F841DD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w:t>
            </w:r>
          </w:p>
        </w:tc>
        <w:tc>
          <w:tcPr>
            <w:tcW w:w="452" w:type="pct"/>
            <w:tcBorders>
              <w:tl2br w:val="nil"/>
              <w:tr2bl w:val="nil"/>
            </w:tcBorders>
            <w:shd w:val="clear" w:color="auto" w:fill="auto"/>
            <w:vAlign w:val="center"/>
          </w:tcPr>
          <w:p w14:paraId="56981BC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w:t>
            </w:r>
          </w:p>
        </w:tc>
        <w:tc>
          <w:tcPr>
            <w:tcW w:w="327" w:type="pct"/>
            <w:tcBorders>
              <w:tl2br w:val="nil"/>
              <w:tr2bl w:val="nil"/>
            </w:tcBorders>
            <w:shd w:val="clear" w:color="auto" w:fill="auto"/>
            <w:vAlign w:val="center"/>
          </w:tcPr>
          <w:p w14:paraId="17BE01C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0.183</w:t>
            </w:r>
          </w:p>
        </w:tc>
        <w:tc>
          <w:tcPr>
            <w:tcW w:w="468" w:type="pct"/>
            <w:tcBorders>
              <w:tl2br w:val="nil"/>
              <w:tr2bl w:val="nil"/>
            </w:tcBorders>
            <w:shd w:val="clear" w:color="auto" w:fill="auto"/>
            <w:vAlign w:val="center"/>
          </w:tcPr>
          <w:p w14:paraId="6EE08E52">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66235A5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1F3A02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79EFCC7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≤6</w:t>
            </w:r>
          </w:p>
        </w:tc>
      </w:tr>
      <w:tr w14:paraId="1DF837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AD03D32">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6C1A24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五日生化需氧量</w:t>
            </w:r>
          </w:p>
        </w:tc>
        <w:tc>
          <w:tcPr>
            <w:tcW w:w="317" w:type="pct"/>
            <w:tcBorders>
              <w:tl2br w:val="nil"/>
              <w:tr2bl w:val="nil"/>
            </w:tcBorders>
            <w:shd w:val="clear" w:color="auto" w:fill="auto"/>
            <w:vAlign w:val="center"/>
          </w:tcPr>
          <w:p w14:paraId="0244C02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A916FF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w:t>
            </w:r>
          </w:p>
        </w:tc>
        <w:tc>
          <w:tcPr>
            <w:tcW w:w="452" w:type="pct"/>
            <w:tcBorders>
              <w:tl2br w:val="nil"/>
              <w:tr2bl w:val="nil"/>
            </w:tcBorders>
            <w:shd w:val="clear" w:color="auto" w:fill="auto"/>
            <w:vAlign w:val="center"/>
          </w:tcPr>
          <w:p w14:paraId="2B56696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2.2</w:t>
            </w:r>
          </w:p>
        </w:tc>
        <w:tc>
          <w:tcPr>
            <w:tcW w:w="452" w:type="pct"/>
            <w:tcBorders>
              <w:tl2br w:val="nil"/>
              <w:tr2bl w:val="nil"/>
            </w:tcBorders>
            <w:shd w:val="clear" w:color="auto" w:fill="auto"/>
            <w:vAlign w:val="center"/>
          </w:tcPr>
          <w:p w14:paraId="086FE9D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1.8</w:t>
            </w:r>
          </w:p>
        </w:tc>
        <w:tc>
          <w:tcPr>
            <w:tcW w:w="327" w:type="pct"/>
            <w:tcBorders>
              <w:tl2br w:val="nil"/>
              <w:tr2bl w:val="nil"/>
            </w:tcBorders>
            <w:shd w:val="clear" w:color="auto" w:fill="auto"/>
            <w:vAlign w:val="center"/>
          </w:tcPr>
          <w:p w14:paraId="14825ED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0.55</w:t>
            </w:r>
          </w:p>
        </w:tc>
        <w:tc>
          <w:tcPr>
            <w:tcW w:w="468" w:type="pct"/>
            <w:tcBorders>
              <w:tl2br w:val="nil"/>
              <w:tr2bl w:val="nil"/>
            </w:tcBorders>
            <w:shd w:val="clear" w:color="auto" w:fill="auto"/>
            <w:vAlign w:val="center"/>
          </w:tcPr>
          <w:p w14:paraId="4EFBF22E">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42D2242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EC1CBC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C8E585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≤4</w:t>
            </w:r>
          </w:p>
        </w:tc>
      </w:tr>
      <w:tr w14:paraId="126195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D8F895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32186B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石油类</w:t>
            </w:r>
          </w:p>
        </w:tc>
        <w:tc>
          <w:tcPr>
            <w:tcW w:w="317" w:type="pct"/>
            <w:tcBorders>
              <w:tl2br w:val="nil"/>
              <w:tr2bl w:val="nil"/>
            </w:tcBorders>
            <w:shd w:val="clear" w:color="auto" w:fill="auto"/>
            <w:vAlign w:val="center"/>
          </w:tcPr>
          <w:p w14:paraId="052945B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15A66A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205F9E7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478049E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4573E71A">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w:t>
            </w:r>
          </w:p>
        </w:tc>
        <w:tc>
          <w:tcPr>
            <w:tcW w:w="468" w:type="pct"/>
            <w:tcBorders>
              <w:tl2br w:val="nil"/>
              <w:tr2bl w:val="nil"/>
            </w:tcBorders>
            <w:shd w:val="clear" w:color="auto" w:fill="auto"/>
            <w:vAlign w:val="center"/>
          </w:tcPr>
          <w:p w14:paraId="1D85BD9F">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30A7987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42F6F7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88799A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23526D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76D0D8F">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0D618E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阴离子表面活性剂</w:t>
            </w:r>
          </w:p>
        </w:tc>
        <w:tc>
          <w:tcPr>
            <w:tcW w:w="317" w:type="pct"/>
            <w:tcBorders>
              <w:tl2br w:val="nil"/>
              <w:tr2bl w:val="nil"/>
            </w:tcBorders>
            <w:shd w:val="clear" w:color="auto" w:fill="auto"/>
            <w:vAlign w:val="center"/>
          </w:tcPr>
          <w:p w14:paraId="62D4FC7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59C352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1BBED83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642D99C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327" w:type="pct"/>
            <w:tcBorders>
              <w:tl2br w:val="nil"/>
              <w:tr2bl w:val="nil"/>
            </w:tcBorders>
            <w:shd w:val="clear" w:color="auto" w:fill="auto"/>
            <w:vAlign w:val="center"/>
          </w:tcPr>
          <w:p w14:paraId="7D468D6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0.125</w:t>
            </w:r>
          </w:p>
        </w:tc>
        <w:tc>
          <w:tcPr>
            <w:tcW w:w="468" w:type="pct"/>
            <w:tcBorders>
              <w:tl2br w:val="nil"/>
              <w:tr2bl w:val="nil"/>
            </w:tcBorders>
            <w:shd w:val="clear" w:color="auto" w:fill="auto"/>
            <w:vAlign w:val="center"/>
          </w:tcPr>
          <w:p w14:paraId="1780BEB5">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7C590F6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49F7F7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BD66B1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52C990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68A5B19">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3CDE14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总氮</w:t>
            </w:r>
          </w:p>
        </w:tc>
        <w:tc>
          <w:tcPr>
            <w:tcW w:w="317" w:type="pct"/>
            <w:tcBorders>
              <w:tl2br w:val="nil"/>
              <w:tr2bl w:val="nil"/>
            </w:tcBorders>
            <w:shd w:val="clear" w:color="auto" w:fill="auto"/>
            <w:vAlign w:val="center"/>
          </w:tcPr>
          <w:p w14:paraId="1D50E03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774DC5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0.92</w:t>
            </w:r>
          </w:p>
        </w:tc>
        <w:tc>
          <w:tcPr>
            <w:tcW w:w="452" w:type="pct"/>
            <w:tcBorders>
              <w:tl2br w:val="nil"/>
              <w:tr2bl w:val="nil"/>
            </w:tcBorders>
            <w:shd w:val="clear" w:color="auto" w:fill="auto"/>
            <w:vAlign w:val="center"/>
          </w:tcPr>
          <w:p w14:paraId="11338E5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0.92</w:t>
            </w:r>
          </w:p>
        </w:tc>
        <w:tc>
          <w:tcPr>
            <w:tcW w:w="452" w:type="pct"/>
            <w:tcBorders>
              <w:tl2br w:val="nil"/>
              <w:tr2bl w:val="nil"/>
            </w:tcBorders>
            <w:shd w:val="clear" w:color="auto" w:fill="auto"/>
            <w:vAlign w:val="center"/>
          </w:tcPr>
          <w:p w14:paraId="295A4D4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0.96</w:t>
            </w:r>
          </w:p>
        </w:tc>
        <w:tc>
          <w:tcPr>
            <w:tcW w:w="327" w:type="pct"/>
            <w:tcBorders>
              <w:tl2br w:val="nil"/>
              <w:tr2bl w:val="nil"/>
            </w:tcBorders>
            <w:shd w:val="clear" w:color="auto" w:fill="auto"/>
            <w:vAlign w:val="center"/>
          </w:tcPr>
          <w:p w14:paraId="6786EB8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0.96</w:t>
            </w:r>
          </w:p>
        </w:tc>
        <w:tc>
          <w:tcPr>
            <w:tcW w:w="468" w:type="pct"/>
            <w:tcBorders>
              <w:tl2br w:val="nil"/>
              <w:tr2bl w:val="nil"/>
            </w:tcBorders>
            <w:shd w:val="clear" w:color="auto" w:fill="auto"/>
            <w:vAlign w:val="center"/>
          </w:tcPr>
          <w:p w14:paraId="02B5D8C1">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3318F7F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DB3958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DDF317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1F3758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F945ABF">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64527D6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氨氮</w:t>
            </w:r>
          </w:p>
        </w:tc>
        <w:tc>
          <w:tcPr>
            <w:tcW w:w="317" w:type="pct"/>
            <w:tcBorders>
              <w:tl2br w:val="nil"/>
              <w:tr2bl w:val="nil"/>
            </w:tcBorders>
            <w:shd w:val="clear" w:color="auto" w:fill="auto"/>
            <w:vAlign w:val="center"/>
          </w:tcPr>
          <w:p w14:paraId="546D21D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292FD5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0.31</w:t>
            </w:r>
          </w:p>
        </w:tc>
        <w:tc>
          <w:tcPr>
            <w:tcW w:w="452" w:type="pct"/>
            <w:tcBorders>
              <w:tl2br w:val="nil"/>
              <w:tr2bl w:val="nil"/>
            </w:tcBorders>
            <w:shd w:val="clear" w:color="auto" w:fill="auto"/>
            <w:vAlign w:val="center"/>
          </w:tcPr>
          <w:p w14:paraId="2AF721D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0.29</w:t>
            </w:r>
          </w:p>
        </w:tc>
        <w:tc>
          <w:tcPr>
            <w:tcW w:w="452" w:type="pct"/>
            <w:tcBorders>
              <w:tl2br w:val="nil"/>
              <w:tr2bl w:val="nil"/>
            </w:tcBorders>
            <w:shd w:val="clear" w:color="auto" w:fill="auto"/>
            <w:vAlign w:val="center"/>
          </w:tcPr>
          <w:p w14:paraId="6FD0233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0.30</w:t>
            </w:r>
          </w:p>
        </w:tc>
        <w:tc>
          <w:tcPr>
            <w:tcW w:w="327" w:type="pct"/>
            <w:tcBorders>
              <w:tl2br w:val="nil"/>
              <w:tr2bl w:val="nil"/>
            </w:tcBorders>
            <w:shd w:val="clear" w:color="auto" w:fill="auto"/>
            <w:vAlign w:val="center"/>
          </w:tcPr>
          <w:p w14:paraId="33994CC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0.31</w:t>
            </w:r>
          </w:p>
        </w:tc>
        <w:tc>
          <w:tcPr>
            <w:tcW w:w="468" w:type="pct"/>
            <w:tcBorders>
              <w:tl2br w:val="nil"/>
              <w:tr2bl w:val="nil"/>
            </w:tcBorders>
            <w:shd w:val="clear" w:color="auto" w:fill="auto"/>
            <w:vAlign w:val="center"/>
          </w:tcPr>
          <w:p w14:paraId="4AED995E">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0F64B4A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14E0F9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0FA57C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0EA9A3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8A46F1F">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316A9C1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总磷</w:t>
            </w:r>
          </w:p>
        </w:tc>
        <w:tc>
          <w:tcPr>
            <w:tcW w:w="317" w:type="pct"/>
            <w:tcBorders>
              <w:tl2br w:val="nil"/>
              <w:tr2bl w:val="nil"/>
            </w:tcBorders>
            <w:shd w:val="clear" w:color="auto" w:fill="auto"/>
            <w:vAlign w:val="center"/>
          </w:tcPr>
          <w:p w14:paraId="3A6390B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DF1F21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0.18</w:t>
            </w:r>
          </w:p>
        </w:tc>
        <w:tc>
          <w:tcPr>
            <w:tcW w:w="452" w:type="pct"/>
            <w:tcBorders>
              <w:tl2br w:val="nil"/>
              <w:tr2bl w:val="nil"/>
            </w:tcBorders>
            <w:shd w:val="clear" w:color="auto" w:fill="auto"/>
            <w:vAlign w:val="center"/>
          </w:tcPr>
          <w:p w14:paraId="18B3E31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0.18</w:t>
            </w:r>
          </w:p>
        </w:tc>
        <w:tc>
          <w:tcPr>
            <w:tcW w:w="452" w:type="pct"/>
            <w:tcBorders>
              <w:tl2br w:val="nil"/>
              <w:tr2bl w:val="nil"/>
            </w:tcBorders>
            <w:shd w:val="clear" w:color="auto" w:fill="auto"/>
            <w:vAlign w:val="center"/>
          </w:tcPr>
          <w:p w14:paraId="6D76311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0.16</w:t>
            </w:r>
          </w:p>
        </w:tc>
        <w:tc>
          <w:tcPr>
            <w:tcW w:w="327" w:type="pct"/>
            <w:tcBorders>
              <w:tl2br w:val="nil"/>
              <w:tr2bl w:val="nil"/>
            </w:tcBorders>
            <w:shd w:val="clear" w:color="auto" w:fill="auto"/>
            <w:vAlign w:val="center"/>
          </w:tcPr>
          <w:p w14:paraId="7FD46A8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0.9</w:t>
            </w:r>
          </w:p>
        </w:tc>
        <w:tc>
          <w:tcPr>
            <w:tcW w:w="468" w:type="pct"/>
            <w:tcBorders>
              <w:tl2br w:val="nil"/>
              <w:tr2bl w:val="nil"/>
            </w:tcBorders>
            <w:shd w:val="clear" w:color="auto" w:fill="auto"/>
            <w:vAlign w:val="center"/>
          </w:tcPr>
          <w:p w14:paraId="1508FFDA">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06D8EBBD">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590B660">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0B99EF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≤0.2</w:t>
            </w:r>
          </w:p>
          <w:p w14:paraId="469CCB21">
            <w:pPr>
              <w:pStyle w:val="197"/>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宋体" w:hAnsi="宋体" w:eastAsia="宋体" w:cs="宋体"/>
                <w:color w:val="auto"/>
                <w:kern w:val="2"/>
                <w:sz w:val="21"/>
                <w:szCs w:val="21"/>
                <w:lang w:val="en-US" w:eastAsia="zh-CN" w:bidi="ar-SA"/>
              </w:rPr>
            </w:pPr>
            <w:r>
              <w:rPr>
                <w:spacing w:val="-2"/>
                <w:sz w:val="21"/>
                <w:szCs w:val="21"/>
              </w:rPr>
              <w:t>（湖、库</w:t>
            </w:r>
            <w:r>
              <w:rPr>
                <w:rFonts w:ascii="Times New Roman" w:hAnsi="Times New Roman" w:eastAsia="Times New Roman" w:cs="Times New Roman"/>
                <w:spacing w:val="-2"/>
                <w:sz w:val="21"/>
                <w:szCs w:val="21"/>
              </w:rPr>
              <w:t>0.05</w:t>
            </w:r>
            <w:r>
              <w:rPr>
                <w:spacing w:val="-2"/>
                <w:sz w:val="21"/>
                <w:szCs w:val="21"/>
              </w:rPr>
              <w:t>）</w:t>
            </w:r>
          </w:p>
        </w:tc>
      </w:tr>
      <w:tr w14:paraId="0ED638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02BB281">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561FD2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粪大肠菌群</w:t>
            </w:r>
          </w:p>
        </w:tc>
        <w:tc>
          <w:tcPr>
            <w:tcW w:w="317" w:type="pct"/>
            <w:tcBorders>
              <w:tl2br w:val="nil"/>
              <w:tr2bl w:val="nil"/>
            </w:tcBorders>
            <w:shd w:val="clear" w:color="auto" w:fill="auto"/>
            <w:vAlign w:val="center"/>
          </w:tcPr>
          <w:p w14:paraId="402D4FE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MPN/L</w:t>
            </w:r>
          </w:p>
        </w:tc>
        <w:tc>
          <w:tcPr>
            <w:tcW w:w="452" w:type="pct"/>
            <w:tcBorders>
              <w:tl2br w:val="nil"/>
              <w:tr2bl w:val="nil"/>
            </w:tcBorders>
            <w:shd w:val="clear" w:color="auto" w:fill="auto"/>
            <w:vAlign w:val="center"/>
          </w:tcPr>
          <w:p w14:paraId="123732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4.9×10</w:t>
            </w:r>
            <w:r>
              <w:rPr>
                <w:vertAlign w:val="superscript"/>
              </w:rPr>
              <w:t>2</w:t>
            </w:r>
          </w:p>
        </w:tc>
        <w:tc>
          <w:tcPr>
            <w:tcW w:w="452" w:type="pct"/>
            <w:tcBorders>
              <w:tl2br w:val="nil"/>
              <w:tr2bl w:val="nil"/>
            </w:tcBorders>
            <w:shd w:val="clear" w:color="auto" w:fill="auto"/>
            <w:vAlign w:val="center"/>
          </w:tcPr>
          <w:p w14:paraId="12DE024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4.3×10</w:t>
            </w:r>
            <w:r>
              <w:rPr>
                <w:vertAlign w:val="superscript"/>
              </w:rPr>
              <w:t>2</w:t>
            </w:r>
          </w:p>
        </w:tc>
        <w:tc>
          <w:tcPr>
            <w:tcW w:w="452" w:type="pct"/>
            <w:tcBorders>
              <w:tl2br w:val="nil"/>
              <w:tr2bl w:val="nil"/>
            </w:tcBorders>
            <w:shd w:val="clear" w:color="auto" w:fill="auto"/>
            <w:vAlign w:val="center"/>
          </w:tcPr>
          <w:p w14:paraId="7983794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5.0×10</w:t>
            </w:r>
            <w:r>
              <w:rPr>
                <w:vertAlign w:val="superscript"/>
              </w:rPr>
              <w:t>2</w:t>
            </w:r>
          </w:p>
        </w:tc>
        <w:tc>
          <w:tcPr>
            <w:tcW w:w="327" w:type="pct"/>
            <w:tcBorders>
              <w:tl2br w:val="nil"/>
              <w:tr2bl w:val="nil"/>
            </w:tcBorders>
            <w:shd w:val="clear" w:color="auto" w:fill="auto"/>
            <w:vAlign w:val="center"/>
          </w:tcPr>
          <w:p w14:paraId="16C11ACB">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0.05</w:t>
            </w:r>
          </w:p>
        </w:tc>
        <w:tc>
          <w:tcPr>
            <w:tcW w:w="468" w:type="pct"/>
            <w:tcBorders>
              <w:tl2br w:val="nil"/>
              <w:tr2bl w:val="nil"/>
            </w:tcBorders>
            <w:shd w:val="clear" w:color="auto" w:fill="auto"/>
            <w:vAlign w:val="center"/>
          </w:tcPr>
          <w:p w14:paraId="79CC8427">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0ECF784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E63D43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6C9437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≤10000</w:t>
            </w:r>
          </w:p>
        </w:tc>
      </w:tr>
      <w:tr w14:paraId="4F0FA4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09047D8">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37B2F7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rPr>
                <w:rFonts w:hint="eastAsia" w:eastAsiaTheme="minorEastAsia"/>
                <w:lang w:val="en-US" w:eastAsia="zh-CN"/>
              </w:rPr>
              <w:t>氟化物</w:t>
            </w:r>
          </w:p>
        </w:tc>
        <w:tc>
          <w:tcPr>
            <w:tcW w:w="317" w:type="pct"/>
            <w:tcBorders>
              <w:tl2br w:val="nil"/>
              <w:tr2bl w:val="nil"/>
            </w:tcBorders>
            <w:shd w:val="clear" w:color="auto" w:fill="auto"/>
            <w:vAlign w:val="center"/>
          </w:tcPr>
          <w:p w14:paraId="2001F14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9D6FF7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0.51</w:t>
            </w:r>
          </w:p>
        </w:tc>
        <w:tc>
          <w:tcPr>
            <w:tcW w:w="452" w:type="pct"/>
            <w:tcBorders>
              <w:tl2br w:val="nil"/>
              <w:tr2bl w:val="nil"/>
            </w:tcBorders>
            <w:shd w:val="clear" w:color="auto" w:fill="auto"/>
            <w:vAlign w:val="center"/>
          </w:tcPr>
          <w:p w14:paraId="722BDB6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0.59</w:t>
            </w:r>
          </w:p>
        </w:tc>
        <w:tc>
          <w:tcPr>
            <w:tcW w:w="452" w:type="pct"/>
            <w:tcBorders>
              <w:tl2br w:val="nil"/>
              <w:tr2bl w:val="nil"/>
            </w:tcBorders>
            <w:shd w:val="clear" w:color="auto" w:fill="auto"/>
            <w:vAlign w:val="center"/>
          </w:tcPr>
          <w:p w14:paraId="1903367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0.61</w:t>
            </w:r>
          </w:p>
        </w:tc>
        <w:tc>
          <w:tcPr>
            <w:tcW w:w="327" w:type="pct"/>
            <w:tcBorders>
              <w:tl2br w:val="nil"/>
              <w:tr2bl w:val="nil"/>
            </w:tcBorders>
            <w:shd w:val="clear" w:color="auto" w:fill="auto"/>
            <w:vAlign w:val="center"/>
          </w:tcPr>
          <w:p w14:paraId="2F34BA5A">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0.61</w:t>
            </w:r>
          </w:p>
        </w:tc>
        <w:tc>
          <w:tcPr>
            <w:tcW w:w="468" w:type="pct"/>
            <w:tcBorders>
              <w:tl2br w:val="nil"/>
              <w:tr2bl w:val="nil"/>
            </w:tcBorders>
            <w:shd w:val="clear" w:color="auto" w:fill="auto"/>
            <w:vAlign w:val="center"/>
          </w:tcPr>
          <w:p w14:paraId="05A4A8D4">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54193AB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EF8F4D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9BD3E7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76082E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8A68EB2">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01CFF8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挥发酚</w:t>
            </w:r>
          </w:p>
        </w:tc>
        <w:tc>
          <w:tcPr>
            <w:tcW w:w="317" w:type="pct"/>
            <w:tcBorders>
              <w:tl2br w:val="nil"/>
              <w:tr2bl w:val="nil"/>
            </w:tcBorders>
            <w:shd w:val="clear" w:color="auto" w:fill="auto"/>
            <w:vAlign w:val="center"/>
          </w:tcPr>
          <w:p w14:paraId="281E332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79A01D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61F2273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1A5DF45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327" w:type="pct"/>
            <w:tcBorders>
              <w:tl2br w:val="nil"/>
              <w:tr2bl w:val="nil"/>
            </w:tcBorders>
            <w:shd w:val="clear" w:color="auto" w:fill="auto"/>
            <w:vAlign w:val="center"/>
          </w:tcPr>
          <w:p w14:paraId="187659A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0.03</w:t>
            </w:r>
          </w:p>
        </w:tc>
        <w:tc>
          <w:tcPr>
            <w:tcW w:w="468" w:type="pct"/>
            <w:tcBorders>
              <w:tl2br w:val="nil"/>
              <w:tr2bl w:val="nil"/>
            </w:tcBorders>
            <w:shd w:val="clear" w:color="auto" w:fill="auto"/>
            <w:vAlign w:val="center"/>
          </w:tcPr>
          <w:p w14:paraId="397D9710">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4839B38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2D7F57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14A86C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0957B0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0106010">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2594AB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氰化物</w:t>
            </w:r>
          </w:p>
        </w:tc>
        <w:tc>
          <w:tcPr>
            <w:tcW w:w="317" w:type="pct"/>
            <w:tcBorders>
              <w:tl2br w:val="nil"/>
              <w:tr2bl w:val="nil"/>
            </w:tcBorders>
            <w:shd w:val="clear" w:color="auto" w:fill="auto"/>
            <w:vAlign w:val="center"/>
          </w:tcPr>
          <w:p w14:paraId="07B7B98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C45118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5BB8554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7BE51BB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677820F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0.01</w:t>
            </w:r>
          </w:p>
        </w:tc>
        <w:tc>
          <w:tcPr>
            <w:tcW w:w="468" w:type="pct"/>
            <w:tcBorders>
              <w:tl2br w:val="nil"/>
              <w:tr2bl w:val="nil"/>
            </w:tcBorders>
            <w:shd w:val="clear" w:color="auto" w:fill="auto"/>
            <w:vAlign w:val="center"/>
          </w:tcPr>
          <w:p w14:paraId="0461315A">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13AE918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C724FE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9434DF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7D6FD0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DF825E3">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4987D79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硫化物</w:t>
            </w:r>
          </w:p>
        </w:tc>
        <w:tc>
          <w:tcPr>
            <w:tcW w:w="317" w:type="pct"/>
            <w:tcBorders>
              <w:tl2br w:val="nil"/>
              <w:tr2bl w:val="nil"/>
            </w:tcBorders>
            <w:shd w:val="clear" w:color="auto" w:fill="auto"/>
            <w:vAlign w:val="center"/>
          </w:tcPr>
          <w:p w14:paraId="5F46F1F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91CC63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7FA9A7C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643B8B6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5929C00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0.025</w:t>
            </w:r>
          </w:p>
        </w:tc>
        <w:tc>
          <w:tcPr>
            <w:tcW w:w="468" w:type="pct"/>
            <w:tcBorders>
              <w:tl2br w:val="nil"/>
              <w:tr2bl w:val="nil"/>
            </w:tcBorders>
            <w:shd w:val="clear" w:color="auto" w:fill="auto"/>
            <w:vAlign w:val="center"/>
          </w:tcPr>
          <w:p w14:paraId="273A3DFC">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331DBBF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FCD1F6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79F230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6D4C7C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01DADA6">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12974B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汞</w:t>
            </w:r>
          </w:p>
        </w:tc>
        <w:tc>
          <w:tcPr>
            <w:tcW w:w="317" w:type="pct"/>
            <w:tcBorders>
              <w:tl2br w:val="nil"/>
              <w:tr2bl w:val="nil"/>
            </w:tcBorders>
            <w:shd w:val="clear" w:color="auto" w:fill="auto"/>
            <w:vAlign w:val="center"/>
          </w:tcPr>
          <w:p w14:paraId="376F1BC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E6C87C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0114C4C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30A2B4B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327" w:type="pct"/>
            <w:tcBorders>
              <w:tl2br w:val="nil"/>
              <w:tr2bl w:val="nil"/>
            </w:tcBorders>
            <w:shd w:val="clear" w:color="auto" w:fill="auto"/>
            <w:vAlign w:val="center"/>
          </w:tcPr>
          <w:p w14:paraId="4C82683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w:t>
            </w:r>
          </w:p>
        </w:tc>
        <w:tc>
          <w:tcPr>
            <w:tcW w:w="468" w:type="pct"/>
            <w:tcBorders>
              <w:tl2br w:val="nil"/>
              <w:tr2bl w:val="nil"/>
            </w:tcBorders>
            <w:shd w:val="clear" w:color="auto" w:fill="auto"/>
            <w:vAlign w:val="center"/>
          </w:tcPr>
          <w:p w14:paraId="00494714">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745FEA5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7D750F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A09CE6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≤0.0001</w:t>
            </w:r>
          </w:p>
        </w:tc>
      </w:tr>
      <w:tr w14:paraId="7BA72E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F4DF23C">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DB93AC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镉</w:t>
            </w:r>
          </w:p>
        </w:tc>
        <w:tc>
          <w:tcPr>
            <w:tcW w:w="317" w:type="pct"/>
            <w:tcBorders>
              <w:tl2br w:val="nil"/>
              <w:tr2bl w:val="nil"/>
            </w:tcBorders>
            <w:shd w:val="clear" w:color="auto" w:fill="auto"/>
            <w:vAlign w:val="center"/>
          </w:tcPr>
          <w:p w14:paraId="148ACAD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576147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3A50D99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2AA0A46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327" w:type="pct"/>
            <w:tcBorders>
              <w:tl2br w:val="nil"/>
              <w:tr2bl w:val="nil"/>
            </w:tcBorders>
            <w:shd w:val="clear" w:color="auto" w:fill="auto"/>
            <w:vAlign w:val="center"/>
          </w:tcPr>
          <w:p w14:paraId="1B6F8031">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0.005</w:t>
            </w:r>
          </w:p>
        </w:tc>
        <w:tc>
          <w:tcPr>
            <w:tcW w:w="468" w:type="pct"/>
            <w:tcBorders>
              <w:tl2br w:val="nil"/>
              <w:tr2bl w:val="nil"/>
            </w:tcBorders>
            <w:shd w:val="clear" w:color="auto" w:fill="auto"/>
            <w:vAlign w:val="center"/>
          </w:tcPr>
          <w:p w14:paraId="0644EC4A">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2F72336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2A1D5B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6A5435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65F1E3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16668BF">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017906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六价铬</w:t>
            </w:r>
          </w:p>
        </w:tc>
        <w:tc>
          <w:tcPr>
            <w:tcW w:w="317" w:type="pct"/>
            <w:tcBorders>
              <w:tl2br w:val="nil"/>
              <w:tr2bl w:val="nil"/>
            </w:tcBorders>
            <w:shd w:val="clear" w:color="auto" w:fill="auto"/>
            <w:vAlign w:val="center"/>
          </w:tcPr>
          <w:p w14:paraId="134C881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623D54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73E8AD0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517DD41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69B4B41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w:t>
            </w:r>
          </w:p>
        </w:tc>
        <w:tc>
          <w:tcPr>
            <w:tcW w:w="468" w:type="pct"/>
            <w:tcBorders>
              <w:tl2br w:val="nil"/>
              <w:tr2bl w:val="nil"/>
            </w:tcBorders>
            <w:shd w:val="clear" w:color="auto" w:fill="auto"/>
            <w:vAlign w:val="center"/>
          </w:tcPr>
          <w:p w14:paraId="5E0DA039">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0F14595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D2BAEF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E629C5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38A022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C221746">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DEDC8F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硒</w:t>
            </w:r>
          </w:p>
        </w:tc>
        <w:tc>
          <w:tcPr>
            <w:tcW w:w="317" w:type="pct"/>
            <w:tcBorders>
              <w:tl2br w:val="nil"/>
              <w:tr2bl w:val="nil"/>
            </w:tcBorders>
            <w:shd w:val="clear" w:color="auto" w:fill="auto"/>
            <w:vAlign w:val="center"/>
          </w:tcPr>
          <w:p w14:paraId="6703615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9195EE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1A3E759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5CA369C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327" w:type="pct"/>
            <w:tcBorders>
              <w:tl2br w:val="nil"/>
              <w:tr2bl w:val="nil"/>
            </w:tcBorders>
            <w:shd w:val="clear" w:color="auto" w:fill="auto"/>
            <w:vAlign w:val="center"/>
          </w:tcPr>
          <w:p w14:paraId="6B7702F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0.0205</w:t>
            </w:r>
          </w:p>
        </w:tc>
        <w:tc>
          <w:tcPr>
            <w:tcW w:w="468" w:type="pct"/>
            <w:tcBorders>
              <w:tl2br w:val="nil"/>
              <w:tr2bl w:val="nil"/>
            </w:tcBorders>
            <w:shd w:val="clear" w:color="auto" w:fill="auto"/>
            <w:vAlign w:val="center"/>
          </w:tcPr>
          <w:p w14:paraId="0044FE12">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3754169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1377FC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6D2C73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≤0.01</w:t>
            </w:r>
          </w:p>
        </w:tc>
      </w:tr>
      <w:tr w14:paraId="0C662C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FBCC2E1">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52DC1E2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砷</w:t>
            </w:r>
          </w:p>
        </w:tc>
        <w:tc>
          <w:tcPr>
            <w:tcW w:w="317" w:type="pct"/>
            <w:tcBorders>
              <w:tl2br w:val="nil"/>
              <w:tr2bl w:val="nil"/>
            </w:tcBorders>
            <w:shd w:val="clear" w:color="auto" w:fill="auto"/>
            <w:vAlign w:val="center"/>
          </w:tcPr>
          <w:p w14:paraId="04D5BB9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A753AF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0.00247</w:t>
            </w:r>
          </w:p>
        </w:tc>
        <w:tc>
          <w:tcPr>
            <w:tcW w:w="452" w:type="pct"/>
            <w:tcBorders>
              <w:tl2br w:val="nil"/>
              <w:tr2bl w:val="nil"/>
            </w:tcBorders>
            <w:shd w:val="clear" w:color="auto" w:fill="auto"/>
            <w:vAlign w:val="center"/>
          </w:tcPr>
          <w:p w14:paraId="6EEFD5B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0.00261</w:t>
            </w:r>
          </w:p>
        </w:tc>
        <w:tc>
          <w:tcPr>
            <w:tcW w:w="452" w:type="pct"/>
            <w:tcBorders>
              <w:tl2br w:val="nil"/>
              <w:tr2bl w:val="nil"/>
            </w:tcBorders>
            <w:shd w:val="clear" w:color="auto" w:fill="auto"/>
            <w:vAlign w:val="center"/>
          </w:tcPr>
          <w:p w14:paraId="6C73B58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0.00249</w:t>
            </w:r>
          </w:p>
        </w:tc>
        <w:tc>
          <w:tcPr>
            <w:tcW w:w="327" w:type="pct"/>
            <w:tcBorders>
              <w:tl2br w:val="nil"/>
              <w:tr2bl w:val="nil"/>
            </w:tcBorders>
            <w:shd w:val="clear" w:color="auto" w:fill="auto"/>
            <w:vAlign w:val="center"/>
          </w:tcPr>
          <w:p w14:paraId="1B6B5E0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0.0522</w:t>
            </w:r>
          </w:p>
        </w:tc>
        <w:tc>
          <w:tcPr>
            <w:tcW w:w="468" w:type="pct"/>
            <w:tcBorders>
              <w:tl2br w:val="nil"/>
              <w:tr2bl w:val="nil"/>
            </w:tcBorders>
            <w:shd w:val="clear" w:color="auto" w:fill="auto"/>
            <w:vAlign w:val="center"/>
          </w:tcPr>
          <w:p w14:paraId="3C91447D">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0AD8321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7E5FA9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C61A8F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B124E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91BB806">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642D3B0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铅</w:t>
            </w:r>
          </w:p>
        </w:tc>
        <w:tc>
          <w:tcPr>
            <w:tcW w:w="317" w:type="pct"/>
            <w:tcBorders>
              <w:tl2br w:val="nil"/>
              <w:tr2bl w:val="nil"/>
            </w:tcBorders>
            <w:shd w:val="clear" w:color="auto" w:fill="auto"/>
            <w:vAlign w:val="center"/>
          </w:tcPr>
          <w:p w14:paraId="146EA54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8BA707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0CE8989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479B1B8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327" w:type="pct"/>
            <w:tcBorders>
              <w:tl2br w:val="nil"/>
              <w:tr2bl w:val="nil"/>
            </w:tcBorders>
            <w:shd w:val="clear" w:color="auto" w:fill="auto"/>
            <w:vAlign w:val="center"/>
          </w:tcPr>
          <w:p w14:paraId="73DA873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0.0009</w:t>
            </w:r>
          </w:p>
        </w:tc>
        <w:tc>
          <w:tcPr>
            <w:tcW w:w="468" w:type="pct"/>
            <w:tcBorders>
              <w:tl2br w:val="nil"/>
              <w:tr2bl w:val="nil"/>
            </w:tcBorders>
            <w:shd w:val="clear" w:color="auto" w:fill="auto"/>
            <w:vAlign w:val="center"/>
          </w:tcPr>
          <w:p w14:paraId="740564C7">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1C87C7E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999836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AD49A6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21761B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67B2C87">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396F23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锌</w:t>
            </w:r>
          </w:p>
        </w:tc>
        <w:tc>
          <w:tcPr>
            <w:tcW w:w="317" w:type="pct"/>
            <w:tcBorders>
              <w:tl2br w:val="nil"/>
              <w:tr2bl w:val="nil"/>
            </w:tcBorders>
            <w:shd w:val="clear" w:color="auto" w:fill="auto"/>
            <w:vAlign w:val="center"/>
          </w:tcPr>
          <w:p w14:paraId="703CD26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168831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0.00080</w:t>
            </w:r>
          </w:p>
        </w:tc>
        <w:tc>
          <w:tcPr>
            <w:tcW w:w="452" w:type="pct"/>
            <w:tcBorders>
              <w:tl2br w:val="nil"/>
              <w:tr2bl w:val="nil"/>
            </w:tcBorders>
            <w:shd w:val="clear" w:color="auto" w:fill="auto"/>
            <w:vAlign w:val="center"/>
          </w:tcPr>
          <w:p w14:paraId="18DE8E3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0.00052</w:t>
            </w:r>
          </w:p>
        </w:tc>
        <w:tc>
          <w:tcPr>
            <w:tcW w:w="452" w:type="pct"/>
            <w:tcBorders>
              <w:tl2br w:val="nil"/>
              <w:tr2bl w:val="nil"/>
            </w:tcBorders>
            <w:shd w:val="clear" w:color="auto" w:fill="auto"/>
            <w:vAlign w:val="center"/>
          </w:tcPr>
          <w:p w14:paraId="1EBE7C8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0.00107</w:t>
            </w:r>
          </w:p>
        </w:tc>
        <w:tc>
          <w:tcPr>
            <w:tcW w:w="327" w:type="pct"/>
            <w:tcBorders>
              <w:tl2br w:val="nil"/>
              <w:tr2bl w:val="nil"/>
            </w:tcBorders>
            <w:shd w:val="clear" w:color="auto" w:fill="auto"/>
            <w:vAlign w:val="center"/>
          </w:tcPr>
          <w:p w14:paraId="4298973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0.00107</w:t>
            </w:r>
          </w:p>
        </w:tc>
        <w:tc>
          <w:tcPr>
            <w:tcW w:w="468" w:type="pct"/>
            <w:tcBorders>
              <w:tl2br w:val="nil"/>
              <w:tr2bl w:val="nil"/>
            </w:tcBorders>
            <w:shd w:val="clear" w:color="auto" w:fill="auto"/>
            <w:vAlign w:val="center"/>
          </w:tcPr>
          <w:p w14:paraId="4EA6CAE7">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20BD527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504A75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8B6C0C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786328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4D34083">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4CE5534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铜</w:t>
            </w:r>
          </w:p>
        </w:tc>
        <w:tc>
          <w:tcPr>
            <w:tcW w:w="317" w:type="pct"/>
            <w:tcBorders>
              <w:tl2br w:val="nil"/>
              <w:tr2bl w:val="nil"/>
            </w:tcBorders>
            <w:shd w:val="clear" w:color="auto" w:fill="auto"/>
            <w:vAlign w:val="center"/>
          </w:tcPr>
          <w:p w14:paraId="59C3E57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119D61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0.00127</w:t>
            </w:r>
          </w:p>
        </w:tc>
        <w:tc>
          <w:tcPr>
            <w:tcW w:w="452" w:type="pct"/>
            <w:tcBorders>
              <w:tl2br w:val="nil"/>
              <w:tr2bl w:val="nil"/>
            </w:tcBorders>
            <w:shd w:val="clear" w:color="auto" w:fill="auto"/>
            <w:vAlign w:val="center"/>
          </w:tcPr>
          <w:p w14:paraId="2C573D9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0.00137</w:t>
            </w:r>
          </w:p>
        </w:tc>
        <w:tc>
          <w:tcPr>
            <w:tcW w:w="452" w:type="pct"/>
            <w:tcBorders>
              <w:tl2br w:val="nil"/>
              <w:tr2bl w:val="nil"/>
            </w:tcBorders>
            <w:shd w:val="clear" w:color="auto" w:fill="auto"/>
            <w:vAlign w:val="center"/>
          </w:tcPr>
          <w:p w14:paraId="79E01A2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0.00118</w:t>
            </w:r>
          </w:p>
        </w:tc>
        <w:tc>
          <w:tcPr>
            <w:tcW w:w="327" w:type="pct"/>
            <w:tcBorders>
              <w:tl2br w:val="nil"/>
              <w:tr2bl w:val="nil"/>
            </w:tcBorders>
            <w:shd w:val="clear" w:color="auto" w:fill="auto"/>
            <w:vAlign w:val="center"/>
          </w:tcPr>
          <w:p w14:paraId="61F271A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0.00137</w:t>
            </w:r>
          </w:p>
        </w:tc>
        <w:tc>
          <w:tcPr>
            <w:tcW w:w="468" w:type="pct"/>
            <w:tcBorders>
              <w:tl2br w:val="nil"/>
              <w:tr2bl w:val="nil"/>
            </w:tcBorders>
            <w:shd w:val="clear" w:color="auto" w:fill="auto"/>
            <w:vAlign w:val="center"/>
          </w:tcPr>
          <w:p w14:paraId="3A7E3974">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11B554E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7B0737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95BA35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0703AB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73028E8">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68189AE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317" w:type="pct"/>
            <w:tcBorders>
              <w:tl2br w:val="nil"/>
              <w:tr2bl w:val="nil"/>
            </w:tcBorders>
            <w:shd w:val="clear" w:color="auto" w:fill="auto"/>
            <w:vAlign w:val="center"/>
          </w:tcPr>
          <w:p w14:paraId="1D4EEFB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2193A7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673ABDA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24D7D3A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327" w:type="pct"/>
            <w:tcBorders>
              <w:tl2br w:val="nil"/>
              <w:tr2bl w:val="nil"/>
            </w:tcBorders>
            <w:shd w:val="clear" w:color="auto" w:fill="auto"/>
            <w:vAlign w:val="center"/>
          </w:tcPr>
          <w:p w14:paraId="448D5745">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0.0015</w:t>
            </w:r>
          </w:p>
        </w:tc>
        <w:tc>
          <w:tcPr>
            <w:tcW w:w="468" w:type="pct"/>
            <w:tcBorders>
              <w:tl2br w:val="nil"/>
              <w:tr2bl w:val="nil"/>
            </w:tcBorders>
            <w:shd w:val="clear" w:color="auto" w:fill="auto"/>
            <w:vAlign w:val="center"/>
          </w:tcPr>
          <w:p w14:paraId="35F8E00D">
            <w:pPr>
              <w:keepNext w:val="0"/>
              <w:keepLines w:val="0"/>
              <w:pageBreakBefore w:val="0"/>
              <w:widowControl/>
              <w:kinsoku/>
              <w:wordWrap/>
              <w:overflowPunct/>
              <w:autoSpaceDE/>
              <w:autoSpaceDN/>
              <w:bidi w:val="0"/>
              <w:spacing w:line="240" w:lineRule="auto"/>
              <w:ind w:left="0" w:firstLine="0" w:firstLineChars="0"/>
              <w:jc w:val="center"/>
              <w:textAlignment w:val="auto"/>
            </w:pPr>
            <w:r>
              <w:rPr>
                <w:rFonts w:hint="eastAsia"/>
                <w:lang w:val="en-US" w:eastAsia="zh-CN"/>
              </w:rPr>
              <w:t>0</w:t>
            </w:r>
          </w:p>
        </w:tc>
        <w:tc>
          <w:tcPr>
            <w:tcW w:w="525" w:type="pct"/>
            <w:tcBorders>
              <w:tl2br w:val="nil"/>
              <w:tr2bl w:val="nil"/>
            </w:tcBorders>
            <w:shd w:val="clear" w:color="auto" w:fill="auto"/>
            <w:vAlign w:val="center"/>
          </w:tcPr>
          <w:p w14:paraId="1869577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68C0A3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A6DF30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≤0.02</w:t>
            </w:r>
          </w:p>
        </w:tc>
      </w:tr>
      <w:tr w14:paraId="264984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47DA917">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0F3426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317" w:type="pct"/>
            <w:tcBorders>
              <w:tl2br w:val="nil"/>
              <w:tr2bl w:val="nil"/>
            </w:tcBorders>
            <w:shd w:val="clear" w:color="auto" w:fill="auto"/>
            <w:vAlign w:val="center"/>
          </w:tcPr>
          <w:p w14:paraId="358E31D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554CCF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vAlign w:val="center"/>
          </w:tcPr>
          <w:p w14:paraId="0AF94F8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vAlign w:val="center"/>
          </w:tcPr>
          <w:p w14:paraId="7ECA1CF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327" w:type="pct"/>
            <w:tcBorders>
              <w:tl2br w:val="nil"/>
              <w:tr2bl w:val="nil"/>
            </w:tcBorders>
            <w:shd w:val="clear" w:color="auto" w:fill="auto"/>
            <w:vAlign w:val="center"/>
          </w:tcPr>
          <w:p w14:paraId="262F282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1528CB7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55FE6EE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2DE0AE0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1DE5751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4B2722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restart"/>
            <w:tcBorders>
              <w:tl2br w:val="nil"/>
              <w:tr2bl w:val="nil"/>
            </w:tcBorders>
            <w:shd w:val="clear" w:color="auto" w:fill="auto"/>
            <w:vAlign w:val="center"/>
          </w:tcPr>
          <w:p w14:paraId="22668BB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W3无名小溪雨水汇入口上游500m断面</w:t>
            </w:r>
          </w:p>
        </w:tc>
        <w:tc>
          <w:tcPr>
            <w:tcW w:w="681" w:type="pct"/>
            <w:tcBorders>
              <w:tl2br w:val="nil"/>
              <w:tr2bl w:val="nil"/>
            </w:tcBorders>
            <w:shd w:val="clear" w:color="auto" w:fill="auto"/>
            <w:vAlign w:val="center"/>
          </w:tcPr>
          <w:p w14:paraId="3AAE19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pH值</w:t>
            </w:r>
          </w:p>
        </w:tc>
        <w:tc>
          <w:tcPr>
            <w:tcW w:w="317" w:type="pct"/>
            <w:tcBorders>
              <w:tl2br w:val="nil"/>
              <w:tr2bl w:val="nil"/>
            </w:tcBorders>
            <w:shd w:val="clear" w:color="auto" w:fill="auto"/>
            <w:vAlign w:val="center"/>
          </w:tcPr>
          <w:p w14:paraId="7F60B18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无量纲</w:t>
            </w:r>
          </w:p>
        </w:tc>
        <w:tc>
          <w:tcPr>
            <w:tcW w:w="452" w:type="pct"/>
            <w:tcBorders>
              <w:tl2br w:val="nil"/>
              <w:tr2bl w:val="nil"/>
            </w:tcBorders>
            <w:shd w:val="clear" w:color="auto" w:fill="auto"/>
            <w:vAlign w:val="center"/>
          </w:tcPr>
          <w:p w14:paraId="5FD444B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8.1</w:t>
            </w:r>
          </w:p>
        </w:tc>
        <w:tc>
          <w:tcPr>
            <w:tcW w:w="452" w:type="pct"/>
            <w:tcBorders>
              <w:tl2br w:val="nil"/>
              <w:tr2bl w:val="nil"/>
            </w:tcBorders>
            <w:shd w:val="clear" w:color="auto" w:fill="auto"/>
            <w:vAlign w:val="center"/>
          </w:tcPr>
          <w:p w14:paraId="4C8005C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7.8</w:t>
            </w:r>
          </w:p>
        </w:tc>
        <w:tc>
          <w:tcPr>
            <w:tcW w:w="452" w:type="pct"/>
            <w:tcBorders>
              <w:tl2br w:val="nil"/>
              <w:tr2bl w:val="nil"/>
            </w:tcBorders>
            <w:shd w:val="clear" w:color="auto" w:fill="auto"/>
            <w:vAlign w:val="center"/>
          </w:tcPr>
          <w:p w14:paraId="2A50646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7.9</w:t>
            </w:r>
          </w:p>
        </w:tc>
        <w:tc>
          <w:tcPr>
            <w:tcW w:w="327" w:type="pct"/>
            <w:tcBorders>
              <w:tl2br w:val="nil"/>
              <w:tr2bl w:val="nil"/>
            </w:tcBorders>
            <w:shd w:val="clear" w:color="auto" w:fill="auto"/>
            <w:vAlign w:val="center"/>
          </w:tcPr>
          <w:p w14:paraId="47C6E76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0.55</w:t>
            </w:r>
          </w:p>
        </w:tc>
        <w:tc>
          <w:tcPr>
            <w:tcW w:w="468" w:type="pct"/>
            <w:tcBorders>
              <w:tl2br w:val="nil"/>
              <w:tr2bl w:val="nil"/>
            </w:tcBorders>
            <w:shd w:val="clear" w:color="auto" w:fill="auto"/>
            <w:vAlign w:val="center"/>
          </w:tcPr>
          <w:p w14:paraId="214A4FF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lang w:val="en-US" w:eastAsia="zh-CN"/>
              </w:rPr>
              <w:t>0</w:t>
            </w:r>
          </w:p>
        </w:tc>
        <w:tc>
          <w:tcPr>
            <w:tcW w:w="525" w:type="pct"/>
            <w:tcBorders>
              <w:tl2br w:val="nil"/>
              <w:tr2bl w:val="nil"/>
            </w:tcBorders>
            <w:shd w:val="clear" w:color="auto" w:fill="auto"/>
            <w:vAlign w:val="center"/>
          </w:tcPr>
          <w:p w14:paraId="5E4B951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BD37E5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7AA271A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6-9</w:t>
            </w:r>
          </w:p>
        </w:tc>
      </w:tr>
      <w:tr w14:paraId="0244D7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212727B">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FCA369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水温</w:t>
            </w:r>
          </w:p>
        </w:tc>
        <w:tc>
          <w:tcPr>
            <w:tcW w:w="317" w:type="pct"/>
            <w:tcBorders>
              <w:tl2br w:val="nil"/>
              <w:tr2bl w:val="nil"/>
            </w:tcBorders>
            <w:shd w:val="clear" w:color="auto" w:fill="auto"/>
            <w:vAlign w:val="center"/>
          </w:tcPr>
          <w:p w14:paraId="7ADB87D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c>
          <w:tcPr>
            <w:tcW w:w="452" w:type="pct"/>
            <w:tcBorders>
              <w:tl2br w:val="nil"/>
              <w:tr2bl w:val="nil"/>
            </w:tcBorders>
            <w:shd w:val="clear" w:color="auto" w:fill="auto"/>
            <w:vAlign w:val="center"/>
          </w:tcPr>
          <w:p w14:paraId="69DCF25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10.1</w:t>
            </w:r>
          </w:p>
        </w:tc>
        <w:tc>
          <w:tcPr>
            <w:tcW w:w="452" w:type="pct"/>
            <w:tcBorders>
              <w:tl2br w:val="nil"/>
              <w:tr2bl w:val="nil"/>
            </w:tcBorders>
            <w:shd w:val="clear" w:color="auto" w:fill="auto"/>
            <w:vAlign w:val="center"/>
          </w:tcPr>
          <w:p w14:paraId="7A3D6C0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12.0</w:t>
            </w:r>
          </w:p>
        </w:tc>
        <w:tc>
          <w:tcPr>
            <w:tcW w:w="452" w:type="pct"/>
            <w:tcBorders>
              <w:tl2br w:val="nil"/>
              <w:tr2bl w:val="nil"/>
            </w:tcBorders>
            <w:shd w:val="clear" w:color="auto" w:fill="auto"/>
            <w:vAlign w:val="center"/>
          </w:tcPr>
          <w:p w14:paraId="3F41EF3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14.0</w:t>
            </w:r>
          </w:p>
        </w:tc>
        <w:tc>
          <w:tcPr>
            <w:tcW w:w="327" w:type="pct"/>
            <w:tcBorders>
              <w:tl2br w:val="nil"/>
              <w:tr2bl w:val="nil"/>
            </w:tcBorders>
            <w:shd w:val="clear" w:color="auto" w:fill="auto"/>
            <w:vAlign w:val="center"/>
          </w:tcPr>
          <w:p w14:paraId="28E50E1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563DCFF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70F98EC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04C8831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2209F51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74021F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8B10AD8">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3E7D0F0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溶解氧</w:t>
            </w:r>
          </w:p>
        </w:tc>
        <w:tc>
          <w:tcPr>
            <w:tcW w:w="317" w:type="pct"/>
            <w:tcBorders>
              <w:tl2br w:val="nil"/>
              <w:tr2bl w:val="nil"/>
            </w:tcBorders>
            <w:shd w:val="clear" w:color="auto" w:fill="auto"/>
            <w:vAlign w:val="center"/>
          </w:tcPr>
          <w:p w14:paraId="134470C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B9F951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11.20</w:t>
            </w:r>
          </w:p>
        </w:tc>
        <w:tc>
          <w:tcPr>
            <w:tcW w:w="452" w:type="pct"/>
            <w:tcBorders>
              <w:tl2br w:val="nil"/>
              <w:tr2bl w:val="nil"/>
            </w:tcBorders>
            <w:shd w:val="clear" w:color="auto" w:fill="auto"/>
            <w:vAlign w:val="center"/>
          </w:tcPr>
          <w:p w14:paraId="12C071D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10.59</w:t>
            </w:r>
          </w:p>
        </w:tc>
        <w:tc>
          <w:tcPr>
            <w:tcW w:w="452" w:type="pct"/>
            <w:tcBorders>
              <w:tl2br w:val="nil"/>
              <w:tr2bl w:val="nil"/>
            </w:tcBorders>
            <w:shd w:val="clear" w:color="auto" w:fill="auto"/>
            <w:vAlign w:val="center"/>
          </w:tcPr>
          <w:p w14:paraId="14E1C20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10.19</w:t>
            </w:r>
          </w:p>
        </w:tc>
        <w:tc>
          <w:tcPr>
            <w:tcW w:w="327" w:type="pct"/>
            <w:tcBorders>
              <w:tl2br w:val="nil"/>
              <w:tr2bl w:val="nil"/>
            </w:tcBorders>
            <w:shd w:val="clear" w:color="auto" w:fill="auto"/>
            <w:vAlign w:val="center"/>
          </w:tcPr>
          <w:p w14:paraId="6B216F4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1"/>
                <w:sz w:val="21"/>
                <w:szCs w:val="21"/>
                <w:lang w:val="en-US" w:eastAsia="zh-CN"/>
              </w:rPr>
            </w:pPr>
            <w:r>
              <w:rPr>
                <w:rFonts w:hint="eastAsia" w:eastAsia="宋体" w:cs="Times New Roman"/>
                <w:spacing w:val="1"/>
                <w:sz w:val="21"/>
                <w:szCs w:val="21"/>
                <w:lang w:val="en-US" w:eastAsia="zh-CN"/>
              </w:rPr>
              <w:t>0.50</w:t>
            </w:r>
          </w:p>
        </w:tc>
        <w:tc>
          <w:tcPr>
            <w:tcW w:w="468" w:type="pct"/>
            <w:tcBorders>
              <w:tl2br w:val="nil"/>
              <w:tr2bl w:val="nil"/>
            </w:tcBorders>
            <w:shd w:val="clear" w:color="auto" w:fill="auto"/>
            <w:vAlign w:val="center"/>
          </w:tcPr>
          <w:p w14:paraId="478B7F5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7D56217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8E53CE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067715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≥5</w:t>
            </w:r>
          </w:p>
        </w:tc>
      </w:tr>
      <w:tr w14:paraId="2E6689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864EF72">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AC4D39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化学需氧量</w:t>
            </w:r>
          </w:p>
        </w:tc>
        <w:tc>
          <w:tcPr>
            <w:tcW w:w="317" w:type="pct"/>
            <w:tcBorders>
              <w:tl2br w:val="nil"/>
              <w:tr2bl w:val="nil"/>
            </w:tcBorders>
            <w:shd w:val="clear" w:color="auto" w:fill="auto"/>
            <w:vAlign w:val="center"/>
          </w:tcPr>
          <w:p w14:paraId="02E9EBF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9FC088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w:t>
            </w:r>
          </w:p>
        </w:tc>
        <w:tc>
          <w:tcPr>
            <w:tcW w:w="452" w:type="pct"/>
            <w:tcBorders>
              <w:tl2br w:val="nil"/>
              <w:tr2bl w:val="nil"/>
            </w:tcBorders>
            <w:shd w:val="clear" w:color="auto" w:fill="auto"/>
            <w:vAlign w:val="center"/>
          </w:tcPr>
          <w:p w14:paraId="1350E47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w:t>
            </w:r>
          </w:p>
        </w:tc>
        <w:tc>
          <w:tcPr>
            <w:tcW w:w="452" w:type="pct"/>
            <w:tcBorders>
              <w:tl2br w:val="nil"/>
              <w:tr2bl w:val="nil"/>
            </w:tcBorders>
            <w:shd w:val="clear" w:color="auto" w:fill="auto"/>
            <w:vAlign w:val="center"/>
          </w:tcPr>
          <w:p w14:paraId="38373C7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9</w:t>
            </w:r>
          </w:p>
        </w:tc>
        <w:tc>
          <w:tcPr>
            <w:tcW w:w="327" w:type="pct"/>
            <w:tcBorders>
              <w:tl2br w:val="nil"/>
              <w:tr2bl w:val="nil"/>
            </w:tcBorders>
            <w:shd w:val="clear" w:color="auto" w:fill="auto"/>
            <w:vAlign w:val="center"/>
          </w:tcPr>
          <w:p w14:paraId="163BE02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0.45</w:t>
            </w:r>
          </w:p>
        </w:tc>
        <w:tc>
          <w:tcPr>
            <w:tcW w:w="468" w:type="pct"/>
            <w:tcBorders>
              <w:tl2br w:val="nil"/>
              <w:tr2bl w:val="nil"/>
            </w:tcBorders>
            <w:shd w:val="clear" w:color="auto" w:fill="auto"/>
            <w:vAlign w:val="center"/>
          </w:tcPr>
          <w:p w14:paraId="038640E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3A19B05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7170C7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B3E57C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≤20</w:t>
            </w:r>
          </w:p>
        </w:tc>
      </w:tr>
      <w:tr w14:paraId="224B67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6B328FD">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CF0993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高锰酸盐指数</w:t>
            </w:r>
          </w:p>
        </w:tc>
        <w:tc>
          <w:tcPr>
            <w:tcW w:w="317" w:type="pct"/>
            <w:tcBorders>
              <w:tl2br w:val="nil"/>
              <w:tr2bl w:val="nil"/>
            </w:tcBorders>
            <w:shd w:val="clear" w:color="auto" w:fill="auto"/>
            <w:vAlign w:val="center"/>
          </w:tcPr>
          <w:p w14:paraId="2656A73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743AEB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1.2</w:t>
            </w:r>
          </w:p>
        </w:tc>
        <w:tc>
          <w:tcPr>
            <w:tcW w:w="452" w:type="pct"/>
            <w:tcBorders>
              <w:tl2br w:val="nil"/>
              <w:tr2bl w:val="nil"/>
            </w:tcBorders>
            <w:shd w:val="clear" w:color="auto" w:fill="auto"/>
            <w:vAlign w:val="center"/>
          </w:tcPr>
          <w:p w14:paraId="456D8B7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w:t>
            </w:r>
          </w:p>
        </w:tc>
        <w:tc>
          <w:tcPr>
            <w:tcW w:w="452" w:type="pct"/>
            <w:tcBorders>
              <w:tl2br w:val="nil"/>
              <w:tr2bl w:val="nil"/>
            </w:tcBorders>
            <w:shd w:val="clear" w:color="auto" w:fill="auto"/>
            <w:vAlign w:val="center"/>
          </w:tcPr>
          <w:p w14:paraId="3CFC8A6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1.4</w:t>
            </w:r>
          </w:p>
        </w:tc>
        <w:tc>
          <w:tcPr>
            <w:tcW w:w="327" w:type="pct"/>
            <w:tcBorders>
              <w:tl2br w:val="nil"/>
              <w:tr2bl w:val="nil"/>
            </w:tcBorders>
            <w:shd w:val="clear" w:color="auto" w:fill="auto"/>
            <w:vAlign w:val="center"/>
          </w:tcPr>
          <w:p w14:paraId="493A235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0.233</w:t>
            </w:r>
          </w:p>
        </w:tc>
        <w:tc>
          <w:tcPr>
            <w:tcW w:w="468" w:type="pct"/>
            <w:tcBorders>
              <w:tl2br w:val="nil"/>
              <w:tr2bl w:val="nil"/>
            </w:tcBorders>
            <w:shd w:val="clear" w:color="auto" w:fill="auto"/>
            <w:vAlign w:val="center"/>
          </w:tcPr>
          <w:p w14:paraId="03D15C2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497C115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582D40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1C097B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≤6</w:t>
            </w:r>
          </w:p>
        </w:tc>
      </w:tr>
      <w:tr w14:paraId="3CEAE2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2A8AC4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E4BEF2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五日生化需氧量</w:t>
            </w:r>
          </w:p>
        </w:tc>
        <w:tc>
          <w:tcPr>
            <w:tcW w:w="317" w:type="pct"/>
            <w:tcBorders>
              <w:tl2br w:val="nil"/>
              <w:tr2bl w:val="nil"/>
            </w:tcBorders>
            <w:shd w:val="clear" w:color="auto" w:fill="auto"/>
            <w:vAlign w:val="center"/>
          </w:tcPr>
          <w:p w14:paraId="43368D8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DC4CE0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2.1</w:t>
            </w:r>
          </w:p>
        </w:tc>
        <w:tc>
          <w:tcPr>
            <w:tcW w:w="452" w:type="pct"/>
            <w:tcBorders>
              <w:tl2br w:val="nil"/>
              <w:tr2bl w:val="nil"/>
            </w:tcBorders>
            <w:shd w:val="clear" w:color="auto" w:fill="auto"/>
            <w:vAlign w:val="center"/>
          </w:tcPr>
          <w:p w14:paraId="767FDA1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w:t>
            </w:r>
          </w:p>
        </w:tc>
        <w:tc>
          <w:tcPr>
            <w:tcW w:w="452" w:type="pct"/>
            <w:tcBorders>
              <w:tl2br w:val="nil"/>
              <w:tr2bl w:val="nil"/>
            </w:tcBorders>
            <w:shd w:val="clear" w:color="auto" w:fill="auto"/>
            <w:vAlign w:val="center"/>
          </w:tcPr>
          <w:p w14:paraId="4610650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2.2</w:t>
            </w:r>
          </w:p>
        </w:tc>
        <w:tc>
          <w:tcPr>
            <w:tcW w:w="327" w:type="pct"/>
            <w:tcBorders>
              <w:tl2br w:val="nil"/>
              <w:tr2bl w:val="nil"/>
            </w:tcBorders>
            <w:shd w:val="clear" w:color="auto" w:fill="auto"/>
            <w:vAlign w:val="center"/>
          </w:tcPr>
          <w:p w14:paraId="1651CC6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0.55</w:t>
            </w:r>
          </w:p>
        </w:tc>
        <w:tc>
          <w:tcPr>
            <w:tcW w:w="468" w:type="pct"/>
            <w:tcBorders>
              <w:tl2br w:val="nil"/>
              <w:tr2bl w:val="nil"/>
            </w:tcBorders>
            <w:shd w:val="clear" w:color="auto" w:fill="auto"/>
            <w:vAlign w:val="center"/>
          </w:tcPr>
          <w:p w14:paraId="1D0C9A4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6174E9A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BAB0E6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F9F15E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≤4</w:t>
            </w:r>
          </w:p>
        </w:tc>
      </w:tr>
      <w:tr w14:paraId="2B4B24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C5E741E">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DCE230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石油类</w:t>
            </w:r>
          </w:p>
        </w:tc>
        <w:tc>
          <w:tcPr>
            <w:tcW w:w="317" w:type="pct"/>
            <w:tcBorders>
              <w:tl2br w:val="nil"/>
              <w:tr2bl w:val="nil"/>
            </w:tcBorders>
            <w:shd w:val="clear" w:color="auto" w:fill="auto"/>
            <w:vAlign w:val="center"/>
          </w:tcPr>
          <w:p w14:paraId="285DCC1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0BEEF1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5F89C23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58577AC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26C03FD5">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w:t>
            </w:r>
          </w:p>
        </w:tc>
        <w:tc>
          <w:tcPr>
            <w:tcW w:w="468" w:type="pct"/>
            <w:tcBorders>
              <w:tl2br w:val="nil"/>
              <w:tr2bl w:val="nil"/>
            </w:tcBorders>
            <w:shd w:val="clear" w:color="auto" w:fill="auto"/>
            <w:vAlign w:val="center"/>
          </w:tcPr>
          <w:p w14:paraId="6C3D20C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0801FA3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32A94C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C06335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05C08F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B07C408">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9767E8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阴离子表面活性剂</w:t>
            </w:r>
          </w:p>
        </w:tc>
        <w:tc>
          <w:tcPr>
            <w:tcW w:w="317" w:type="pct"/>
            <w:tcBorders>
              <w:tl2br w:val="nil"/>
              <w:tr2bl w:val="nil"/>
            </w:tcBorders>
            <w:shd w:val="clear" w:color="auto" w:fill="auto"/>
            <w:vAlign w:val="center"/>
          </w:tcPr>
          <w:p w14:paraId="12069BD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144CF3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182393D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53D01B0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327" w:type="pct"/>
            <w:tcBorders>
              <w:tl2br w:val="nil"/>
              <w:tr2bl w:val="nil"/>
            </w:tcBorders>
            <w:shd w:val="clear" w:color="auto" w:fill="auto"/>
            <w:vAlign w:val="center"/>
          </w:tcPr>
          <w:p w14:paraId="70F0EA5B">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0.125</w:t>
            </w:r>
          </w:p>
        </w:tc>
        <w:tc>
          <w:tcPr>
            <w:tcW w:w="468" w:type="pct"/>
            <w:tcBorders>
              <w:tl2br w:val="nil"/>
              <w:tr2bl w:val="nil"/>
            </w:tcBorders>
            <w:shd w:val="clear" w:color="auto" w:fill="auto"/>
            <w:vAlign w:val="center"/>
          </w:tcPr>
          <w:p w14:paraId="30A75A5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25493A0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8CC800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BCAD9B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514098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95E0E44">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F6E339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总氮</w:t>
            </w:r>
          </w:p>
        </w:tc>
        <w:tc>
          <w:tcPr>
            <w:tcW w:w="317" w:type="pct"/>
            <w:tcBorders>
              <w:tl2br w:val="nil"/>
              <w:tr2bl w:val="nil"/>
            </w:tcBorders>
            <w:shd w:val="clear" w:color="auto" w:fill="auto"/>
            <w:vAlign w:val="center"/>
          </w:tcPr>
          <w:p w14:paraId="663C027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692EAF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0.93</w:t>
            </w:r>
          </w:p>
        </w:tc>
        <w:tc>
          <w:tcPr>
            <w:tcW w:w="452" w:type="pct"/>
            <w:tcBorders>
              <w:tl2br w:val="nil"/>
              <w:tr2bl w:val="nil"/>
            </w:tcBorders>
            <w:shd w:val="clear" w:color="auto" w:fill="auto"/>
            <w:vAlign w:val="center"/>
          </w:tcPr>
          <w:p w14:paraId="2C188AF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0.92</w:t>
            </w:r>
          </w:p>
        </w:tc>
        <w:tc>
          <w:tcPr>
            <w:tcW w:w="452" w:type="pct"/>
            <w:tcBorders>
              <w:tl2br w:val="nil"/>
              <w:tr2bl w:val="nil"/>
            </w:tcBorders>
            <w:shd w:val="clear" w:color="auto" w:fill="auto"/>
            <w:vAlign w:val="center"/>
          </w:tcPr>
          <w:p w14:paraId="2794DB6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0.93</w:t>
            </w:r>
          </w:p>
        </w:tc>
        <w:tc>
          <w:tcPr>
            <w:tcW w:w="327" w:type="pct"/>
            <w:tcBorders>
              <w:tl2br w:val="nil"/>
              <w:tr2bl w:val="nil"/>
            </w:tcBorders>
            <w:shd w:val="clear" w:color="auto" w:fill="auto"/>
            <w:vAlign w:val="center"/>
          </w:tcPr>
          <w:p w14:paraId="05B53E1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0.93</w:t>
            </w:r>
          </w:p>
        </w:tc>
        <w:tc>
          <w:tcPr>
            <w:tcW w:w="468" w:type="pct"/>
            <w:tcBorders>
              <w:tl2br w:val="nil"/>
              <w:tr2bl w:val="nil"/>
            </w:tcBorders>
            <w:shd w:val="clear" w:color="auto" w:fill="auto"/>
            <w:vAlign w:val="center"/>
          </w:tcPr>
          <w:p w14:paraId="3FB07D0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6B47C2E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7D850E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A28CD1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177452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29FBE1D">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8EEC26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氨氮</w:t>
            </w:r>
          </w:p>
        </w:tc>
        <w:tc>
          <w:tcPr>
            <w:tcW w:w="317" w:type="pct"/>
            <w:tcBorders>
              <w:tl2br w:val="nil"/>
              <w:tr2bl w:val="nil"/>
            </w:tcBorders>
            <w:shd w:val="clear" w:color="auto" w:fill="auto"/>
            <w:vAlign w:val="center"/>
          </w:tcPr>
          <w:p w14:paraId="3388F1B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63DB1A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0.41</w:t>
            </w:r>
          </w:p>
        </w:tc>
        <w:tc>
          <w:tcPr>
            <w:tcW w:w="452" w:type="pct"/>
            <w:tcBorders>
              <w:tl2br w:val="nil"/>
              <w:tr2bl w:val="nil"/>
            </w:tcBorders>
            <w:shd w:val="clear" w:color="auto" w:fill="auto"/>
            <w:vAlign w:val="center"/>
          </w:tcPr>
          <w:p w14:paraId="193A4AD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0.44</w:t>
            </w:r>
          </w:p>
        </w:tc>
        <w:tc>
          <w:tcPr>
            <w:tcW w:w="452" w:type="pct"/>
            <w:tcBorders>
              <w:tl2br w:val="nil"/>
              <w:tr2bl w:val="nil"/>
            </w:tcBorders>
            <w:shd w:val="clear" w:color="auto" w:fill="auto"/>
            <w:vAlign w:val="center"/>
          </w:tcPr>
          <w:p w14:paraId="1C21E6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0.42</w:t>
            </w:r>
          </w:p>
        </w:tc>
        <w:tc>
          <w:tcPr>
            <w:tcW w:w="327" w:type="pct"/>
            <w:tcBorders>
              <w:tl2br w:val="nil"/>
              <w:tr2bl w:val="nil"/>
            </w:tcBorders>
            <w:shd w:val="clear" w:color="auto" w:fill="auto"/>
            <w:vAlign w:val="center"/>
          </w:tcPr>
          <w:p w14:paraId="25AA765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0.44</w:t>
            </w:r>
          </w:p>
        </w:tc>
        <w:tc>
          <w:tcPr>
            <w:tcW w:w="468" w:type="pct"/>
            <w:tcBorders>
              <w:tl2br w:val="nil"/>
              <w:tr2bl w:val="nil"/>
            </w:tcBorders>
            <w:shd w:val="clear" w:color="auto" w:fill="auto"/>
            <w:vAlign w:val="center"/>
          </w:tcPr>
          <w:p w14:paraId="564FE1B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2A49D0F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B9A33F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AF7216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579942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1023141">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82486C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总磷</w:t>
            </w:r>
          </w:p>
        </w:tc>
        <w:tc>
          <w:tcPr>
            <w:tcW w:w="317" w:type="pct"/>
            <w:tcBorders>
              <w:tl2br w:val="nil"/>
              <w:tr2bl w:val="nil"/>
            </w:tcBorders>
            <w:shd w:val="clear" w:color="auto" w:fill="auto"/>
            <w:vAlign w:val="center"/>
          </w:tcPr>
          <w:p w14:paraId="0BA6B6D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0E0A66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0.16</w:t>
            </w:r>
          </w:p>
        </w:tc>
        <w:tc>
          <w:tcPr>
            <w:tcW w:w="452" w:type="pct"/>
            <w:tcBorders>
              <w:tl2br w:val="nil"/>
              <w:tr2bl w:val="nil"/>
            </w:tcBorders>
            <w:shd w:val="clear" w:color="auto" w:fill="auto"/>
            <w:vAlign w:val="center"/>
          </w:tcPr>
          <w:p w14:paraId="5216F90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0.15</w:t>
            </w:r>
          </w:p>
        </w:tc>
        <w:tc>
          <w:tcPr>
            <w:tcW w:w="452" w:type="pct"/>
            <w:tcBorders>
              <w:tl2br w:val="nil"/>
              <w:tr2bl w:val="nil"/>
            </w:tcBorders>
            <w:shd w:val="clear" w:color="auto" w:fill="auto"/>
            <w:vAlign w:val="center"/>
          </w:tcPr>
          <w:p w14:paraId="55C5BF6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0.14</w:t>
            </w:r>
          </w:p>
        </w:tc>
        <w:tc>
          <w:tcPr>
            <w:tcW w:w="327" w:type="pct"/>
            <w:tcBorders>
              <w:tl2br w:val="nil"/>
              <w:tr2bl w:val="nil"/>
            </w:tcBorders>
            <w:shd w:val="clear" w:color="auto" w:fill="auto"/>
            <w:vAlign w:val="center"/>
          </w:tcPr>
          <w:p w14:paraId="4F4B0C09">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0.8</w:t>
            </w:r>
          </w:p>
        </w:tc>
        <w:tc>
          <w:tcPr>
            <w:tcW w:w="468" w:type="pct"/>
            <w:tcBorders>
              <w:tl2br w:val="nil"/>
              <w:tr2bl w:val="nil"/>
            </w:tcBorders>
            <w:shd w:val="clear" w:color="auto" w:fill="auto"/>
            <w:vAlign w:val="center"/>
          </w:tcPr>
          <w:p w14:paraId="63071EE6">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004CC65E">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A621384">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1F1BFF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≤0.2</w:t>
            </w:r>
          </w:p>
          <w:p w14:paraId="00A4AA02">
            <w:pPr>
              <w:pStyle w:val="197"/>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宋体" w:hAnsi="宋体" w:eastAsia="宋体" w:cs="宋体"/>
                <w:color w:val="auto"/>
                <w:kern w:val="2"/>
                <w:sz w:val="21"/>
                <w:szCs w:val="21"/>
                <w:lang w:val="en-US" w:eastAsia="zh-CN" w:bidi="ar-SA"/>
              </w:rPr>
            </w:pPr>
            <w:r>
              <w:rPr>
                <w:spacing w:val="-2"/>
                <w:sz w:val="21"/>
                <w:szCs w:val="21"/>
              </w:rPr>
              <w:t>（湖、库</w:t>
            </w:r>
            <w:r>
              <w:rPr>
                <w:rFonts w:ascii="Times New Roman" w:hAnsi="Times New Roman" w:eastAsia="Times New Roman" w:cs="Times New Roman"/>
                <w:spacing w:val="-2"/>
                <w:sz w:val="21"/>
                <w:szCs w:val="21"/>
              </w:rPr>
              <w:t>0.05</w:t>
            </w:r>
            <w:r>
              <w:rPr>
                <w:spacing w:val="-2"/>
                <w:sz w:val="21"/>
                <w:szCs w:val="21"/>
              </w:rPr>
              <w:t>）</w:t>
            </w:r>
          </w:p>
        </w:tc>
      </w:tr>
      <w:tr w14:paraId="283211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A856AB2">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4213AA5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粪大肠菌群</w:t>
            </w:r>
          </w:p>
        </w:tc>
        <w:tc>
          <w:tcPr>
            <w:tcW w:w="317" w:type="pct"/>
            <w:tcBorders>
              <w:tl2br w:val="nil"/>
              <w:tr2bl w:val="nil"/>
            </w:tcBorders>
            <w:shd w:val="clear" w:color="auto" w:fill="auto"/>
            <w:vAlign w:val="center"/>
          </w:tcPr>
          <w:p w14:paraId="4C89368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MPN/L</w:t>
            </w:r>
          </w:p>
        </w:tc>
        <w:tc>
          <w:tcPr>
            <w:tcW w:w="452" w:type="pct"/>
            <w:tcBorders>
              <w:tl2br w:val="nil"/>
              <w:tr2bl w:val="nil"/>
            </w:tcBorders>
            <w:shd w:val="clear" w:color="auto" w:fill="auto"/>
            <w:vAlign w:val="center"/>
          </w:tcPr>
          <w:p w14:paraId="145041B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4.7×10</w:t>
            </w:r>
            <w:r>
              <w:rPr>
                <w:vertAlign w:val="superscript"/>
              </w:rPr>
              <w:t>2</w:t>
            </w:r>
          </w:p>
        </w:tc>
        <w:tc>
          <w:tcPr>
            <w:tcW w:w="452" w:type="pct"/>
            <w:tcBorders>
              <w:tl2br w:val="nil"/>
              <w:tr2bl w:val="nil"/>
            </w:tcBorders>
            <w:shd w:val="clear" w:color="auto" w:fill="auto"/>
            <w:vAlign w:val="center"/>
          </w:tcPr>
          <w:p w14:paraId="78FBDFB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4.5×10</w:t>
            </w:r>
            <w:r>
              <w:rPr>
                <w:vertAlign w:val="superscript"/>
              </w:rPr>
              <w:t>2</w:t>
            </w:r>
          </w:p>
        </w:tc>
        <w:tc>
          <w:tcPr>
            <w:tcW w:w="452" w:type="pct"/>
            <w:tcBorders>
              <w:tl2br w:val="nil"/>
              <w:tr2bl w:val="nil"/>
            </w:tcBorders>
            <w:shd w:val="clear" w:color="auto" w:fill="auto"/>
            <w:vAlign w:val="center"/>
          </w:tcPr>
          <w:p w14:paraId="09810A2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4.8×10</w:t>
            </w:r>
            <w:r>
              <w:rPr>
                <w:vertAlign w:val="superscript"/>
              </w:rPr>
              <w:t>2</w:t>
            </w:r>
          </w:p>
        </w:tc>
        <w:tc>
          <w:tcPr>
            <w:tcW w:w="327" w:type="pct"/>
            <w:tcBorders>
              <w:tl2br w:val="nil"/>
              <w:tr2bl w:val="nil"/>
            </w:tcBorders>
            <w:shd w:val="clear" w:color="auto" w:fill="auto"/>
            <w:vAlign w:val="center"/>
          </w:tcPr>
          <w:p w14:paraId="15FCE780">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0.048</w:t>
            </w:r>
          </w:p>
        </w:tc>
        <w:tc>
          <w:tcPr>
            <w:tcW w:w="468" w:type="pct"/>
            <w:tcBorders>
              <w:tl2br w:val="nil"/>
              <w:tr2bl w:val="nil"/>
            </w:tcBorders>
            <w:shd w:val="clear" w:color="auto" w:fill="auto"/>
            <w:vAlign w:val="center"/>
          </w:tcPr>
          <w:p w14:paraId="2748AD1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lang w:val="en-US" w:eastAsia="zh-CN"/>
              </w:rPr>
              <w:t>0</w:t>
            </w:r>
          </w:p>
        </w:tc>
        <w:tc>
          <w:tcPr>
            <w:tcW w:w="525" w:type="pct"/>
            <w:tcBorders>
              <w:tl2br w:val="nil"/>
              <w:tr2bl w:val="nil"/>
            </w:tcBorders>
            <w:shd w:val="clear" w:color="auto" w:fill="auto"/>
            <w:vAlign w:val="center"/>
          </w:tcPr>
          <w:p w14:paraId="5B51405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D36C65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022BC5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≤10000</w:t>
            </w:r>
          </w:p>
        </w:tc>
      </w:tr>
      <w:tr w14:paraId="17FFF9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AD266AE">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3FC4B0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rPr>
                <w:rFonts w:hint="eastAsia" w:eastAsiaTheme="minorEastAsia"/>
                <w:lang w:val="en-US" w:eastAsia="zh-CN"/>
              </w:rPr>
              <w:t>氟化物</w:t>
            </w:r>
          </w:p>
        </w:tc>
        <w:tc>
          <w:tcPr>
            <w:tcW w:w="317" w:type="pct"/>
            <w:tcBorders>
              <w:tl2br w:val="nil"/>
              <w:tr2bl w:val="nil"/>
            </w:tcBorders>
            <w:shd w:val="clear" w:color="auto" w:fill="auto"/>
            <w:vAlign w:val="center"/>
          </w:tcPr>
          <w:p w14:paraId="7446EB3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7C112F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0.56</w:t>
            </w:r>
          </w:p>
        </w:tc>
        <w:tc>
          <w:tcPr>
            <w:tcW w:w="452" w:type="pct"/>
            <w:tcBorders>
              <w:tl2br w:val="nil"/>
              <w:tr2bl w:val="nil"/>
            </w:tcBorders>
            <w:shd w:val="clear" w:color="auto" w:fill="auto"/>
            <w:vAlign w:val="center"/>
          </w:tcPr>
          <w:p w14:paraId="275DB83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0.53</w:t>
            </w:r>
          </w:p>
        </w:tc>
        <w:tc>
          <w:tcPr>
            <w:tcW w:w="452" w:type="pct"/>
            <w:tcBorders>
              <w:tl2br w:val="nil"/>
              <w:tr2bl w:val="nil"/>
            </w:tcBorders>
            <w:shd w:val="clear" w:color="auto" w:fill="auto"/>
            <w:vAlign w:val="center"/>
          </w:tcPr>
          <w:p w14:paraId="1D05A92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0.48</w:t>
            </w:r>
          </w:p>
        </w:tc>
        <w:tc>
          <w:tcPr>
            <w:tcW w:w="327" w:type="pct"/>
            <w:tcBorders>
              <w:tl2br w:val="nil"/>
              <w:tr2bl w:val="nil"/>
            </w:tcBorders>
            <w:shd w:val="clear" w:color="auto" w:fill="auto"/>
            <w:vAlign w:val="center"/>
          </w:tcPr>
          <w:p w14:paraId="31ED2AD5">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0.56</w:t>
            </w:r>
          </w:p>
        </w:tc>
        <w:tc>
          <w:tcPr>
            <w:tcW w:w="468" w:type="pct"/>
            <w:tcBorders>
              <w:tl2br w:val="nil"/>
              <w:tr2bl w:val="nil"/>
            </w:tcBorders>
            <w:shd w:val="clear" w:color="auto" w:fill="auto"/>
            <w:vAlign w:val="center"/>
          </w:tcPr>
          <w:p w14:paraId="58423D4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67E4CBF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A5AA95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9418DD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262016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060AEE7">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53B14A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挥发酚</w:t>
            </w:r>
          </w:p>
        </w:tc>
        <w:tc>
          <w:tcPr>
            <w:tcW w:w="317" w:type="pct"/>
            <w:tcBorders>
              <w:tl2br w:val="nil"/>
              <w:tr2bl w:val="nil"/>
            </w:tcBorders>
            <w:shd w:val="clear" w:color="auto" w:fill="auto"/>
            <w:vAlign w:val="center"/>
          </w:tcPr>
          <w:p w14:paraId="1A0BCB6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A55942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75D4215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61BD719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327" w:type="pct"/>
            <w:tcBorders>
              <w:tl2br w:val="nil"/>
              <w:tr2bl w:val="nil"/>
            </w:tcBorders>
            <w:shd w:val="clear" w:color="auto" w:fill="auto"/>
            <w:vAlign w:val="center"/>
          </w:tcPr>
          <w:p w14:paraId="19A0451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0.03</w:t>
            </w:r>
          </w:p>
        </w:tc>
        <w:tc>
          <w:tcPr>
            <w:tcW w:w="468" w:type="pct"/>
            <w:tcBorders>
              <w:tl2br w:val="nil"/>
              <w:tr2bl w:val="nil"/>
            </w:tcBorders>
            <w:shd w:val="clear" w:color="auto" w:fill="auto"/>
            <w:vAlign w:val="center"/>
          </w:tcPr>
          <w:p w14:paraId="2281EC8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79B8976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B5EE15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B51EEF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65049D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AE9F42B">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C66B71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氰化物</w:t>
            </w:r>
          </w:p>
        </w:tc>
        <w:tc>
          <w:tcPr>
            <w:tcW w:w="317" w:type="pct"/>
            <w:tcBorders>
              <w:tl2br w:val="nil"/>
              <w:tr2bl w:val="nil"/>
            </w:tcBorders>
            <w:shd w:val="clear" w:color="auto" w:fill="auto"/>
            <w:vAlign w:val="center"/>
          </w:tcPr>
          <w:p w14:paraId="3EA026C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83D2ED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1C2D801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5930089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73FF9712">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0.01</w:t>
            </w:r>
          </w:p>
        </w:tc>
        <w:tc>
          <w:tcPr>
            <w:tcW w:w="468" w:type="pct"/>
            <w:tcBorders>
              <w:tl2br w:val="nil"/>
              <w:tr2bl w:val="nil"/>
            </w:tcBorders>
            <w:shd w:val="clear" w:color="auto" w:fill="auto"/>
            <w:vAlign w:val="center"/>
          </w:tcPr>
          <w:p w14:paraId="571ED0A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3783AB2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979982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79BF337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731789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642497E">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543C310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硫化物</w:t>
            </w:r>
          </w:p>
        </w:tc>
        <w:tc>
          <w:tcPr>
            <w:tcW w:w="317" w:type="pct"/>
            <w:tcBorders>
              <w:tl2br w:val="nil"/>
              <w:tr2bl w:val="nil"/>
            </w:tcBorders>
            <w:shd w:val="clear" w:color="auto" w:fill="auto"/>
            <w:vAlign w:val="center"/>
          </w:tcPr>
          <w:p w14:paraId="486D218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96919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5C0AECE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42ACD95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12F5728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0.025</w:t>
            </w:r>
          </w:p>
        </w:tc>
        <w:tc>
          <w:tcPr>
            <w:tcW w:w="468" w:type="pct"/>
            <w:tcBorders>
              <w:tl2br w:val="nil"/>
              <w:tr2bl w:val="nil"/>
            </w:tcBorders>
            <w:shd w:val="clear" w:color="auto" w:fill="auto"/>
            <w:vAlign w:val="center"/>
          </w:tcPr>
          <w:p w14:paraId="6F84862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30BE349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162990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5C8D13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5F322E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3D62DC5">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20DE25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汞</w:t>
            </w:r>
          </w:p>
        </w:tc>
        <w:tc>
          <w:tcPr>
            <w:tcW w:w="317" w:type="pct"/>
            <w:tcBorders>
              <w:tl2br w:val="nil"/>
              <w:tr2bl w:val="nil"/>
            </w:tcBorders>
            <w:shd w:val="clear" w:color="auto" w:fill="auto"/>
            <w:vAlign w:val="center"/>
          </w:tcPr>
          <w:p w14:paraId="3901AA2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4FA1F5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317C2B9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634C998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327" w:type="pct"/>
            <w:tcBorders>
              <w:tl2br w:val="nil"/>
              <w:tr2bl w:val="nil"/>
            </w:tcBorders>
            <w:shd w:val="clear" w:color="auto" w:fill="auto"/>
            <w:vAlign w:val="center"/>
          </w:tcPr>
          <w:p w14:paraId="0220852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w:t>
            </w:r>
          </w:p>
        </w:tc>
        <w:tc>
          <w:tcPr>
            <w:tcW w:w="468" w:type="pct"/>
            <w:tcBorders>
              <w:tl2br w:val="nil"/>
              <w:tr2bl w:val="nil"/>
            </w:tcBorders>
            <w:shd w:val="clear" w:color="auto" w:fill="auto"/>
            <w:vAlign w:val="center"/>
          </w:tcPr>
          <w:p w14:paraId="55E7E04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18D969E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43AF80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7DB4C4C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≤0.0001</w:t>
            </w:r>
          </w:p>
        </w:tc>
      </w:tr>
      <w:tr w14:paraId="741ED7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141CB3B">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3D9BA5D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镉</w:t>
            </w:r>
          </w:p>
        </w:tc>
        <w:tc>
          <w:tcPr>
            <w:tcW w:w="317" w:type="pct"/>
            <w:tcBorders>
              <w:tl2br w:val="nil"/>
              <w:tr2bl w:val="nil"/>
            </w:tcBorders>
            <w:shd w:val="clear" w:color="auto" w:fill="auto"/>
            <w:vAlign w:val="center"/>
          </w:tcPr>
          <w:p w14:paraId="7BC5E8D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580773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372AA24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4A58ACB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327" w:type="pct"/>
            <w:tcBorders>
              <w:tl2br w:val="nil"/>
              <w:tr2bl w:val="nil"/>
            </w:tcBorders>
            <w:shd w:val="clear" w:color="auto" w:fill="auto"/>
            <w:vAlign w:val="center"/>
          </w:tcPr>
          <w:p w14:paraId="1046952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0.005</w:t>
            </w:r>
          </w:p>
        </w:tc>
        <w:tc>
          <w:tcPr>
            <w:tcW w:w="468" w:type="pct"/>
            <w:tcBorders>
              <w:tl2br w:val="nil"/>
              <w:tr2bl w:val="nil"/>
            </w:tcBorders>
            <w:shd w:val="clear" w:color="auto" w:fill="auto"/>
            <w:vAlign w:val="center"/>
          </w:tcPr>
          <w:p w14:paraId="6BC508F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57A9DCD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1CC6AB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B8A70F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7E9E71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C8A4D29">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4DC2C99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六价铬</w:t>
            </w:r>
          </w:p>
        </w:tc>
        <w:tc>
          <w:tcPr>
            <w:tcW w:w="317" w:type="pct"/>
            <w:tcBorders>
              <w:tl2br w:val="nil"/>
              <w:tr2bl w:val="nil"/>
            </w:tcBorders>
            <w:shd w:val="clear" w:color="auto" w:fill="auto"/>
            <w:vAlign w:val="center"/>
          </w:tcPr>
          <w:p w14:paraId="2F01FD5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2C5278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75CA8D0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0439B7E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2F9DCFE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w:t>
            </w:r>
          </w:p>
        </w:tc>
        <w:tc>
          <w:tcPr>
            <w:tcW w:w="468" w:type="pct"/>
            <w:tcBorders>
              <w:tl2br w:val="nil"/>
              <w:tr2bl w:val="nil"/>
            </w:tcBorders>
            <w:shd w:val="clear" w:color="auto" w:fill="auto"/>
            <w:vAlign w:val="center"/>
          </w:tcPr>
          <w:p w14:paraId="45FFD60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24FE02D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755379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2521EB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46F9B9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87CC708">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236A6CD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硒</w:t>
            </w:r>
          </w:p>
        </w:tc>
        <w:tc>
          <w:tcPr>
            <w:tcW w:w="317" w:type="pct"/>
            <w:tcBorders>
              <w:tl2br w:val="nil"/>
              <w:tr2bl w:val="nil"/>
            </w:tcBorders>
            <w:shd w:val="clear" w:color="auto" w:fill="auto"/>
            <w:vAlign w:val="center"/>
          </w:tcPr>
          <w:p w14:paraId="5EC6757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040B27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1F4335D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66FAC67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327" w:type="pct"/>
            <w:tcBorders>
              <w:tl2br w:val="nil"/>
              <w:tr2bl w:val="nil"/>
            </w:tcBorders>
            <w:shd w:val="clear" w:color="auto" w:fill="auto"/>
            <w:vAlign w:val="center"/>
          </w:tcPr>
          <w:p w14:paraId="0E28716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0.0205</w:t>
            </w:r>
          </w:p>
        </w:tc>
        <w:tc>
          <w:tcPr>
            <w:tcW w:w="468" w:type="pct"/>
            <w:tcBorders>
              <w:tl2br w:val="nil"/>
              <w:tr2bl w:val="nil"/>
            </w:tcBorders>
            <w:shd w:val="clear" w:color="auto" w:fill="auto"/>
            <w:vAlign w:val="center"/>
          </w:tcPr>
          <w:p w14:paraId="3795FB0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663F42D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C570AE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B8156D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≤0.01</w:t>
            </w:r>
          </w:p>
        </w:tc>
      </w:tr>
      <w:tr w14:paraId="2E6C1E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4672782">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E78251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砷</w:t>
            </w:r>
          </w:p>
        </w:tc>
        <w:tc>
          <w:tcPr>
            <w:tcW w:w="317" w:type="pct"/>
            <w:tcBorders>
              <w:tl2br w:val="nil"/>
              <w:tr2bl w:val="nil"/>
            </w:tcBorders>
            <w:shd w:val="clear" w:color="auto" w:fill="auto"/>
            <w:vAlign w:val="center"/>
          </w:tcPr>
          <w:p w14:paraId="56A5D82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D4FFCF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0.00321</w:t>
            </w:r>
          </w:p>
        </w:tc>
        <w:tc>
          <w:tcPr>
            <w:tcW w:w="452" w:type="pct"/>
            <w:tcBorders>
              <w:tl2br w:val="nil"/>
              <w:tr2bl w:val="nil"/>
            </w:tcBorders>
            <w:shd w:val="clear" w:color="auto" w:fill="auto"/>
            <w:vAlign w:val="center"/>
          </w:tcPr>
          <w:p w14:paraId="2776FDE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0.00331</w:t>
            </w:r>
          </w:p>
        </w:tc>
        <w:tc>
          <w:tcPr>
            <w:tcW w:w="452" w:type="pct"/>
            <w:tcBorders>
              <w:tl2br w:val="nil"/>
              <w:tr2bl w:val="nil"/>
            </w:tcBorders>
            <w:shd w:val="clear" w:color="auto" w:fill="auto"/>
            <w:vAlign w:val="center"/>
          </w:tcPr>
          <w:p w14:paraId="39EE0EB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0.00292</w:t>
            </w:r>
          </w:p>
        </w:tc>
        <w:tc>
          <w:tcPr>
            <w:tcW w:w="327" w:type="pct"/>
            <w:tcBorders>
              <w:tl2br w:val="nil"/>
              <w:tr2bl w:val="nil"/>
            </w:tcBorders>
            <w:shd w:val="clear" w:color="auto" w:fill="auto"/>
            <w:vAlign w:val="center"/>
          </w:tcPr>
          <w:p w14:paraId="76D6F06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0.0662</w:t>
            </w:r>
          </w:p>
        </w:tc>
        <w:tc>
          <w:tcPr>
            <w:tcW w:w="468" w:type="pct"/>
            <w:tcBorders>
              <w:tl2br w:val="nil"/>
              <w:tr2bl w:val="nil"/>
            </w:tcBorders>
            <w:shd w:val="clear" w:color="auto" w:fill="auto"/>
            <w:vAlign w:val="center"/>
          </w:tcPr>
          <w:p w14:paraId="3BA4B94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7F41C0B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A5214F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8DEEBD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3C50A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A5B27C7">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196B8D5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铅</w:t>
            </w:r>
          </w:p>
        </w:tc>
        <w:tc>
          <w:tcPr>
            <w:tcW w:w="317" w:type="pct"/>
            <w:tcBorders>
              <w:tl2br w:val="nil"/>
              <w:tr2bl w:val="nil"/>
            </w:tcBorders>
            <w:shd w:val="clear" w:color="auto" w:fill="auto"/>
            <w:vAlign w:val="center"/>
          </w:tcPr>
          <w:p w14:paraId="2CF2B23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91C616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38983A8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338D91A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327" w:type="pct"/>
            <w:tcBorders>
              <w:tl2br w:val="nil"/>
              <w:tr2bl w:val="nil"/>
            </w:tcBorders>
            <w:shd w:val="clear" w:color="auto" w:fill="auto"/>
            <w:vAlign w:val="center"/>
          </w:tcPr>
          <w:p w14:paraId="0E2DF30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0.0009</w:t>
            </w:r>
          </w:p>
        </w:tc>
        <w:tc>
          <w:tcPr>
            <w:tcW w:w="468" w:type="pct"/>
            <w:tcBorders>
              <w:tl2br w:val="nil"/>
              <w:tr2bl w:val="nil"/>
            </w:tcBorders>
            <w:shd w:val="clear" w:color="auto" w:fill="auto"/>
            <w:vAlign w:val="center"/>
          </w:tcPr>
          <w:p w14:paraId="74317C4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533E00E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7D6DAE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9667D3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D46C5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DDC167B">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73890E0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锌</w:t>
            </w:r>
          </w:p>
        </w:tc>
        <w:tc>
          <w:tcPr>
            <w:tcW w:w="317" w:type="pct"/>
            <w:tcBorders>
              <w:tl2br w:val="nil"/>
              <w:tr2bl w:val="nil"/>
            </w:tcBorders>
            <w:shd w:val="clear" w:color="auto" w:fill="auto"/>
            <w:vAlign w:val="center"/>
          </w:tcPr>
          <w:p w14:paraId="07F95C7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67EA0E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0.00327</w:t>
            </w:r>
          </w:p>
        </w:tc>
        <w:tc>
          <w:tcPr>
            <w:tcW w:w="452" w:type="pct"/>
            <w:tcBorders>
              <w:tl2br w:val="nil"/>
              <w:tr2bl w:val="nil"/>
            </w:tcBorders>
            <w:shd w:val="clear" w:color="auto" w:fill="auto"/>
            <w:vAlign w:val="center"/>
          </w:tcPr>
          <w:p w14:paraId="0332906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0.00261</w:t>
            </w:r>
          </w:p>
        </w:tc>
        <w:tc>
          <w:tcPr>
            <w:tcW w:w="452" w:type="pct"/>
            <w:tcBorders>
              <w:tl2br w:val="nil"/>
              <w:tr2bl w:val="nil"/>
            </w:tcBorders>
            <w:shd w:val="clear" w:color="auto" w:fill="auto"/>
            <w:vAlign w:val="center"/>
          </w:tcPr>
          <w:p w14:paraId="269F075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0.00262</w:t>
            </w:r>
          </w:p>
        </w:tc>
        <w:tc>
          <w:tcPr>
            <w:tcW w:w="327" w:type="pct"/>
            <w:tcBorders>
              <w:tl2br w:val="nil"/>
              <w:tr2bl w:val="nil"/>
            </w:tcBorders>
            <w:shd w:val="clear" w:color="auto" w:fill="auto"/>
            <w:vAlign w:val="center"/>
          </w:tcPr>
          <w:p w14:paraId="2BF64E7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0.00327</w:t>
            </w:r>
          </w:p>
        </w:tc>
        <w:tc>
          <w:tcPr>
            <w:tcW w:w="468" w:type="pct"/>
            <w:tcBorders>
              <w:tl2br w:val="nil"/>
              <w:tr2bl w:val="nil"/>
            </w:tcBorders>
            <w:shd w:val="clear" w:color="auto" w:fill="auto"/>
            <w:vAlign w:val="center"/>
          </w:tcPr>
          <w:p w14:paraId="7D36B04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0C81C8A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F27AC8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D92532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2DFCD6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AB958DC">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0C8D763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铜</w:t>
            </w:r>
          </w:p>
        </w:tc>
        <w:tc>
          <w:tcPr>
            <w:tcW w:w="317" w:type="pct"/>
            <w:tcBorders>
              <w:tl2br w:val="nil"/>
              <w:tr2bl w:val="nil"/>
            </w:tcBorders>
            <w:shd w:val="clear" w:color="auto" w:fill="auto"/>
            <w:vAlign w:val="center"/>
          </w:tcPr>
          <w:p w14:paraId="478156F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81C62A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0.0012</w:t>
            </w:r>
          </w:p>
        </w:tc>
        <w:tc>
          <w:tcPr>
            <w:tcW w:w="452" w:type="pct"/>
            <w:tcBorders>
              <w:tl2br w:val="nil"/>
              <w:tr2bl w:val="nil"/>
            </w:tcBorders>
            <w:shd w:val="clear" w:color="auto" w:fill="auto"/>
            <w:vAlign w:val="center"/>
          </w:tcPr>
          <w:p w14:paraId="09D14F3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0.00118</w:t>
            </w:r>
          </w:p>
        </w:tc>
        <w:tc>
          <w:tcPr>
            <w:tcW w:w="452" w:type="pct"/>
            <w:tcBorders>
              <w:tl2br w:val="nil"/>
              <w:tr2bl w:val="nil"/>
            </w:tcBorders>
            <w:shd w:val="clear" w:color="auto" w:fill="auto"/>
            <w:vAlign w:val="center"/>
          </w:tcPr>
          <w:p w14:paraId="55E6EED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0.00106</w:t>
            </w:r>
          </w:p>
        </w:tc>
        <w:tc>
          <w:tcPr>
            <w:tcW w:w="327" w:type="pct"/>
            <w:tcBorders>
              <w:tl2br w:val="nil"/>
              <w:tr2bl w:val="nil"/>
            </w:tcBorders>
            <w:shd w:val="clear" w:color="auto" w:fill="auto"/>
            <w:vAlign w:val="center"/>
          </w:tcPr>
          <w:p w14:paraId="582B0FA2">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0.0012</w:t>
            </w:r>
          </w:p>
        </w:tc>
        <w:tc>
          <w:tcPr>
            <w:tcW w:w="468" w:type="pct"/>
            <w:tcBorders>
              <w:tl2br w:val="nil"/>
              <w:tr2bl w:val="nil"/>
            </w:tcBorders>
            <w:shd w:val="clear" w:color="auto" w:fill="auto"/>
            <w:vAlign w:val="center"/>
          </w:tcPr>
          <w:p w14:paraId="56B62DF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7AE51B9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1D206D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419D92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20ABF1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F3F37D6">
            <w:pPr>
              <w:keepNext w:val="0"/>
              <w:keepLines w:val="0"/>
              <w:pageBreakBefore w:val="0"/>
              <w:widowControl/>
              <w:kinsoku/>
              <w:wordWrap/>
              <w:overflowPunct/>
              <w:autoSpaceDE/>
              <w:autoSpaceDN/>
              <w:bidi w:val="0"/>
              <w:spacing w:line="240" w:lineRule="auto"/>
              <w:ind w:left="0" w:firstLine="0" w:firstLineChars="0"/>
              <w:jc w:val="center"/>
              <w:textAlignment w:val="auto"/>
            </w:pPr>
          </w:p>
        </w:tc>
        <w:tc>
          <w:tcPr>
            <w:tcW w:w="681" w:type="pct"/>
            <w:tcBorders>
              <w:tl2br w:val="nil"/>
              <w:tr2bl w:val="nil"/>
            </w:tcBorders>
            <w:shd w:val="clear" w:color="auto" w:fill="auto"/>
            <w:vAlign w:val="center"/>
          </w:tcPr>
          <w:p w14:paraId="35B39DA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317" w:type="pct"/>
            <w:tcBorders>
              <w:tl2br w:val="nil"/>
              <w:tr2bl w:val="nil"/>
            </w:tcBorders>
            <w:shd w:val="clear" w:color="auto" w:fill="auto"/>
            <w:vAlign w:val="center"/>
          </w:tcPr>
          <w:p w14:paraId="7497FC0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2B8EA5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1B08915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29DAE87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327" w:type="pct"/>
            <w:tcBorders>
              <w:tl2br w:val="nil"/>
              <w:tr2bl w:val="nil"/>
            </w:tcBorders>
            <w:shd w:val="clear" w:color="auto" w:fill="auto"/>
            <w:vAlign w:val="center"/>
          </w:tcPr>
          <w:p w14:paraId="5B65F4D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0.0015</w:t>
            </w:r>
          </w:p>
        </w:tc>
        <w:tc>
          <w:tcPr>
            <w:tcW w:w="468" w:type="pct"/>
            <w:tcBorders>
              <w:tl2br w:val="nil"/>
              <w:tr2bl w:val="nil"/>
            </w:tcBorders>
            <w:shd w:val="clear" w:color="auto" w:fill="auto"/>
            <w:vAlign w:val="center"/>
          </w:tcPr>
          <w:p w14:paraId="4F4FBA8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20F2B76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397353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7C24A76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≤0.02</w:t>
            </w:r>
          </w:p>
        </w:tc>
      </w:tr>
      <w:tr w14:paraId="65EAAA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shd w:val="clear" w:color="auto" w:fill="auto"/>
            <w:vAlign w:val="center"/>
          </w:tcPr>
          <w:p w14:paraId="1B21AE6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2858E23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317" w:type="pct"/>
            <w:tcBorders>
              <w:tl2br w:val="nil"/>
              <w:tr2bl w:val="nil"/>
            </w:tcBorders>
            <w:shd w:val="clear" w:color="auto" w:fill="auto"/>
            <w:vAlign w:val="center"/>
          </w:tcPr>
          <w:p w14:paraId="01319DC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0167ED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0.00012</w:t>
            </w:r>
          </w:p>
        </w:tc>
        <w:tc>
          <w:tcPr>
            <w:tcW w:w="452" w:type="pct"/>
            <w:tcBorders>
              <w:tl2br w:val="nil"/>
              <w:tr2bl w:val="nil"/>
            </w:tcBorders>
            <w:shd w:val="clear" w:color="auto" w:fill="auto"/>
            <w:vAlign w:val="center"/>
          </w:tcPr>
          <w:p w14:paraId="37E3D44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vAlign w:val="center"/>
          </w:tcPr>
          <w:p w14:paraId="009680C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327" w:type="pct"/>
            <w:tcBorders>
              <w:tl2br w:val="nil"/>
              <w:tr2bl w:val="nil"/>
            </w:tcBorders>
            <w:shd w:val="clear" w:color="auto" w:fill="auto"/>
            <w:vAlign w:val="center"/>
          </w:tcPr>
          <w:p w14:paraId="5AC5582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5197704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24FC2B1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159B3F0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45A1F01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658A51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restart"/>
            <w:tcBorders>
              <w:tl2br w:val="nil"/>
              <w:tr2bl w:val="nil"/>
            </w:tcBorders>
            <w:shd w:val="clear" w:color="auto" w:fill="auto"/>
            <w:vAlign w:val="center"/>
          </w:tcPr>
          <w:p w14:paraId="6A3660F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W4无名小溪雨水汇入口下游1000m断面</w:t>
            </w:r>
          </w:p>
        </w:tc>
        <w:tc>
          <w:tcPr>
            <w:tcW w:w="681" w:type="pct"/>
            <w:tcBorders>
              <w:tl2br w:val="nil"/>
              <w:tr2bl w:val="nil"/>
            </w:tcBorders>
            <w:shd w:val="clear" w:color="auto" w:fill="auto"/>
            <w:vAlign w:val="center"/>
          </w:tcPr>
          <w:p w14:paraId="5EBFE18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pH值</w:t>
            </w:r>
          </w:p>
        </w:tc>
        <w:tc>
          <w:tcPr>
            <w:tcW w:w="317" w:type="pct"/>
            <w:tcBorders>
              <w:tl2br w:val="nil"/>
              <w:tr2bl w:val="nil"/>
            </w:tcBorders>
            <w:shd w:val="clear" w:color="auto" w:fill="auto"/>
            <w:vAlign w:val="center"/>
          </w:tcPr>
          <w:p w14:paraId="64577E5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无量纲</w:t>
            </w:r>
          </w:p>
        </w:tc>
        <w:tc>
          <w:tcPr>
            <w:tcW w:w="452" w:type="pct"/>
            <w:tcBorders>
              <w:tl2br w:val="nil"/>
              <w:tr2bl w:val="nil"/>
            </w:tcBorders>
            <w:shd w:val="clear" w:color="auto" w:fill="auto"/>
            <w:vAlign w:val="center"/>
          </w:tcPr>
          <w:p w14:paraId="6F0C594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8.4</w:t>
            </w:r>
          </w:p>
        </w:tc>
        <w:tc>
          <w:tcPr>
            <w:tcW w:w="452" w:type="pct"/>
            <w:tcBorders>
              <w:tl2br w:val="nil"/>
              <w:tr2bl w:val="nil"/>
            </w:tcBorders>
            <w:shd w:val="clear" w:color="auto" w:fill="auto"/>
            <w:vAlign w:val="center"/>
          </w:tcPr>
          <w:p w14:paraId="1326BB4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7.7</w:t>
            </w:r>
          </w:p>
        </w:tc>
        <w:tc>
          <w:tcPr>
            <w:tcW w:w="452" w:type="pct"/>
            <w:tcBorders>
              <w:tl2br w:val="nil"/>
              <w:tr2bl w:val="nil"/>
            </w:tcBorders>
            <w:shd w:val="clear" w:color="auto" w:fill="auto"/>
            <w:vAlign w:val="center"/>
          </w:tcPr>
          <w:p w14:paraId="253E8ED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8.0</w:t>
            </w:r>
          </w:p>
        </w:tc>
        <w:tc>
          <w:tcPr>
            <w:tcW w:w="327" w:type="pct"/>
            <w:tcBorders>
              <w:tl2br w:val="nil"/>
              <w:tr2bl w:val="nil"/>
            </w:tcBorders>
            <w:shd w:val="clear" w:color="auto" w:fill="auto"/>
            <w:vAlign w:val="center"/>
          </w:tcPr>
          <w:p w14:paraId="6203FD8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0.7</w:t>
            </w:r>
          </w:p>
        </w:tc>
        <w:tc>
          <w:tcPr>
            <w:tcW w:w="468" w:type="pct"/>
            <w:tcBorders>
              <w:tl2br w:val="nil"/>
              <w:tr2bl w:val="nil"/>
            </w:tcBorders>
            <w:shd w:val="clear" w:color="auto" w:fill="auto"/>
            <w:vAlign w:val="center"/>
          </w:tcPr>
          <w:p w14:paraId="6A27EC3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lang w:val="en-US" w:eastAsia="zh-CN"/>
              </w:rPr>
              <w:t>0</w:t>
            </w:r>
          </w:p>
        </w:tc>
        <w:tc>
          <w:tcPr>
            <w:tcW w:w="525" w:type="pct"/>
            <w:tcBorders>
              <w:tl2br w:val="nil"/>
              <w:tr2bl w:val="nil"/>
            </w:tcBorders>
            <w:shd w:val="clear" w:color="auto" w:fill="auto"/>
            <w:vAlign w:val="center"/>
          </w:tcPr>
          <w:p w14:paraId="707F4FB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02F4BC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1874A2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6-9</w:t>
            </w:r>
          </w:p>
        </w:tc>
      </w:tr>
      <w:tr w14:paraId="368299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D04C6A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45AE0BF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水温</w:t>
            </w:r>
          </w:p>
        </w:tc>
        <w:tc>
          <w:tcPr>
            <w:tcW w:w="317" w:type="pct"/>
            <w:tcBorders>
              <w:tl2br w:val="nil"/>
              <w:tr2bl w:val="nil"/>
            </w:tcBorders>
            <w:shd w:val="clear" w:color="auto" w:fill="auto"/>
            <w:vAlign w:val="center"/>
          </w:tcPr>
          <w:p w14:paraId="36836E8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c>
          <w:tcPr>
            <w:tcW w:w="452" w:type="pct"/>
            <w:tcBorders>
              <w:tl2br w:val="nil"/>
              <w:tr2bl w:val="nil"/>
            </w:tcBorders>
            <w:shd w:val="clear" w:color="auto" w:fill="auto"/>
            <w:vAlign w:val="center"/>
          </w:tcPr>
          <w:p w14:paraId="225BF31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10.6</w:t>
            </w:r>
          </w:p>
        </w:tc>
        <w:tc>
          <w:tcPr>
            <w:tcW w:w="452" w:type="pct"/>
            <w:tcBorders>
              <w:tl2br w:val="nil"/>
              <w:tr2bl w:val="nil"/>
            </w:tcBorders>
            <w:shd w:val="clear" w:color="auto" w:fill="auto"/>
            <w:vAlign w:val="center"/>
          </w:tcPr>
          <w:p w14:paraId="0D21045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11.6</w:t>
            </w:r>
          </w:p>
        </w:tc>
        <w:tc>
          <w:tcPr>
            <w:tcW w:w="452" w:type="pct"/>
            <w:tcBorders>
              <w:tl2br w:val="nil"/>
              <w:tr2bl w:val="nil"/>
            </w:tcBorders>
            <w:shd w:val="clear" w:color="auto" w:fill="auto"/>
            <w:vAlign w:val="center"/>
          </w:tcPr>
          <w:p w14:paraId="2C32391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13.7</w:t>
            </w:r>
          </w:p>
        </w:tc>
        <w:tc>
          <w:tcPr>
            <w:tcW w:w="327" w:type="pct"/>
            <w:tcBorders>
              <w:tl2br w:val="nil"/>
              <w:tr2bl w:val="nil"/>
            </w:tcBorders>
            <w:shd w:val="clear" w:color="auto" w:fill="auto"/>
            <w:vAlign w:val="center"/>
          </w:tcPr>
          <w:p w14:paraId="3D72BBA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3F6BC22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5E2944D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27FE484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0674526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220A32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6C95BE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23709E6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溶解氧</w:t>
            </w:r>
          </w:p>
        </w:tc>
        <w:tc>
          <w:tcPr>
            <w:tcW w:w="317" w:type="pct"/>
            <w:tcBorders>
              <w:tl2br w:val="nil"/>
              <w:tr2bl w:val="nil"/>
            </w:tcBorders>
            <w:shd w:val="clear" w:color="auto" w:fill="auto"/>
            <w:vAlign w:val="center"/>
          </w:tcPr>
          <w:p w14:paraId="38C6981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2FFEA8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11.09</w:t>
            </w:r>
          </w:p>
        </w:tc>
        <w:tc>
          <w:tcPr>
            <w:tcW w:w="452" w:type="pct"/>
            <w:tcBorders>
              <w:tl2br w:val="nil"/>
              <w:tr2bl w:val="nil"/>
            </w:tcBorders>
            <w:shd w:val="clear" w:color="auto" w:fill="auto"/>
            <w:vAlign w:val="center"/>
          </w:tcPr>
          <w:p w14:paraId="4DA2A93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10.55</w:t>
            </w:r>
          </w:p>
        </w:tc>
        <w:tc>
          <w:tcPr>
            <w:tcW w:w="452" w:type="pct"/>
            <w:tcBorders>
              <w:tl2br w:val="nil"/>
              <w:tr2bl w:val="nil"/>
            </w:tcBorders>
            <w:shd w:val="clear" w:color="auto" w:fill="auto"/>
            <w:vAlign w:val="center"/>
          </w:tcPr>
          <w:p w14:paraId="2F4885C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10.23</w:t>
            </w:r>
          </w:p>
        </w:tc>
        <w:tc>
          <w:tcPr>
            <w:tcW w:w="327" w:type="pct"/>
            <w:tcBorders>
              <w:tl2br w:val="nil"/>
              <w:tr2bl w:val="nil"/>
            </w:tcBorders>
            <w:shd w:val="clear" w:color="auto" w:fill="auto"/>
            <w:vAlign w:val="center"/>
          </w:tcPr>
          <w:p w14:paraId="5AA44AC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1"/>
                <w:sz w:val="21"/>
                <w:szCs w:val="21"/>
                <w:lang w:val="en-US" w:eastAsia="zh-CN"/>
              </w:rPr>
            </w:pPr>
            <w:r>
              <w:rPr>
                <w:rFonts w:hint="eastAsia" w:eastAsia="宋体" w:cs="Times New Roman"/>
                <w:spacing w:val="1"/>
                <w:sz w:val="21"/>
                <w:szCs w:val="21"/>
                <w:lang w:val="en-US" w:eastAsia="zh-CN"/>
              </w:rPr>
              <w:t>0.49</w:t>
            </w:r>
          </w:p>
        </w:tc>
        <w:tc>
          <w:tcPr>
            <w:tcW w:w="468" w:type="pct"/>
            <w:tcBorders>
              <w:tl2br w:val="nil"/>
              <w:tr2bl w:val="nil"/>
            </w:tcBorders>
            <w:shd w:val="clear" w:color="auto" w:fill="auto"/>
            <w:vAlign w:val="center"/>
          </w:tcPr>
          <w:p w14:paraId="583A093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1680750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4F01E9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87E10F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≥5</w:t>
            </w:r>
          </w:p>
        </w:tc>
      </w:tr>
      <w:tr w14:paraId="07EFD5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9E4D13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BF81FB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化学需氧量</w:t>
            </w:r>
          </w:p>
        </w:tc>
        <w:tc>
          <w:tcPr>
            <w:tcW w:w="317" w:type="pct"/>
            <w:tcBorders>
              <w:tl2br w:val="nil"/>
              <w:tr2bl w:val="nil"/>
            </w:tcBorders>
            <w:shd w:val="clear" w:color="auto" w:fill="auto"/>
            <w:vAlign w:val="center"/>
          </w:tcPr>
          <w:p w14:paraId="7F2D7CB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7A22BF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7</w:t>
            </w:r>
          </w:p>
        </w:tc>
        <w:tc>
          <w:tcPr>
            <w:tcW w:w="452" w:type="pct"/>
            <w:tcBorders>
              <w:tl2br w:val="nil"/>
              <w:tr2bl w:val="nil"/>
            </w:tcBorders>
            <w:shd w:val="clear" w:color="auto" w:fill="auto"/>
            <w:vAlign w:val="center"/>
          </w:tcPr>
          <w:p w14:paraId="2C50BE4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9</w:t>
            </w:r>
          </w:p>
        </w:tc>
        <w:tc>
          <w:tcPr>
            <w:tcW w:w="452" w:type="pct"/>
            <w:tcBorders>
              <w:tl2br w:val="nil"/>
              <w:tr2bl w:val="nil"/>
            </w:tcBorders>
            <w:shd w:val="clear" w:color="auto" w:fill="auto"/>
            <w:vAlign w:val="center"/>
          </w:tcPr>
          <w:p w14:paraId="28DB680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9</w:t>
            </w:r>
          </w:p>
        </w:tc>
        <w:tc>
          <w:tcPr>
            <w:tcW w:w="327" w:type="pct"/>
            <w:tcBorders>
              <w:tl2br w:val="nil"/>
              <w:tr2bl w:val="nil"/>
            </w:tcBorders>
            <w:shd w:val="clear" w:color="auto" w:fill="auto"/>
            <w:vAlign w:val="center"/>
          </w:tcPr>
          <w:p w14:paraId="33EC40F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0.45</w:t>
            </w:r>
          </w:p>
        </w:tc>
        <w:tc>
          <w:tcPr>
            <w:tcW w:w="468" w:type="pct"/>
            <w:tcBorders>
              <w:tl2br w:val="nil"/>
              <w:tr2bl w:val="nil"/>
            </w:tcBorders>
            <w:shd w:val="clear" w:color="auto" w:fill="auto"/>
            <w:vAlign w:val="center"/>
          </w:tcPr>
          <w:p w14:paraId="47A23B0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25A1A03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7AE18A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2D925E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≤20</w:t>
            </w:r>
          </w:p>
        </w:tc>
      </w:tr>
      <w:tr w14:paraId="409966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6583EE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1A9D63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高锰酸盐指数</w:t>
            </w:r>
          </w:p>
        </w:tc>
        <w:tc>
          <w:tcPr>
            <w:tcW w:w="317" w:type="pct"/>
            <w:tcBorders>
              <w:tl2br w:val="nil"/>
              <w:tr2bl w:val="nil"/>
            </w:tcBorders>
            <w:shd w:val="clear" w:color="auto" w:fill="auto"/>
            <w:vAlign w:val="center"/>
          </w:tcPr>
          <w:p w14:paraId="2A5129C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25D955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w:t>
            </w:r>
          </w:p>
        </w:tc>
        <w:tc>
          <w:tcPr>
            <w:tcW w:w="452" w:type="pct"/>
            <w:tcBorders>
              <w:tl2br w:val="nil"/>
              <w:tr2bl w:val="nil"/>
            </w:tcBorders>
            <w:shd w:val="clear" w:color="auto" w:fill="auto"/>
            <w:vAlign w:val="center"/>
          </w:tcPr>
          <w:p w14:paraId="6C423E3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w:t>
            </w:r>
          </w:p>
        </w:tc>
        <w:tc>
          <w:tcPr>
            <w:tcW w:w="452" w:type="pct"/>
            <w:tcBorders>
              <w:tl2br w:val="nil"/>
              <w:tr2bl w:val="nil"/>
            </w:tcBorders>
            <w:shd w:val="clear" w:color="auto" w:fill="auto"/>
            <w:vAlign w:val="center"/>
          </w:tcPr>
          <w:p w14:paraId="0C3DA28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1.5</w:t>
            </w:r>
          </w:p>
        </w:tc>
        <w:tc>
          <w:tcPr>
            <w:tcW w:w="327" w:type="pct"/>
            <w:tcBorders>
              <w:tl2br w:val="nil"/>
              <w:tr2bl w:val="nil"/>
            </w:tcBorders>
            <w:shd w:val="clear" w:color="auto" w:fill="auto"/>
            <w:vAlign w:val="center"/>
          </w:tcPr>
          <w:p w14:paraId="2FFFE8C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0.25</w:t>
            </w:r>
          </w:p>
        </w:tc>
        <w:tc>
          <w:tcPr>
            <w:tcW w:w="468" w:type="pct"/>
            <w:tcBorders>
              <w:tl2br w:val="nil"/>
              <w:tr2bl w:val="nil"/>
            </w:tcBorders>
            <w:shd w:val="clear" w:color="auto" w:fill="auto"/>
            <w:vAlign w:val="center"/>
          </w:tcPr>
          <w:p w14:paraId="5492736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0C13B47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D9239B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BCDC8E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≤6</w:t>
            </w:r>
          </w:p>
        </w:tc>
      </w:tr>
      <w:tr w14:paraId="2804CB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9F8C27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A79D0B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五日生化需氧量</w:t>
            </w:r>
          </w:p>
        </w:tc>
        <w:tc>
          <w:tcPr>
            <w:tcW w:w="317" w:type="pct"/>
            <w:tcBorders>
              <w:tl2br w:val="nil"/>
              <w:tr2bl w:val="nil"/>
            </w:tcBorders>
            <w:shd w:val="clear" w:color="auto" w:fill="auto"/>
            <w:vAlign w:val="center"/>
          </w:tcPr>
          <w:p w14:paraId="2917DEF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D9756D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1.9</w:t>
            </w:r>
          </w:p>
        </w:tc>
        <w:tc>
          <w:tcPr>
            <w:tcW w:w="452" w:type="pct"/>
            <w:tcBorders>
              <w:tl2br w:val="nil"/>
              <w:tr2bl w:val="nil"/>
            </w:tcBorders>
            <w:shd w:val="clear" w:color="auto" w:fill="auto"/>
            <w:vAlign w:val="center"/>
          </w:tcPr>
          <w:p w14:paraId="0B6074B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2.3</w:t>
            </w:r>
          </w:p>
        </w:tc>
        <w:tc>
          <w:tcPr>
            <w:tcW w:w="452" w:type="pct"/>
            <w:tcBorders>
              <w:tl2br w:val="nil"/>
              <w:tr2bl w:val="nil"/>
            </w:tcBorders>
            <w:shd w:val="clear" w:color="auto" w:fill="auto"/>
            <w:vAlign w:val="center"/>
          </w:tcPr>
          <w:p w14:paraId="2C4422B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w:t>
            </w:r>
          </w:p>
        </w:tc>
        <w:tc>
          <w:tcPr>
            <w:tcW w:w="327" w:type="pct"/>
            <w:tcBorders>
              <w:tl2br w:val="nil"/>
              <w:tr2bl w:val="nil"/>
            </w:tcBorders>
            <w:shd w:val="clear" w:color="auto" w:fill="auto"/>
            <w:vAlign w:val="center"/>
          </w:tcPr>
          <w:p w14:paraId="3873B98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0.575</w:t>
            </w:r>
          </w:p>
        </w:tc>
        <w:tc>
          <w:tcPr>
            <w:tcW w:w="468" w:type="pct"/>
            <w:tcBorders>
              <w:tl2br w:val="nil"/>
              <w:tr2bl w:val="nil"/>
            </w:tcBorders>
            <w:shd w:val="clear" w:color="auto" w:fill="auto"/>
            <w:vAlign w:val="center"/>
          </w:tcPr>
          <w:p w14:paraId="488C24E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609DD53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18CA21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765819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≤4</w:t>
            </w:r>
          </w:p>
        </w:tc>
      </w:tr>
      <w:tr w14:paraId="514903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D77BB6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9E59FF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石油类</w:t>
            </w:r>
          </w:p>
        </w:tc>
        <w:tc>
          <w:tcPr>
            <w:tcW w:w="317" w:type="pct"/>
            <w:tcBorders>
              <w:tl2br w:val="nil"/>
              <w:tr2bl w:val="nil"/>
            </w:tcBorders>
            <w:shd w:val="clear" w:color="auto" w:fill="auto"/>
            <w:vAlign w:val="center"/>
          </w:tcPr>
          <w:p w14:paraId="309134F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1D925F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678BD7B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5CC9913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0A61EEF2">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w:t>
            </w:r>
          </w:p>
        </w:tc>
        <w:tc>
          <w:tcPr>
            <w:tcW w:w="468" w:type="pct"/>
            <w:tcBorders>
              <w:tl2br w:val="nil"/>
              <w:tr2bl w:val="nil"/>
            </w:tcBorders>
            <w:shd w:val="clear" w:color="auto" w:fill="auto"/>
            <w:vAlign w:val="center"/>
          </w:tcPr>
          <w:p w14:paraId="459D15D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136DFC9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3F981E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297836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752684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18D3A9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2D609AB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阴离子表面活性剂</w:t>
            </w:r>
          </w:p>
        </w:tc>
        <w:tc>
          <w:tcPr>
            <w:tcW w:w="317" w:type="pct"/>
            <w:tcBorders>
              <w:tl2br w:val="nil"/>
              <w:tr2bl w:val="nil"/>
            </w:tcBorders>
            <w:shd w:val="clear" w:color="auto" w:fill="auto"/>
            <w:vAlign w:val="center"/>
          </w:tcPr>
          <w:p w14:paraId="7C0A2DD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D49186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58FF682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2201A44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327" w:type="pct"/>
            <w:tcBorders>
              <w:tl2br w:val="nil"/>
              <w:tr2bl w:val="nil"/>
            </w:tcBorders>
            <w:shd w:val="clear" w:color="auto" w:fill="auto"/>
            <w:vAlign w:val="center"/>
          </w:tcPr>
          <w:p w14:paraId="6D5DDFD1">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0.125</w:t>
            </w:r>
          </w:p>
        </w:tc>
        <w:tc>
          <w:tcPr>
            <w:tcW w:w="468" w:type="pct"/>
            <w:tcBorders>
              <w:tl2br w:val="nil"/>
              <w:tr2bl w:val="nil"/>
            </w:tcBorders>
            <w:shd w:val="clear" w:color="auto" w:fill="auto"/>
            <w:vAlign w:val="center"/>
          </w:tcPr>
          <w:p w14:paraId="0883A88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04309FE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2FB4BE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9EE4FA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5E6050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3FDF14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4B3A00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总氮</w:t>
            </w:r>
          </w:p>
        </w:tc>
        <w:tc>
          <w:tcPr>
            <w:tcW w:w="317" w:type="pct"/>
            <w:tcBorders>
              <w:tl2br w:val="nil"/>
              <w:tr2bl w:val="nil"/>
            </w:tcBorders>
            <w:shd w:val="clear" w:color="auto" w:fill="auto"/>
            <w:vAlign w:val="center"/>
          </w:tcPr>
          <w:p w14:paraId="24930BF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E0EF0F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0.86</w:t>
            </w:r>
          </w:p>
        </w:tc>
        <w:tc>
          <w:tcPr>
            <w:tcW w:w="452" w:type="pct"/>
            <w:tcBorders>
              <w:tl2br w:val="nil"/>
              <w:tr2bl w:val="nil"/>
            </w:tcBorders>
            <w:shd w:val="clear" w:color="auto" w:fill="auto"/>
            <w:vAlign w:val="center"/>
          </w:tcPr>
          <w:p w14:paraId="5391414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0.86</w:t>
            </w:r>
          </w:p>
        </w:tc>
        <w:tc>
          <w:tcPr>
            <w:tcW w:w="452" w:type="pct"/>
            <w:tcBorders>
              <w:tl2br w:val="nil"/>
              <w:tr2bl w:val="nil"/>
            </w:tcBorders>
            <w:shd w:val="clear" w:color="auto" w:fill="auto"/>
            <w:vAlign w:val="center"/>
          </w:tcPr>
          <w:p w14:paraId="3F924D8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0.87</w:t>
            </w:r>
          </w:p>
        </w:tc>
        <w:tc>
          <w:tcPr>
            <w:tcW w:w="327" w:type="pct"/>
            <w:tcBorders>
              <w:tl2br w:val="nil"/>
              <w:tr2bl w:val="nil"/>
            </w:tcBorders>
            <w:shd w:val="clear" w:color="auto" w:fill="auto"/>
            <w:vAlign w:val="center"/>
          </w:tcPr>
          <w:p w14:paraId="1F568AB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0.87</w:t>
            </w:r>
          </w:p>
        </w:tc>
        <w:tc>
          <w:tcPr>
            <w:tcW w:w="468" w:type="pct"/>
            <w:tcBorders>
              <w:tl2br w:val="nil"/>
              <w:tr2bl w:val="nil"/>
            </w:tcBorders>
            <w:shd w:val="clear" w:color="auto" w:fill="auto"/>
            <w:vAlign w:val="center"/>
          </w:tcPr>
          <w:p w14:paraId="343B4B7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15173FA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C80A79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8F1CA6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524006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8F6A5B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2D73B9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氨氮</w:t>
            </w:r>
          </w:p>
        </w:tc>
        <w:tc>
          <w:tcPr>
            <w:tcW w:w="317" w:type="pct"/>
            <w:tcBorders>
              <w:tl2br w:val="nil"/>
              <w:tr2bl w:val="nil"/>
            </w:tcBorders>
            <w:shd w:val="clear" w:color="auto" w:fill="auto"/>
            <w:vAlign w:val="center"/>
          </w:tcPr>
          <w:p w14:paraId="2383837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BDE252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0.26</w:t>
            </w:r>
          </w:p>
        </w:tc>
        <w:tc>
          <w:tcPr>
            <w:tcW w:w="452" w:type="pct"/>
            <w:tcBorders>
              <w:tl2br w:val="nil"/>
              <w:tr2bl w:val="nil"/>
            </w:tcBorders>
            <w:shd w:val="clear" w:color="auto" w:fill="auto"/>
            <w:vAlign w:val="center"/>
          </w:tcPr>
          <w:p w14:paraId="6A589EF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0.27</w:t>
            </w:r>
          </w:p>
        </w:tc>
        <w:tc>
          <w:tcPr>
            <w:tcW w:w="452" w:type="pct"/>
            <w:tcBorders>
              <w:tl2br w:val="nil"/>
              <w:tr2bl w:val="nil"/>
            </w:tcBorders>
            <w:shd w:val="clear" w:color="auto" w:fill="auto"/>
            <w:vAlign w:val="center"/>
          </w:tcPr>
          <w:p w14:paraId="17A80A3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0.29</w:t>
            </w:r>
          </w:p>
        </w:tc>
        <w:tc>
          <w:tcPr>
            <w:tcW w:w="327" w:type="pct"/>
            <w:tcBorders>
              <w:tl2br w:val="nil"/>
              <w:tr2bl w:val="nil"/>
            </w:tcBorders>
            <w:shd w:val="clear" w:color="auto" w:fill="auto"/>
            <w:vAlign w:val="center"/>
          </w:tcPr>
          <w:p w14:paraId="2D243310">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0.29</w:t>
            </w:r>
          </w:p>
        </w:tc>
        <w:tc>
          <w:tcPr>
            <w:tcW w:w="468" w:type="pct"/>
            <w:tcBorders>
              <w:tl2br w:val="nil"/>
              <w:tr2bl w:val="nil"/>
            </w:tcBorders>
            <w:shd w:val="clear" w:color="auto" w:fill="auto"/>
            <w:vAlign w:val="center"/>
          </w:tcPr>
          <w:p w14:paraId="78066E0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06F7750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A06BF2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A62AB4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658F6C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83077E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26B950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总磷</w:t>
            </w:r>
          </w:p>
        </w:tc>
        <w:tc>
          <w:tcPr>
            <w:tcW w:w="317" w:type="pct"/>
            <w:tcBorders>
              <w:tl2br w:val="nil"/>
              <w:tr2bl w:val="nil"/>
            </w:tcBorders>
            <w:shd w:val="clear" w:color="auto" w:fill="auto"/>
            <w:vAlign w:val="center"/>
          </w:tcPr>
          <w:p w14:paraId="5EEA545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E3BCB4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0.17</w:t>
            </w:r>
          </w:p>
        </w:tc>
        <w:tc>
          <w:tcPr>
            <w:tcW w:w="452" w:type="pct"/>
            <w:tcBorders>
              <w:tl2br w:val="nil"/>
              <w:tr2bl w:val="nil"/>
            </w:tcBorders>
            <w:shd w:val="clear" w:color="auto" w:fill="auto"/>
            <w:vAlign w:val="center"/>
          </w:tcPr>
          <w:p w14:paraId="75F1A35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0.17</w:t>
            </w:r>
          </w:p>
        </w:tc>
        <w:tc>
          <w:tcPr>
            <w:tcW w:w="452" w:type="pct"/>
            <w:tcBorders>
              <w:tl2br w:val="nil"/>
              <w:tr2bl w:val="nil"/>
            </w:tcBorders>
            <w:shd w:val="clear" w:color="auto" w:fill="auto"/>
            <w:vAlign w:val="center"/>
          </w:tcPr>
          <w:p w14:paraId="23E2C84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0.15</w:t>
            </w:r>
          </w:p>
        </w:tc>
        <w:tc>
          <w:tcPr>
            <w:tcW w:w="327" w:type="pct"/>
            <w:tcBorders>
              <w:tl2br w:val="nil"/>
              <w:tr2bl w:val="nil"/>
            </w:tcBorders>
            <w:shd w:val="clear" w:color="auto" w:fill="auto"/>
            <w:vAlign w:val="center"/>
          </w:tcPr>
          <w:p w14:paraId="6914A215">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0.85</w:t>
            </w:r>
          </w:p>
        </w:tc>
        <w:tc>
          <w:tcPr>
            <w:tcW w:w="468" w:type="pct"/>
            <w:tcBorders>
              <w:tl2br w:val="nil"/>
              <w:tr2bl w:val="nil"/>
            </w:tcBorders>
            <w:shd w:val="clear" w:color="auto" w:fill="auto"/>
            <w:vAlign w:val="center"/>
          </w:tcPr>
          <w:p w14:paraId="27C7C55D">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4189B78F">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EED715C">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6916AF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≤0.2</w:t>
            </w:r>
          </w:p>
          <w:p w14:paraId="300A119B">
            <w:pPr>
              <w:pStyle w:val="197"/>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宋体" w:hAnsi="宋体" w:eastAsia="宋体" w:cs="宋体"/>
                <w:color w:val="auto"/>
                <w:kern w:val="2"/>
                <w:sz w:val="21"/>
                <w:szCs w:val="21"/>
                <w:lang w:val="en-US" w:eastAsia="zh-CN" w:bidi="ar-SA"/>
              </w:rPr>
            </w:pPr>
            <w:r>
              <w:rPr>
                <w:spacing w:val="-2"/>
                <w:sz w:val="21"/>
                <w:szCs w:val="21"/>
              </w:rPr>
              <w:t>（湖、库</w:t>
            </w:r>
            <w:r>
              <w:rPr>
                <w:rFonts w:ascii="Times New Roman" w:hAnsi="Times New Roman" w:eastAsia="Times New Roman" w:cs="Times New Roman"/>
                <w:spacing w:val="-2"/>
                <w:sz w:val="21"/>
                <w:szCs w:val="21"/>
              </w:rPr>
              <w:t>0.05</w:t>
            </w:r>
            <w:r>
              <w:rPr>
                <w:spacing w:val="-2"/>
                <w:sz w:val="21"/>
                <w:szCs w:val="21"/>
              </w:rPr>
              <w:t>）</w:t>
            </w:r>
          </w:p>
        </w:tc>
      </w:tr>
      <w:tr w14:paraId="51773A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08C543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70B791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粪大肠菌群</w:t>
            </w:r>
          </w:p>
        </w:tc>
        <w:tc>
          <w:tcPr>
            <w:tcW w:w="317" w:type="pct"/>
            <w:tcBorders>
              <w:tl2br w:val="nil"/>
              <w:tr2bl w:val="nil"/>
            </w:tcBorders>
            <w:shd w:val="clear" w:color="auto" w:fill="auto"/>
            <w:vAlign w:val="center"/>
          </w:tcPr>
          <w:p w14:paraId="6065EE3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MPN/L</w:t>
            </w:r>
          </w:p>
        </w:tc>
        <w:tc>
          <w:tcPr>
            <w:tcW w:w="452" w:type="pct"/>
            <w:tcBorders>
              <w:tl2br w:val="nil"/>
              <w:tr2bl w:val="nil"/>
            </w:tcBorders>
            <w:shd w:val="clear" w:color="auto" w:fill="auto"/>
            <w:vAlign w:val="center"/>
          </w:tcPr>
          <w:p w14:paraId="05F3AF5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4.0×10</w:t>
            </w:r>
            <w:r>
              <w:rPr>
                <w:vertAlign w:val="superscript"/>
              </w:rPr>
              <w:t>2</w:t>
            </w:r>
          </w:p>
        </w:tc>
        <w:tc>
          <w:tcPr>
            <w:tcW w:w="452" w:type="pct"/>
            <w:tcBorders>
              <w:tl2br w:val="nil"/>
              <w:tr2bl w:val="nil"/>
            </w:tcBorders>
            <w:shd w:val="clear" w:color="auto" w:fill="auto"/>
            <w:vAlign w:val="center"/>
          </w:tcPr>
          <w:p w14:paraId="5EDA391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3.9×10</w:t>
            </w:r>
            <w:r>
              <w:rPr>
                <w:vertAlign w:val="superscript"/>
              </w:rPr>
              <w:t>2</w:t>
            </w:r>
          </w:p>
        </w:tc>
        <w:tc>
          <w:tcPr>
            <w:tcW w:w="452" w:type="pct"/>
            <w:tcBorders>
              <w:tl2br w:val="nil"/>
              <w:tr2bl w:val="nil"/>
            </w:tcBorders>
            <w:shd w:val="clear" w:color="auto" w:fill="auto"/>
            <w:vAlign w:val="center"/>
          </w:tcPr>
          <w:p w14:paraId="5691FD9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4.4×10</w:t>
            </w:r>
            <w:r>
              <w:rPr>
                <w:vertAlign w:val="superscript"/>
              </w:rPr>
              <w:t>2</w:t>
            </w:r>
          </w:p>
        </w:tc>
        <w:tc>
          <w:tcPr>
            <w:tcW w:w="327" w:type="pct"/>
            <w:tcBorders>
              <w:tl2br w:val="nil"/>
              <w:tr2bl w:val="nil"/>
            </w:tcBorders>
            <w:shd w:val="clear" w:color="auto" w:fill="auto"/>
            <w:vAlign w:val="center"/>
          </w:tcPr>
          <w:p w14:paraId="687222F5">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0.044</w:t>
            </w:r>
          </w:p>
        </w:tc>
        <w:tc>
          <w:tcPr>
            <w:tcW w:w="468" w:type="pct"/>
            <w:tcBorders>
              <w:tl2br w:val="nil"/>
              <w:tr2bl w:val="nil"/>
            </w:tcBorders>
            <w:shd w:val="clear" w:color="auto" w:fill="auto"/>
            <w:vAlign w:val="center"/>
          </w:tcPr>
          <w:p w14:paraId="3824156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lang w:val="en-US" w:eastAsia="zh-CN"/>
              </w:rPr>
              <w:t>0</w:t>
            </w:r>
          </w:p>
        </w:tc>
        <w:tc>
          <w:tcPr>
            <w:tcW w:w="525" w:type="pct"/>
            <w:tcBorders>
              <w:tl2br w:val="nil"/>
              <w:tr2bl w:val="nil"/>
            </w:tcBorders>
            <w:shd w:val="clear" w:color="auto" w:fill="auto"/>
            <w:vAlign w:val="center"/>
          </w:tcPr>
          <w:p w14:paraId="2E40A44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CFD948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BB7C4C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≤10000</w:t>
            </w:r>
          </w:p>
        </w:tc>
      </w:tr>
      <w:tr w14:paraId="155F1B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1C9A14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7A9509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ascii="Times New Roman" w:hAnsi="Times New Roman" w:eastAsiaTheme="minorEastAsia" w:cstheme="minorBidi"/>
                <w:color w:val="auto"/>
                <w:kern w:val="2"/>
                <w:sz w:val="24"/>
                <w:szCs w:val="24"/>
                <w:lang w:val="en-US" w:eastAsia="zh-CN" w:bidi="ar-SA"/>
              </w:rPr>
            </w:pPr>
            <w:r>
              <w:rPr>
                <w:rFonts w:hint="eastAsia" w:eastAsiaTheme="minorEastAsia"/>
                <w:lang w:val="en-US" w:eastAsia="zh-CN"/>
              </w:rPr>
              <w:t>氟化物</w:t>
            </w:r>
          </w:p>
        </w:tc>
        <w:tc>
          <w:tcPr>
            <w:tcW w:w="317" w:type="pct"/>
            <w:tcBorders>
              <w:tl2br w:val="nil"/>
              <w:tr2bl w:val="nil"/>
            </w:tcBorders>
            <w:shd w:val="clear" w:color="auto" w:fill="auto"/>
            <w:vAlign w:val="center"/>
          </w:tcPr>
          <w:p w14:paraId="3D4A4AE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DE1309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0.28</w:t>
            </w:r>
          </w:p>
        </w:tc>
        <w:tc>
          <w:tcPr>
            <w:tcW w:w="452" w:type="pct"/>
            <w:tcBorders>
              <w:tl2br w:val="nil"/>
              <w:tr2bl w:val="nil"/>
            </w:tcBorders>
            <w:shd w:val="clear" w:color="auto" w:fill="auto"/>
            <w:vAlign w:val="center"/>
          </w:tcPr>
          <w:p w14:paraId="14CC593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0.35</w:t>
            </w:r>
          </w:p>
        </w:tc>
        <w:tc>
          <w:tcPr>
            <w:tcW w:w="452" w:type="pct"/>
            <w:tcBorders>
              <w:tl2br w:val="nil"/>
              <w:tr2bl w:val="nil"/>
            </w:tcBorders>
            <w:shd w:val="clear" w:color="auto" w:fill="auto"/>
            <w:vAlign w:val="center"/>
          </w:tcPr>
          <w:p w14:paraId="7284A78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0.36</w:t>
            </w:r>
          </w:p>
        </w:tc>
        <w:tc>
          <w:tcPr>
            <w:tcW w:w="327" w:type="pct"/>
            <w:tcBorders>
              <w:tl2br w:val="nil"/>
              <w:tr2bl w:val="nil"/>
            </w:tcBorders>
            <w:shd w:val="clear" w:color="auto" w:fill="auto"/>
            <w:vAlign w:val="center"/>
          </w:tcPr>
          <w:p w14:paraId="6D4CCE40">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0.36</w:t>
            </w:r>
          </w:p>
        </w:tc>
        <w:tc>
          <w:tcPr>
            <w:tcW w:w="468" w:type="pct"/>
            <w:tcBorders>
              <w:tl2br w:val="nil"/>
              <w:tr2bl w:val="nil"/>
            </w:tcBorders>
            <w:shd w:val="clear" w:color="auto" w:fill="auto"/>
            <w:vAlign w:val="center"/>
          </w:tcPr>
          <w:p w14:paraId="419BC9E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43FDD7B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362447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53F3DC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2B5F0A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E869EE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7D703CF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挥发酚</w:t>
            </w:r>
          </w:p>
        </w:tc>
        <w:tc>
          <w:tcPr>
            <w:tcW w:w="317" w:type="pct"/>
            <w:tcBorders>
              <w:tl2br w:val="nil"/>
              <w:tr2bl w:val="nil"/>
            </w:tcBorders>
            <w:shd w:val="clear" w:color="auto" w:fill="auto"/>
            <w:vAlign w:val="center"/>
          </w:tcPr>
          <w:p w14:paraId="12E4C4F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7DD2AA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3FCD517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54CCF28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327" w:type="pct"/>
            <w:tcBorders>
              <w:tl2br w:val="nil"/>
              <w:tr2bl w:val="nil"/>
            </w:tcBorders>
            <w:shd w:val="clear" w:color="auto" w:fill="auto"/>
            <w:vAlign w:val="center"/>
          </w:tcPr>
          <w:p w14:paraId="303FEF5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0.03</w:t>
            </w:r>
          </w:p>
        </w:tc>
        <w:tc>
          <w:tcPr>
            <w:tcW w:w="468" w:type="pct"/>
            <w:tcBorders>
              <w:tl2br w:val="nil"/>
              <w:tr2bl w:val="nil"/>
            </w:tcBorders>
            <w:shd w:val="clear" w:color="auto" w:fill="auto"/>
            <w:vAlign w:val="center"/>
          </w:tcPr>
          <w:p w14:paraId="46A3C90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141C1D2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B95188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1D626C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2FF763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FEA0B2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D09DA8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氰化物</w:t>
            </w:r>
          </w:p>
        </w:tc>
        <w:tc>
          <w:tcPr>
            <w:tcW w:w="317" w:type="pct"/>
            <w:tcBorders>
              <w:tl2br w:val="nil"/>
              <w:tr2bl w:val="nil"/>
            </w:tcBorders>
            <w:shd w:val="clear" w:color="auto" w:fill="auto"/>
            <w:vAlign w:val="center"/>
          </w:tcPr>
          <w:p w14:paraId="1922F77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2415F0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17EBDEF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5C2A406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65D3F9E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0.01</w:t>
            </w:r>
          </w:p>
        </w:tc>
        <w:tc>
          <w:tcPr>
            <w:tcW w:w="468" w:type="pct"/>
            <w:tcBorders>
              <w:tl2br w:val="nil"/>
              <w:tr2bl w:val="nil"/>
            </w:tcBorders>
            <w:shd w:val="clear" w:color="auto" w:fill="auto"/>
            <w:vAlign w:val="center"/>
          </w:tcPr>
          <w:p w14:paraId="2DB6F6B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2F37A5D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EE76BC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20E79F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4B4DCF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9357A6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C92BE3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硫化物</w:t>
            </w:r>
          </w:p>
        </w:tc>
        <w:tc>
          <w:tcPr>
            <w:tcW w:w="317" w:type="pct"/>
            <w:tcBorders>
              <w:tl2br w:val="nil"/>
              <w:tr2bl w:val="nil"/>
            </w:tcBorders>
            <w:shd w:val="clear" w:color="auto" w:fill="auto"/>
            <w:vAlign w:val="center"/>
          </w:tcPr>
          <w:p w14:paraId="214DF5B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83D2A0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424E7A2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618473F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4CA0E96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0.025</w:t>
            </w:r>
          </w:p>
        </w:tc>
        <w:tc>
          <w:tcPr>
            <w:tcW w:w="468" w:type="pct"/>
            <w:tcBorders>
              <w:tl2br w:val="nil"/>
              <w:tr2bl w:val="nil"/>
            </w:tcBorders>
            <w:shd w:val="clear" w:color="auto" w:fill="auto"/>
            <w:vAlign w:val="center"/>
          </w:tcPr>
          <w:p w14:paraId="0F643A9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4AF5581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2A8385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4A29E8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28FCD0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D3F8D2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823F94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汞</w:t>
            </w:r>
          </w:p>
        </w:tc>
        <w:tc>
          <w:tcPr>
            <w:tcW w:w="317" w:type="pct"/>
            <w:tcBorders>
              <w:tl2br w:val="nil"/>
              <w:tr2bl w:val="nil"/>
            </w:tcBorders>
            <w:shd w:val="clear" w:color="auto" w:fill="auto"/>
            <w:vAlign w:val="center"/>
          </w:tcPr>
          <w:p w14:paraId="6EE4512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3254FF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4B3805B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2ECFD20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327" w:type="pct"/>
            <w:tcBorders>
              <w:tl2br w:val="nil"/>
              <w:tr2bl w:val="nil"/>
            </w:tcBorders>
            <w:shd w:val="clear" w:color="auto" w:fill="auto"/>
            <w:vAlign w:val="center"/>
          </w:tcPr>
          <w:p w14:paraId="5FCCAC5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w:t>
            </w:r>
          </w:p>
        </w:tc>
        <w:tc>
          <w:tcPr>
            <w:tcW w:w="468" w:type="pct"/>
            <w:tcBorders>
              <w:tl2br w:val="nil"/>
              <w:tr2bl w:val="nil"/>
            </w:tcBorders>
            <w:shd w:val="clear" w:color="auto" w:fill="auto"/>
            <w:vAlign w:val="center"/>
          </w:tcPr>
          <w:p w14:paraId="53327D9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23C4A0F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D59401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2F81DE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≤0.0001</w:t>
            </w:r>
          </w:p>
        </w:tc>
      </w:tr>
      <w:tr w14:paraId="103689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F35AAD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B98F4E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镉</w:t>
            </w:r>
          </w:p>
        </w:tc>
        <w:tc>
          <w:tcPr>
            <w:tcW w:w="317" w:type="pct"/>
            <w:tcBorders>
              <w:tl2br w:val="nil"/>
              <w:tr2bl w:val="nil"/>
            </w:tcBorders>
            <w:shd w:val="clear" w:color="auto" w:fill="auto"/>
            <w:vAlign w:val="center"/>
          </w:tcPr>
          <w:p w14:paraId="5CEBBC3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28CFBB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72BFC9F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1A46E36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327" w:type="pct"/>
            <w:tcBorders>
              <w:tl2br w:val="nil"/>
              <w:tr2bl w:val="nil"/>
            </w:tcBorders>
            <w:shd w:val="clear" w:color="auto" w:fill="auto"/>
            <w:vAlign w:val="center"/>
          </w:tcPr>
          <w:p w14:paraId="4371AF6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0.005</w:t>
            </w:r>
          </w:p>
        </w:tc>
        <w:tc>
          <w:tcPr>
            <w:tcW w:w="468" w:type="pct"/>
            <w:tcBorders>
              <w:tl2br w:val="nil"/>
              <w:tr2bl w:val="nil"/>
            </w:tcBorders>
            <w:shd w:val="clear" w:color="auto" w:fill="auto"/>
            <w:vAlign w:val="center"/>
          </w:tcPr>
          <w:p w14:paraId="28FA1C5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4634AAD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DAF2FA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5ED9C8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568891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87393E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25918F4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六价铬</w:t>
            </w:r>
          </w:p>
        </w:tc>
        <w:tc>
          <w:tcPr>
            <w:tcW w:w="317" w:type="pct"/>
            <w:tcBorders>
              <w:tl2br w:val="nil"/>
              <w:tr2bl w:val="nil"/>
            </w:tcBorders>
            <w:shd w:val="clear" w:color="auto" w:fill="auto"/>
            <w:vAlign w:val="center"/>
          </w:tcPr>
          <w:p w14:paraId="3866981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BE26D3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5B54536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058DAE1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1A79206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w:t>
            </w:r>
          </w:p>
        </w:tc>
        <w:tc>
          <w:tcPr>
            <w:tcW w:w="468" w:type="pct"/>
            <w:tcBorders>
              <w:tl2br w:val="nil"/>
              <w:tr2bl w:val="nil"/>
            </w:tcBorders>
            <w:shd w:val="clear" w:color="auto" w:fill="auto"/>
            <w:vAlign w:val="center"/>
          </w:tcPr>
          <w:p w14:paraId="7F42604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714BB0D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7133E4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AA60C1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3C4F47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E3D4AC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BA36C9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硒</w:t>
            </w:r>
          </w:p>
        </w:tc>
        <w:tc>
          <w:tcPr>
            <w:tcW w:w="317" w:type="pct"/>
            <w:tcBorders>
              <w:tl2br w:val="nil"/>
              <w:tr2bl w:val="nil"/>
            </w:tcBorders>
            <w:shd w:val="clear" w:color="auto" w:fill="auto"/>
            <w:vAlign w:val="center"/>
          </w:tcPr>
          <w:p w14:paraId="6FF3D78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7D70AB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7734E8D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0FAF58A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327" w:type="pct"/>
            <w:tcBorders>
              <w:tl2br w:val="nil"/>
              <w:tr2bl w:val="nil"/>
            </w:tcBorders>
            <w:shd w:val="clear" w:color="auto" w:fill="auto"/>
            <w:vAlign w:val="center"/>
          </w:tcPr>
          <w:p w14:paraId="37023A6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0.0205</w:t>
            </w:r>
          </w:p>
        </w:tc>
        <w:tc>
          <w:tcPr>
            <w:tcW w:w="468" w:type="pct"/>
            <w:tcBorders>
              <w:tl2br w:val="nil"/>
              <w:tr2bl w:val="nil"/>
            </w:tcBorders>
            <w:shd w:val="clear" w:color="auto" w:fill="auto"/>
            <w:vAlign w:val="center"/>
          </w:tcPr>
          <w:p w14:paraId="2767334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30174BD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BEB3F2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170975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≤0.01</w:t>
            </w:r>
          </w:p>
        </w:tc>
      </w:tr>
      <w:tr w14:paraId="2191A9F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FE9E40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144F52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砷</w:t>
            </w:r>
          </w:p>
        </w:tc>
        <w:tc>
          <w:tcPr>
            <w:tcW w:w="317" w:type="pct"/>
            <w:tcBorders>
              <w:tl2br w:val="nil"/>
              <w:tr2bl w:val="nil"/>
            </w:tcBorders>
            <w:shd w:val="clear" w:color="auto" w:fill="auto"/>
            <w:vAlign w:val="center"/>
          </w:tcPr>
          <w:p w14:paraId="2100B06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0B1C2A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0.00259</w:t>
            </w:r>
          </w:p>
        </w:tc>
        <w:tc>
          <w:tcPr>
            <w:tcW w:w="452" w:type="pct"/>
            <w:tcBorders>
              <w:tl2br w:val="nil"/>
              <w:tr2bl w:val="nil"/>
            </w:tcBorders>
            <w:shd w:val="clear" w:color="auto" w:fill="auto"/>
            <w:vAlign w:val="center"/>
          </w:tcPr>
          <w:p w14:paraId="113ADF8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0.00241</w:t>
            </w:r>
          </w:p>
        </w:tc>
        <w:tc>
          <w:tcPr>
            <w:tcW w:w="452" w:type="pct"/>
            <w:tcBorders>
              <w:tl2br w:val="nil"/>
              <w:tr2bl w:val="nil"/>
            </w:tcBorders>
            <w:shd w:val="clear" w:color="auto" w:fill="auto"/>
            <w:vAlign w:val="center"/>
          </w:tcPr>
          <w:p w14:paraId="2BF1784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0.00212</w:t>
            </w:r>
          </w:p>
        </w:tc>
        <w:tc>
          <w:tcPr>
            <w:tcW w:w="327" w:type="pct"/>
            <w:tcBorders>
              <w:tl2br w:val="nil"/>
              <w:tr2bl w:val="nil"/>
            </w:tcBorders>
            <w:shd w:val="clear" w:color="auto" w:fill="auto"/>
            <w:vAlign w:val="center"/>
          </w:tcPr>
          <w:p w14:paraId="31DB636E">
            <w:pPr>
              <w:keepNext w:val="0"/>
              <w:keepLines w:val="0"/>
              <w:pageBreakBefore w:val="0"/>
              <w:widowControl/>
              <w:kinsoku/>
              <w:wordWrap/>
              <w:overflowPunct/>
              <w:autoSpaceDE/>
              <w:autoSpaceDN/>
              <w:bidi w:val="0"/>
              <w:spacing w:line="240" w:lineRule="auto"/>
              <w:ind w:left="0" w:firstLine="0" w:firstLineChars="0"/>
              <w:jc w:val="center"/>
              <w:textAlignment w:val="auto"/>
              <w:rPr>
                <w:rFonts w:hint="default"/>
                <w:lang w:val="en-US" w:eastAsia="zh-CN"/>
              </w:rPr>
            </w:pPr>
            <w:r>
              <w:rPr>
                <w:rFonts w:hint="eastAsia"/>
                <w:lang w:val="en-US" w:eastAsia="zh-CN"/>
              </w:rPr>
              <w:t>0.0518</w:t>
            </w:r>
          </w:p>
        </w:tc>
        <w:tc>
          <w:tcPr>
            <w:tcW w:w="468" w:type="pct"/>
            <w:tcBorders>
              <w:tl2br w:val="nil"/>
              <w:tr2bl w:val="nil"/>
            </w:tcBorders>
            <w:shd w:val="clear" w:color="auto" w:fill="auto"/>
            <w:vAlign w:val="center"/>
          </w:tcPr>
          <w:p w14:paraId="3FC9198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4D90461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95FA6D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628047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38949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991C9D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424228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铅</w:t>
            </w:r>
          </w:p>
        </w:tc>
        <w:tc>
          <w:tcPr>
            <w:tcW w:w="317" w:type="pct"/>
            <w:tcBorders>
              <w:tl2br w:val="nil"/>
              <w:tr2bl w:val="nil"/>
            </w:tcBorders>
            <w:shd w:val="clear" w:color="auto" w:fill="auto"/>
            <w:vAlign w:val="center"/>
          </w:tcPr>
          <w:p w14:paraId="411A958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987A2E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09C9D58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015241E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327" w:type="pct"/>
            <w:tcBorders>
              <w:tl2br w:val="nil"/>
              <w:tr2bl w:val="nil"/>
            </w:tcBorders>
            <w:shd w:val="clear" w:color="auto" w:fill="auto"/>
            <w:vAlign w:val="center"/>
          </w:tcPr>
          <w:p w14:paraId="0BA3DA7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0.0009</w:t>
            </w:r>
          </w:p>
        </w:tc>
        <w:tc>
          <w:tcPr>
            <w:tcW w:w="468" w:type="pct"/>
            <w:tcBorders>
              <w:tl2br w:val="nil"/>
              <w:tr2bl w:val="nil"/>
            </w:tcBorders>
            <w:shd w:val="clear" w:color="auto" w:fill="auto"/>
            <w:vAlign w:val="center"/>
          </w:tcPr>
          <w:p w14:paraId="0DA35CF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5B18B15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62E0A7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72676A9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07B73B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746E07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5418CD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锌</w:t>
            </w:r>
          </w:p>
        </w:tc>
        <w:tc>
          <w:tcPr>
            <w:tcW w:w="317" w:type="pct"/>
            <w:tcBorders>
              <w:tl2br w:val="nil"/>
              <w:tr2bl w:val="nil"/>
            </w:tcBorders>
            <w:shd w:val="clear" w:color="auto" w:fill="auto"/>
            <w:vAlign w:val="center"/>
          </w:tcPr>
          <w:p w14:paraId="7F0A89F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687909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0.00396</w:t>
            </w:r>
          </w:p>
        </w:tc>
        <w:tc>
          <w:tcPr>
            <w:tcW w:w="452" w:type="pct"/>
            <w:tcBorders>
              <w:tl2br w:val="nil"/>
              <w:tr2bl w:val="nil"/>
            </w:tcBorders>
            <w:shd w:val="clear" w:color="auto" w:fill="auto"/>
            <w:vAlign w:val="center"/>
          </w:tcPr>
          <w:p w14:paraId="1D25E4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0.00267</w:t>
            </w:r>
          </w:p>
        </w:tc>
        <w:tc>
          <w:tcPr>
            <w:tcW w:w="452" w:type="pct"/>
            <w:tcBorders>
              <w:tl2br w:val="nil"/>
              <w:tr2bl w:val="nil"/>
            </w:tcBorders>
            <w:shd w:val="clear" w:color="auto" w:fill="auto"/>
            <w:vAlign w:val="center"/>
          </w:tcPr>
          <w:p w14:paraId="61123FE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0.00288</w:t>
            </w:r>
          </w:p>
        </w:tc>
        <w:tc>
          <w:tcPr>
            <w:tcW w:w="327" w:type="pct"/>
            <w:tcBorders>
              <w:tl2br w:val="nil"/>
              <w:tr2bl w:val="nil"/>
            </w:tcBorders>
            <w:shd w:val="clear" w:color="auto" w:fill="auto"/>
            <w:vAlign w:val="center"/>
          </w:tcPr>
          <w:p w14:paraId="556F851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0.00396</w:t>
            </w:r>
          </w:p>
        </w:tc>
        <w:tc>
          <w:tcPr>
            <w:tcW w:w="468" w:type="pct"/>
            <w:tcBorders>
              <w:tl2br w:val="nil"/>
              <w:tr2bl w:val="nil"/>
            </w:tcBorders>
            <w:shd w:val="clear" w:color="auto" w:fill="auto"/>
            <w:vAlign w:val="center"/>
          </w:tcPr>
          <w:p w14:paraId="3D248C3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543FEFA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6D5B9B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A6DCFA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7DCA13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shd w:val="clear" w:color="auto" w:fill="auto"/>
            <w:vAlign w:val="center"/>
          </w:tcPr>
          <w:p w14:paraId="098A413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BD0AA1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铜</w:t>
            </w:r>
          </w:p>
        </w:tc>
        <w:tc>
          <w:tcPr>
            <w:tcW w:w="317" w:type="pct"/>
            <w:tcBorders>
              <w:tl2br w:val="nil"/>
              <w:tr2bl w:val="nil"/>
            </w:tcBorders>
            <w:shd w:val="clear" w:color="auto" w:fill="auto"/>
            <w:vAlign w:val="center"/>
          </w:tcPr>
          <w:p w14:paraId="59F0781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F6C15E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0.00117</w:t>
            </w:r>
          </w:p>
        </w:tc>
        <w:tc>
          <w:tcPr>
            <w:tcW w:w="452" w:type="pct"/>
            <w:tcBorders>
              <w:tl2br w:val="nil"/>
              <w:tr2bl w:val="nil"/>
            </w:tcBorders>
            <w:shd w:val="clear" w:color="auto" w:fill="auto"/>
            <w:vAlign w:val="center"/>
          </w:tcPr>
          <w:p w14:paraId="27C01B3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0.00106</w:t>
            </w:r>
          </w:p>
        </w:tc>
        <w:tc>
          <w:tcPr>
            <w:tcW w:w="452" w:type="pct"/>
            <w:tcBorders>
              <w:tl2br w:val="nil"/>
              <w:tr2bl w:val="nil"/>
            </w:tcBorders>
            <w:shd w:val="clear" w:color="auto" w:fill="auto"/>
            <w:vAlign w:val="center"/>
          </w:tcPr>
          <w:p w14:paraId="202BC62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0.00084</w:t>
            </w:r>
          </w:p>
        </w:tc>
        <w:tc>
          <w:tcPr>
            <w:tcW w:w="327" w:type="pct"/>
            <w:tcBorders>
              <w:tl2br w:val="nil"/>
              <w:tr2bl w:val="nil"/>
            </w:tcBorders>
            <w:shd w:val="clear" w:color="auto" w:fill="auto"/>
            <w:vAlign w:val="center"/>
          </w:tcPr>
          <w:p w14:paraId="7101801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0.00117</w:t>
            </w:r>
          </w:p>
        </w:tc>
        <w:tc>
          <w:tcPr>
            <w:tcW w:w="468" w:type="pct"/>
            <w:tcBorders>
              <w:tl2br w:val="nil"/>
              <w:tr2bl w:val="nil"/>
            </w:tcBorders>
            <w:shd w:val="clear" w:color="auto" w:fill="auto"/>
            <w:vAlign w:val="center"/>
          </w:tcPr>
          <w:p w14:paraId="001A4FB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3A78A3E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CB5EF8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022FF6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5D1522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shd w:val="clear" w:color="auto" w:fill="auto"/>
            <w:vAlign w:val="center"/>
          </w:tcPr>
          <w:p w14:paraId="3A491D3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216CE6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317" w:type="pct"/>
            <w:tcBorders>
              <w:tl2br w:val="nil"/>
              <w:tr2bl w:val="nil"/>
            </w:tcBorders>
            <w:shd w:val="clear" w:color="auto" w:fill="auto"/>
            <w:vAlign w:val="center"/>
          </w:tcPr>
          <w:p w14:paraId="72F0AD2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F7A80B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2785FC7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5DAB2A4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327" w:type="pct"/>
            <w:tcBorders>
              <w:tl2br w:val="nil"/>
              <w:tr2bl w:val="nil"/>
            </w:tcBorders>
            <w:shd w:val="clear" w:color="auto" w:fill="auto"/>
            <w:vAlign w:val="center"/>
          </w:tcPr>
          <w:p w14:paraId="0E761F5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0.0015</w:t>
            </w:r>
          </w:p>
        </w:tc>
        <w:tc>
          <w:tcPr>
            <w:tcW w:w="468" w:type="pct"/>
            <w:tcBorders>
              <w:tl2br w:val="nil"/>
              <w:tr2bl w:val="nil"/>
            </w:tcBorders>
            <w:shd w:val="clear" w:color="auto" w:fill="auto"/>
            <w:vAlign w:val="center"/>
          </w:tcPr>
          <w:p w14:paraId="00890CE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57A2CFB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A68613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9EA412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≤0.02</w:t>
            </w:r>
          </w:p>
        </w:tc>
      </w:tr>
      <w:tr w14:paraId="541653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shd w:val="clear" w:color="auto" w:fill="auto"/>
            <w:vAlign w:val="center"/>
          </w:tcPr>
          <w:p w14:paraId="70BF61E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421031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317" w:type="pct"/>
            <w:tcBorders>
              <w:tl2br w:val="nil"/>
              <w:tr2bl w:val="nil"/>
            </w:tcBorders>
            <w:shd w:val="clear" w:color="auto" w:fill="auto"/>
            <w:vAlign w:val="center"/>
          </w:tcPr>
          <w:p w14:paraId="6A4C790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9AD484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0.00013</w:t>
            </w:r>
          </w:p>
        </w:tc>
        <w:tc>
          <w:tcPr>
            <w:tcW w:w="452" w:type="pct"/>
            <w:tcBorders>
              <w:tl2br w:val="nil"/>
              <w:tr2bl w:val="nil"/>
            </w:tcBorders>
            <w:shd w:val="clear" w:color="auto" w:fill="auto"/>
            <w:vAlign w:val="center"/>
          </w:tcPr>
          <w:p w14:paraId="6A10A59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vAlign w:val="center"/>
          </w:tcPr>
          <w:p w14:paraId="1AD9F37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327" w:type="pct"/>
            <w:tcBorders>
              <w:tl2br w:val="nil"/>
              <w:tr2bl w:val="nil"/>
            </w:tcBorders>
            <w:shd w:val="clear" w:color="auto" w:fill="auto"/>
            <w:vAlign w:val="center"/>
          </w:tcPr>
          <w:p w14:paraId="577D00A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4ACE05F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33EAA91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5AC9697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1C2ED30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1B085B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restart"/>
            <w:tcBorders>
              <w:tl2br w:val="nil"/>
              <w:tr2bl w:val="nil"/>
            </w:tcBorders>
            <w:shd w:val="clear" w:color="auto" w:fill="auto"/>
            <w:vAlign w:val="center"/>
          </w:tcPr>
          <w:p w14:paraId="443CDBE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W5无名小溪雨水汇入口下游1500m断面</w:t>
            </w:r>
          </w:p>
        </w:tc>
        <w:tc>
          <w:tcPr>
            <w:tcW w:w="681" w:type="pct"/>
            <w:tcBorders>
              <w:tl2br w:val="nil"/>
              <w:tr2bl w:val="nil"/>
            </w:tcBorders>
            <w:shd w:val="clear" w:color="auto" w:fill="auto"/>
            <w:vAlign w:val="center"/>
          </w:tcPr>
          <w:p w14:paraId="4238366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pH值</w:t>
            </w:r>
          </w:p>
        </w:tc>
        <w:tc>
          <w:tcPr>
            <w:tcW w:w="317" w:type="pct"/>
            <w:tcBorders>
              <w:tl2br w:val="nil"/>
              <w:tr2bl w:val="nil"/>
            </w:tcBorders>
            <w:shd w:val="clear" w:color="auto" w:fill="auto"/>
            <w:vAlign w:val="center"/>
          </w:tcPr>
          <w:p w14:paraId="5A2C627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无量纲</w:t>
            </w:r>
          </w:p>
        </w:tc>
        <w:tc>
          <w:tcPr>
            <w:tcW w:w="452" w:type="pct"/>
            <w:tcBorders>
              <w:tl2br w:val="nil"/>
              <w:tr2bl w:val="nil"/>
            </w:tcBorders>
            <w:shd w:val="clear" w:color="auto" w:fill="auto"/>
            <w:vAlign w:val="center"/>
          </w:tcPr>
          <w:p w14:paraId="0AEB6C9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7.7</w:t>
            </w:r>
          </w:p>
        </w:tc>
        <w:tc>
          <w:tcPr>
            <w:tcW w:w="452" w:type="pct"/>
            <w:tcBorders>
              <w:tl2br w:val="nil"/>
              <w:tr2bl w:val="nil"/>
            </w:tcBorders>
            <w:shd w:val="clear" w:color="auto" w:fill="auto"/>
            <w:vAlign w:val="center"/>
          </w:tcPr>
          <w:p w14:paraId="08E9DB2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8.0</w:t>
            </w:r>
          </w:p>
        </w:tc>
        <w:tc>
          <w:tcPr>
            <w:tcW w:w="452" w:type="pct"/>
            <w:tcBorders>
              <w:tl2br w:val="nil"/>
              <w:tr2bl w:val="nil"/>
            </w:tcBorders>
            <w:shd w:val="clear" w:color="auto" w:fill="auto"/>
            <w:vAlign w:val="center"/>
          </w:tcPr>
          <w:p w14:paraId="5341CAF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8.1</w:t>
            </w:r>
          </w:p>
        </w:tc>
        <w:tc>
          <w:tcPr>
            <w:tcW w:w="327" w:type="pct"/>
            <w:tcBorders>
              <w:tl2br w:val="nil"/>
              <w:tr2bl w:val="nil"/>
            </w:tcBorders>
            <w:shd w:val="clear" w:color="auto" w:fill="auto"/>
            <w:vAlign w:val="center"/>
          </w:tcPr>
          <w:p w14:paraId="0C1C8FA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0.55</w:t>
            </w:r>
          </w:p>
        </w:tc>
        <w:tc>
          <w:tcPr>
            <w:tcW w:w="468" w:type="pct"/>
            <w:tcBorders>
              <w:tl2br w:val="nil"/>
              <w:tr2bl w:val="nil"/>
            </w:tcBorders>
            <w:shd w:val="clear" w:color="auto" w:fill="auto"/>
            <w:vAlign w:val="center"/>
          </w:tcPr>
          <w:p w14:paraId="21BBF47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lang w:val="en-US" w:eastAsia="zh-CN"/>
              </w:rPr>
              <w:t>0</w:t>
            </w:r>
          </w:p>
        </w:tc>
        <w:tc>
          <w:tcPr>
            <w:tcW w:w="525" w:type="pct"/>
            <w:tcBorders>
              <w:tl2br w:val="nil"/>
              <w:tr2bl w:val="nil"/>
            </w:tcBorders>
            <w:shd w:val="clear" w:color="auto" w:fill="auto"/>
            <w:vAlign w:val="center"/>
          </w:tcPr>
          <w:p w14:paraId="620B3FC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D1856F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2"/>
                <w:kern w:val="2"/>
                <w:sz w:val="21"/>
                <w:szCs w:val="21"/>
                <w:lang w:val="en-US" w:eastAsia="zh-CN" w:bidi="ar-SA"/>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34A1CE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6-9</w:t>
            </w:r>
          </w:p>
        </w:tc>
      </w:tr>
      <w:tr w14:paraId="35096D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962619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25C5BC1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水温</w:t>
            </w:r>
          </w:p>
        </w:tc>
        <w:tc>
          <w:tcPr>
            <w:tcW w:w="317" w:type="pct"/>
            <w:tcBorders>
              <w:tl2br w:val="nil"/>
              <w:tr2bl w:val="nil"/>
            </w:tcBorders>
            <w:shd w:val="clear" w:color="auto" w:fill="auto"/>
            <w:vAlign w:val="center"/>
          </w:tcPr>
          <w:p w14:paraId="77DBDA4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c>
          <w:tcPr>
            <w:tcW w:w="452" w:type="pct"/>
            <w:tcBorders>
              <w:tl2br w:val="nil"/>
              <w:tr2bl w:val="nil"/>
            </w:tcBorders>
            <w:shd w:val="clear" w:color="auto" w:fill="auto"/>
            <w:vAlign w:val="center"/>
          </w:tcPr>
          <w:p w14:paraId="44B2C74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10.1</w:t>
            </w:r>
          </w:p>
        </w:tc>
        <w:tc>
          <w:tcPr>
            <w:tcW w:w="452" w:type="pct"/>
            <w:tcBorders>
              <w:tl2br w:val="nil"/>
              <w:tr2bl w:val="nil"/>
            </w:tcBorders>
            <w:shd w:val="clear" w:color="auto" w:fill="auto"/>
            <w:vAlign w:val="center"/>
          </w:tcPr>
          <w:p w14:paraId="1EE7E7D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11.1</w:t>
            </w:r>
          </w:p>
        </w:tc>
        <w:tc>
          <w:tcPr>
            <w:tcW w:w="452" w:type="pct"/>
            <w:tcBorders>
              <w:tl2br w:val="nil"/>
              <w:tr2bl w:val="nil"/>
            </w:tcBorders>
            <w:shd w:val="clear" w:color="auto" w:fill="auto"/>
            <w:vAlign w:val="center"/>
          </w:tcPr>
          <w:p w14:paraId="0A01210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13.5</w:t>
            </w:r>
          </w:p>
        </w:tc>
        <w:tc>
          <w:tcPr>
            <w:tcW w:w="327" w:type="pct"/>
            <w:tcBorders>
              <w:tl2br w:val="nil"/>
              <w:tr2bl w:val="nil"/>
            </w:tcBorders>
            <w:shd w:val="clear" w:color="auto" w:fill="auto"/>
            <w:vAlign w:val="center"/>
          </w:tcPr>
          <w:p w14:paraId="081280F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6C07829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7A47ACE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264AA6C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64AE19E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3B7250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98B8A3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22FA6D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溶解氧</w:t>
            </w:r>
          </w:p>
        </w:tc>
        <w:tc>
          <w:tcPr>
            <w:tcW w:w="317" w:type="pct"/>
            <w:tcBorders>
              <w:tl2br w:val="nil"/>
              <w:tr2bl w:val="nil"/>
            </w:tcBorders>
            <w:shd w:val="clear" w:color="auto" w:fill="auto"/>
            <w:vAlign w:val="center"/>
          </w:tcPr>
          <w:p w14:paraId="76AB036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8E570D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10.17</w:t>
            </w:r>
          </w:p>
        </w:tc>
        <w:tc>
          <w:tcPr>
            <w:tcW w:w="452" w:type="pct"/>
            <w:tcBorders>
              <w:tl2br w:val="nil"/>
              <w:tr2bl w:val="nil"/>
            </w:tcBorders>
            <w:shd w:val="clear" w:color="auto" w:fill="auto"/>
            <w:vAlign w:val="center"/>
          </w:tcPr>
          <w:p w14:paraId="394D19C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10.73</w:t>
            </w:r>
          </w:p>
        </w:tc>
        <w:tc>
          <w:tcPr>
            <w:tcW w:w="452" w:type="pct"/>
            <w:tcBorders>
              <w:tl2br w:val="nil"/>
              <w:tr2bl w:val="nil"/>
            </w:tcBorders>
            <w:shd w:val="clear" w:color="auto" w:fill="auto"/>
            <w:vAlign w:val="center"/>
          </w:tcPr>
          <w:p w14:paraId="5512ACD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10.30</w:t>
            </w:r>
          </w:p>
        </w:tc>
        <w:tc>
          <w:tcPr>
            <w:tcW w:w="327" w:type="pct"/>
            <w:tcBorders>
              <w:tl2br w:val="nil"/>
              <w:tr2bl w:val="nil"/>
            </w:tcBorders>
            <w:shd w:val="clear" w:color="auto" w:fill="auto"/>
            <w:vAlign w:val="center"/>
          </w:tcPr>
          <w:p w14:paraId="1670E2E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default" w:ascii="Times New Roman" w:hAnsi="Times New Roman" w:eastAsia="宋体" w:cs="Times New Roman"/>
                <w:spacing w:val="1"/>
                <w:sz w:val="21"/>
                <w:szCs w:val="21"/>
                <w:lang w:val="en-US" w:eastAsia="zh-CN"/>
              </w:rPr>
            </w:pPr>
            <w:r>
              <w:rPr>
                <w:rFonts w:hint="eastAsia" w:eastAsia="宋体" w:cs="Times New Roman"/>
                <w:spacing w:val="1"/>
                <w:sz w:val="21"/>
                <w:szCs w:val="21"/>
                <w:lang w:val="en-US" w:eastAsia="zh-CN"/>
              </w:rPr>
              <w:t>0.49</w:t>
            </w:r>
          </w:p>
        </w:tc>
        <w:tc>
          <w:tcPr>
            <w:tcW w:w="468" w:type="pct"/>
            <w:tcBorders>
              <w:tl2br w:val="nil"/>
              <w:tr2bl w:val="nil"/>
            </w:tcBorders>
            <w:shd w:val="clear" w:color="auto" w:fill="auto"/>
            <w:vAlign w:val="center"/>
          </w:tcPr>
          <w:p w14:paraId="5CFE4D2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5C14176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BBFB80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EA440D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≥5</w:t>
            </w:r>
          </w:p>
        </w:tc>
      </w:tr>
      <w:tr w14:paraId="25416C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561283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9C37D1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化学需氧量</w:t>
            </w:r>
          </w:p>
        </w:tc>
        <w:tc>
          <w:tcPr>
            <w:tcW w:w="317" w:type="pct"/>
            <w:tcBorders>
              <w:tl2br w:val="nil"/>
              <w:tr2bl w:val="nil"/>
            </w:tcBorders>
            <w:shd w:val="clear" w:color="auto" w:fill="auto"/>
            <w:vAlign w:val="center"/>
          </w:tcPr>
          <w:p w14:paraId="417E762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AD84FC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6</w:t>
            </w:r>
          </w:p>
        </w:tc>
        <w:tc>
          <w:tcPr>
            <w:tcW w:w="452" w:type="pct"/>
            <w:tcBorders>
              <w:tl2br w:val="nil"/>
              <w:tr2bl w:val="nil"/>
            </w:tcBorders>
            <w:shd w:val="clear" w:color="auto" w:fill="auto"/>
            <w:vAlign w:val="center"/>
          </w:tcPr>
          <w:p w14:paraId="4EC9568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9</w:t>
            </w:r>
          </w:p>
        </w:tc>
        <w:tc>
          <w:tcPr>
            <w:tcW w:w="452" w:type="pct"/>
            <w:tcBorders>
              <w:tl2br w:val="nil"/>
              <w:tr2bl w:val="nil"/>
            </w:tcBorders>
            <w:shd w:val="clear" w:color="auto" w:fill="auto"/>
            <w:vAlign w:val="center"/>
          </w:tcPr>
          <w:p w14:paraId="43EF1CE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7</w:t>
            </w:r>
          </w:p>
        </w:tc>
        <w:tc>
          <w:tcPr>
            <w:tcW w:w="327" w:type="pct"/>
            <w:tcBorders>
              <w:tl2br w:val="nil"/>
              <w:tr2bl w:val="nil"/>
            </w:tcBorders>
            <w:shd w:val="clear" w:color="auto" w:fill="auto"/>
            <w:vAlign w:val="center"/>
          </w:tcPr>
          <w:p w14:paraId="47B5DD0A">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0.45</w:t>
            </w:r>
          </w:p>
        </w:tc>
        <w:tc>
          <w:tcPr>
            <w:tcW w:w="468" w:type="pct"/>
            <w:tcBorders>
              <w:tl2br w:val="nil"/>
              <w:tr2bl w:val="nil"/>
            </w:tcBorders>
            <w:shd w:val="clear" w:color="auto" w:fill="auto"/>
            <w:vAlign w:val="center"/>
          </w:tcPr>
          <w:p w14:paraId="3B4ED1C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21E1E8F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2A5B27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12A624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≤20</w:t>
            </w:r>
          </w:p>
        </w:tc>
      </w:tr>
      <w:tr w14:paraId="6397A0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6680B32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620DB1F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高锰酸盐指数</w:t>
            </w:r>
          </w:p>
        </w:tc>
        <w:tc>
          <w:tcPr>
            <w:tcW w:w="317" w:type="pct"/>
            <w:tcBorders>
              <w:tl2br w:val="nil"/>
              <w:tr2bl w:val="nil"/>
            </w:tcBorders>
            <w:shd w:val="clear" w:color="auto" w:fill="auto"/>
            <w:vAlign w:val="center"/>
          </w:tcPr>
          <w:p w14:paraId="5D2C5E2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B84F72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w:t>
            </w:r>
          </w:p>
        </w:tc>
        <w:tc>
          <w:tcPr>
            <w:tcW w:w="452" w:type="pct"/>
            <w:tcBorders>
              <w:tl2br w:val="nil"/>
              <w:tr2bl w:val="nil"/>
            </w:tcBorders>
            <w:shd w:val="clear" w:color="auto" w:fill="auto"/>
            <w:vAlign w:val="center"/>
          </w:tcPr>
          <w:p w14:paraId="50B02DA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0.6</w:t>
            </w:r>
          </w:p>
        </w:tc>
        <w:tc>
          <w:tcPr>
            <w:tcW w:w="452" w:type="pct"/>
            <w:tcBorders>
              <w:tl2br w:val="nil"/>
              <w:tr2bl w:val="nil"/>
            </w:tcBorders>
            <w:shd w:val="clear" w:color="auto" w:fill="auto"/>
            <w:vAlign w:val="center"/>
          </w:tcPr>
          <w:p w14:paraId="58D2957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w:t>
            </w:r>
          </w:p>
        </w:tc>
        <w:tc>
          <w:tcPr>
            <w:tcW w:w="327" w:type="pct"/>
            <w:tcBorders>
              <w:tl2br w:val="nil"/>
              <w:tr2bl w:val="nil"/>
            </w:tcBorders>
            <w:shd w:val="clear" w:color="auto" w:fill="auto"/>
            <w:vAlign w:val="center"/>
          </w:tcPr>
          <w:p w14:paraId="5CDBA3A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0.183</w:t>
            </w:r>
          </w:p>
        </w:tc>
        <w:tc>
          <w:tcPr>
            <w:tcW w:w="468" w:type="pct"/>
            <w:tcBorders>
              <w:tl2br w:val="nil"/>
              <w:tr2bl w:val="nil"/>
            </w:tcBorders>
            <w:shd w:val="clear" w:color="auto" w:fill="auto"/>
            <w:vAlign w:val="center"/>
          </w:tcPr>
          <w:p w14:paraId="61897B1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60784CF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AA94AA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66F422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≤6</w:t>
            </w:r>
          </w:p>
        </w:tc>
      </w:tr>
      <w:tr w14:paraId="3904CA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D6F5CC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08FA84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五日生化需氧量</w:t>
            </w:r>
          </w:p>
        </w:tc>
        <w:tc>
          <w:tcPr>
            <w:tcW w:w="317" w:type="pct"/>
            <w:tcBorders>
              <w:tl2br w:val="nil"/>
              <w:tr2bl w:val="nil"/>
            </w:tcBorders>
            <w:shd w:val="clear" w:color="auto" w:fill="auto"/>
            <w:vAlign w:val="center"/>
          </w:tcPr>
          <w:p w14:paraId="755B275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55E61C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1.6</w:t>
            </w:r>
          </w:p>
        </w:tc>
        <w:tc>
          <w:tcPr>
            <w:tcW w:w="452" w:type="pct"/>
            <w:tcBorders>
              <w:tl2br w:val="nil"/>
              <w:tr2bl w:val="nil"/>
            </w:tcBorders>
            <w:shd w:val="clear" w:color="auto" w:fill="auto"/>
            <w:vAlign w:val="center"/>
          </w:tcPr>
          <w:p w14:paraId="764ABE8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1.9</w:t>
            </w:r>
          </w:p>
        </w:tc>
        <w:tc>
          <w:tcPr>
            <w:tcW w:w="452" w:type="pct"/>
            <w:tcBorders>
              <w:tl2br w:val="nil"/>
              <w:tr2bl w:val="nil"/>
            </w:tcBorders>
            <w:shd w:val="clear" w:color="auto" w:fill="auto"/>
            <w:vAlign w:val="center"/>
          </w:tcPr>
          <w:p w14:paraId="4657852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1.8</w:t>
            </w:r>
          </w:p>
        </w:tc>
        <w:tc>
          <w:tcPr>
            <w:tcW w:w="327" w:type="pct"/>
            <w:tcBorders>
              <w:tl2br w:val="nil"/>
              <w:tr2bl w:val="nil"/>
            </w:tcBorders>
            <w:shd w:val="clear" w:color="auto" w:fill="auto"/>
            <w:vAlign w:val="center"/>
          </w:tcPr>
          <w:p w14:paraId="7AEED5B6">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0.475</w:t>
            </w:r>
          </w:p>
        </w:tc>
        <w:tc>
          <w:tcPr>
            <w:tcW w:w="468" w:type="pct"/>
            <w:tcBorders>
              <w:tl2br w:val="nil"/>
              <w:tr2bl w:val="nil"/>
            </w:tcBorders>
            <w:shd w:val="clear" w:color="auto" w:fill="auto"/>
            <w:vAlign w:val="center"/>
          </w:tcPr>
          <w:p w14:paraId="338BEDD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6CAE899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E78EDA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61F6B4D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≤4</w:t>
            </w:r>
          </w:p>
        </w:tc>
      </w:tr>
      <w:tr w14:paraId="10B694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9D3652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42CCD0D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石油类</w:t>
            </w:r>
          </w:p>
        </w:tc>
        <w:tc>
          <w:tcPr>
            <w:tcW w:w="317" w:type="pct"/>
            <w:tcBorders>
              <w:tl2br w:val="nil"/>
              <w:tr2bl w:val="nil"/>
            </w:tcBorders>
            <w:shd w:val="clear" w:color="auto" w:fill="auto"/>
            <w:vAlign w:val="center"/>
          </w:tcPr>
          <w:p w14:paraId="7BFDB00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372C57D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6B049D6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4C6B94B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70B8E39B">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w:t>
            </w:r>
          </w:p>
        </w:tc>
        <w:tc>
          <w:tcPr>
            <w:tcW w:w="468" w:type="pct"/>
            <w:tcBorders>
              <w:tl2br w:val="nil"/>
              <w:tr2bl w:val="nil"/>
            </w:tcBorders>
            <w:shd w:val="clear" w:color="auto" w:fill="auto"/>
            <w:vAlign w:val="center"/>
          </w:tcPr>
          <w:p w14:paraId="3DBC850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5910160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183A56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EA7AD2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61898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0B4274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36DE96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阴离子表面活性剂</w:t>
            </w:r>
          </w:p>
        </w:tc>
        <w:tc>
          <w:tcPr>
            <w:tcW w:w="317" w:type="pct"/>
            <w:tcBorders>
              <w:tl2br w:val="nil"/>
              <w:tr2bl w:val="nil"/>
            </w:tcBorders>
            <w:shd w:val="clear" w:color="auto" w:fill="auto"/>
            <w:vAlign w:val="center"/>
          </w:tcPr>
          <w:p w14:paraId="00CFD74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056EFD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4BAE672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452" w:type="pct"/>
            <w:tcBorders>
              <w:tl2br w:val="nil"/>
              <w:tr2bl w:val="nil"/>
            </w:tcBorders>
            <w:shd w:val="clear" w:color="auto" w:fill="auto"/>
            <w:vAlign w:val="center"/>
          </w:tcPr>
          <w:p w14:paraId="3F459AA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0.05L</w:t>
            </w:r>
          </w:p>
        </w:tc>
        <w:tc>
          <w:tcPr>
            <w:tcW w:w="327" w:type="pct"/>
            <w:tcBorders>
              <w:tl2br w:val="nil"/>
              <w:tr2bl w:val="nil"/>
            </w:tcBorders>
            <w:shd w:val="clear" w:color="auto" w:fill="auto"/>
            <w:vAlign w:val="center"/>
          </w:tcPr>
          <w:p w14:paraId="7C5CA12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0.125</w:t>
            </w:r>
          </w:p>
        </w:tc>
        <w:tc>
          <w:tcPr>
            <w:tcW w:w="468" w:type="pct"/>
            <w:tcBorders>
              <w:tl2br w:val="nil"/>
              <w:tr2bl w:val="nil"/>
            </w:tcBorders>
            <w:shd w:val="clear" w:color="auto" w:fill="auto"/>
            <w:vAlign w:val="center"/>
          </w:tcPr>
          <w:p w14:paraId="78A5112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4DA9176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AECDF9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86D90E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75C819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6CE558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43EE6E2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总氮</w:t>
            </w:r>
          </w:p>
        </w:tc>
        <w:tc>
          <w:tcPr>
            <w:tcW w:w="317" w:type="pct"/>
            <w:tcBorders>
              <w:tl2br w:val="nil"/>
              <w:tr2bl w:val="nil"/>
            </w:tcBorders>
            <w:shd w:val="clear" w:color="auto" w:fill="auto"/>
            <w:vAlign w:val="center"/>
          </w:tcPr>
          <w:p w14:paraId="03382E4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260BC07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0.86</w:t>
            </w:r>
          </w:p>
        </w:tc>
        <w:tc>
          <w:tcPr>
            <w:tcW w:w="452" w:type="pct"/>
            <w:tcBorders>
              <w:tl2br w:val="nil"/>
              <w:tr2bl w:val="nil"/>
            </w:tcBorders>
            <w:shd w:val="clear" w:color="auto" w:fill="auto"/>
            <w:vAlign w:val="center"/>
          </w:tcPr>
          <w:p w14:paraId="6FCA1DF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0.85</w:t>
            </w:r>
          </w:p>
        </w:tc>
        <w:tc>
          <w:tcPr>
            <w:tcW w:w="452" w:type="pct"/>
            <w:tcBorders>
              <w:tl2br w:val="nil"/>
              <w:tr2bl w:val="nil"/>
            </w:tcBorders>
            <w:shd w:val="clear" w:color="auto" w:fill="auto"/>
            <w:vAlign w:val="center"/>
          </w:tcPr>
          <w:p w14:paraId="7BB0FA1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0.87</w:t>
            </w:r>
          </w:p>
        </w:tc>
        <w:tc>
          <w:tcPr>
            <w:tcW w:w="327" w:type="pct"/>
            <w:tcBorders>
              <w:tl2br w:val="nil"/>
              <w:tr2bl w:val="nil"/>
            </w:tcBorders>
            <w:shd w:val="clear" w:color="auto" w:fill="auto"/>
            <w:vAlign w:val="center"/>
          </w:tcPr>
          <w:p w14:paraId="7FA3DE8C">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0.87</w:t>
            </w:r>
          </w:p>
        </w:tc>
        <w:tc>
          <w:tcPr>
            <w:tcW w:w="468" w:type="pct"/>
            <w:tcBorders>
              <w:tl2br w:val="nil"/>
              <w:tr2bl w:val="nil"/>
            </w:tcBorders>
            <w:shd w:val="clear" w:color="auto" w:fill="auto"/>
            <w:vAlign w:val="center"/>
          </w:tcPr>
          <w:p w14:paraId="319DF31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0570577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256E54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485D54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247E37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B04913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2B60D5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氨氮</w:t>
            </w:r>
          </w:p>
        </w:tc>
        <w:tc>
          <w:tcPr>
            <w:tcW w:w="317" w:type="pct"/>
            <w:tcBorders>
              <w:tl2br w:val="nil"/>
              <w:tr2bl w:val="nil"/>
            </w:tcBorders>
            <w:shd w:val="clear" w:color="auto" w:fill="auto"/>
            <w:vAlign w:val="center"/>
          </w:tcPr>
          <w:p w14:paraId="5D148C5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6C340C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0.19</w:t>
            </w:r>
          </w:p>
        </w:tc>
        <w:tc>
          <w:tcPr>
            <w:tcW w:w="452" w:type="pct"/>
            <w:tcBorders>
              <w:tl2br w:val="nil"/>
              <w:tr2bl w:val="nil"/>
            </w:tcBorders>
            <w:shd w:val="clear" w:color="auto" w:fill="auto"/>
            <w:vAlign w:val="center"/>
          </w:tcPr>
          <w:p w14:paraId="45EA0A1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0.21</w:t>
            </w:r>
          </w:p>
        </w:tc>
        <w:tc>
          <w:tcPr>
            <w:tcW w:w="452" w:type="pct"/>
            <w:tcBorders>
              <w:tl2br w:val="nil"/>
              <w:tr2bl w:val="nil"/>
            </w:tcBorders>
            <w:shd w:val="clear" w:color="auto" w:fill="auto"/>
            <w:vAlign w:val="center"/>
          </w:tcPr>
          <w:p w14:paraId="3C62D6E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0.20</w:t>
            </w:r>
          </w:p>
        </w:tc>
        <w:tc>
          <w:tcPr>
            <w:tcW w:w="327" w:type="pct"/>
            <w:tcBorders>
              <w:tl2br w:val="nil"/>
              <w:tr2bl w:val="nil"/>
            </w:tcBorders>
            <w:shd w:val="clear" w:color="auto" w:fill="auto"/>
            <w:vAlign w:val="center"/>
          </w:tcPr>
          <w:p w14:paraId="4ACD9EA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0.21</w:t>
            </w:r>
          </w:p>
        </w:tc>
        <w:tc>
          <w:tcPr>
            <w:tcW w:w="468" w:type="pct"/>
            <w:tcBorders>
              <w:tl2br w:val="nil"/>
              <w:tr2bl w:val="nil"/>
            </w:tcBorders>
            <w:shd w:val="clear" w:color="auto" w:fill="auto"/>
            <w:vAlign w:val="center"/>
          </w:tcPr>
          <w:p w14:paraId="35FF36A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41584DE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BF4A10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739EF5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548DD3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60314E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3F5C4D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总磷</w:t>
            </w:r>
          </w:p>
        </w:tc>
        <w:tc>
          <w:tcPr>
            <w:tcW w:w="317" w:type="pct"/>
            <w:tcBorders>
              <w:tl2br w:val="nil"/>
              <w:tr2bl w:val="nil"/>
            </w:tcBorders>
            <w:shd w:val="clear" w:color="auto" w:fill="auto"/>
            <w:vAlign w:val="center"/>
          </w:tcPr>
          <w:p w14:paraId="7C98A60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6DAC37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0.18</w:t>
            </w:r>
          </w:p>
        </w:tc>
        <w:tc>
          <w:tcPr>
            <w:tcW w:w="452" w:type="pct"/>
            <w:tcBorders>
              <w:tl2br w:val="nil"/>
              <w:tr2bl w:val="nil"/>
            </w:tcBorders>
            <w:shd w:val="clear" w:color="auto" w:fill="auto"/>
            <w:vAlign w:val="center"/>
          </w:tcPr>
          <w:p w14:paraId="09C58BA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0.16</w:t>
            </w:r>
          </w:p>
        </w:tc>
        <w:tc>
          <w:tcPr>
            <w:tcW w:w="452" w:type="pct"/>
            <w:tcBorders>
              <w:tl2br w:val="nil"/>
              <w:tr2bl w:val="nil"/>
            </w:tcBorders>
            <w:shd w:val="clear" w:color="auto" w:fill="auto"/>
            <w:vAlign w:val="center"/>
          </w:tcPr>
          <w:p w14:paraId="065F1BE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0.16</w:t>
            </w:r>
          </w:p>
        </w:tc>
        <w:tc>
          <w:tcPr>
            <w:tcW w:w="327" w:type="pct"/>
            <w:tcBorders>
              <w:tl2br w:val="nil"/>
              <w:tr2bl w:val="nil"/>
            </w:tcBorders>
            <w:shd w:val="clear" w:color="auto" w:fill="auto"/>
            <w:vAlign w:val="center"/>
          </w:tcPr>
          <w:p w14:paraId="00C9FB4B">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0.9</w:t>
            </w:r>
          </w:p>
        </w:tc>
        <w:tc>
          <w:tcPr>
            <w:tcW w:w="468" w:type="pct"/>
            <w:tcBorders>
              <w:tl2br w:val="nil"/>
              <w:tr2bl w:val="nil"/>
            </w:tcBorders>
            <w:shd w:val="clear" w:color="auto" w:fill="auto"/>
            <w:vAlign w:val="center"/>
          </w:tcPr>
          <w:p w14:paraId="3BC8C445">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543E3D9E">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F47B1C8">
            <w:pPr>
              <w:keepNext w:val="0"/>
              <w:keepLines w:val="0"/>
              <w:pageBreakBefore w:val="0"/>
              <w:widowControl/>
              <w:kinsoku/>
              <w:wordWrap/>
              <w:overflowPunct/>
              <w:autoSpaceDE/>
              <w:autoSpaceDN/>
              <w:bidi w:val="0"/>
              <w:spacing w:line="240" w:lineRule="auto"/>
              <w:ind w:left="0" w:leftChars="0" w:firstLine="0" w:firstLineChars="0"/>
              <w:jc w:val="center"/>
              <w:textAlignment w:val="auto"/>
              <w:rPr>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5FCF66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≤0.2</w:t>
            </w:r>
          </w:p>
          <w:p w14:paraId="5A09A888">
            <w:pPr>
              <w:pStyle w:val="197"/>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宋体" w:hAnsi="宋体" w:eastAsia="宋体" w:cs="宋体"/>
                <w:color w:val="auto"/>
                <w:kern w:val="2"/>
                <w:sz w:val="21"/>
                <w:szCs w:val="21"/>
                <w:lang w:val="en-US" w:eastAsia="zh-CN" w:bidi="ar-SA"/>
              </w:rPr>
            </w:pPr>
            <w:r>
              <w:rPr>
                <w:spacing w:val="-2"/>
                <w:sz w:val="21"/>
                <w:szCs w:val="21"/>
              </w:rPr>
              <w:t>（湖、库</w:t>
            </w:r>
            <w:r>
              <w:rPr>
                <w:rFonts w:ascii="Times New Roman" w:hAnsi="Times New Roman" w:eastAsia="Times New Roman" w:cs="Times New Roman"/>
                <w:spacing w:val="-2"/>
                <w:sz w:val="21"/>
                <w:szCs w:val="21"/>
              </w:rPr>
              <w:t>0.05</w:t>
            </w:r>
            <w:r>
              <w:rPr>
                <w:spacing w:val="-2"/>
                <w:sz w:val="21"/>
                <w:szCs w:val="21"/>
              </w:rPr>
              <w:t>）</w:t>
            </w:r>
          </w:p>
        </w:tc>
      </w:tr>
      <w:tr w14:paraId="0BA8A4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D41BE9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456DA3B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粪大肠菌群</w:t>
            </w:r>
          </w:p>
        </w:tc>
        <w:tc>
          <w:tcPr>
            <w:tcW w:w="317" w:type="pct"/>
            <w:tcBorders>
              <w:tl2br w:val="nil"/>
              <w:tr2bl w:val="nil"/>
            </w:tcBorders>
            <w:shd w:val="clear" w:color="auto" w:fill="auto"/>
            <w:vAlign w:val="center"/>
          </w:tcPr>
          <w:p w14:paraId="3C40BBE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MPN/L</w:t>
            </w:r>
          </w:p>
        </w:tc>
        <w:tc>
          <w:tcPr>
            <w:tcW w:w="452" w:type="pct"/>
            <w:tcBorders>
              <w:tl2br w:val="nil"/>
              <w:tr2bl w:val="nil"/>
            </w:tcBorders>
            <w:shd w:val="clear" w:color="auto" w:fill="auto"/>
            <w:vAlign w:val="center"/>
          </w:tcPr>
          <w:p w14:paraId="724A4C2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4.1×10</w:t>
            </w:r>
            <w:r>
              <w:rPr>
                <w:vertAlign w:val="superscript"/>
              </w:rPr>
              <w:t>2</w:t>
            </w:r>
          </w:p>
        </w:tc>
        <w:tc>
          <w:tcPr>
            <w:tcW w:w="452" w:type="pct"/>
            <w:tcBorders>
              <w:tl2br w:val="nil"/>
              <w:tr2bl w:val="nil"/>
            </w:tcBorders>
            <w:shd w:val="clear" w:color="auto" w:fill="auto"/>
            <w:vAlign w:val="center"/>
          </w:tcPr>
          <w:p w14:paraId="7BD5C17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3.9×10</w:t>
            </w:r>
            <w:r>
              <w:rPr>
                <w:vertAlign w:val="superscript"/>
              </w:rPr>
              <w:t>2</w:t>
            </w:r>
          </w:p>
        </w:tc>
        <w:tc>
          <w:tcPr>
            <w:tcW w:w="452" w:type="pct"/>
            <w:tcBorders>
              <w:tl2br w:val="nil"/>
              <w:tr2bl w:val="nil"/>
            </w:tcBorders>
            <w:shd w:val="clear" w:color="auto" w:fill="auto"/>
            <w:vAlign w:val="center"/>
          </w:tcPr>
          <w:p w14:paraId="60103CE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3.8×10</w:t>
            </w:r>
            <w:r>
              <w:rPr>
                <w:vertAlign w:val="superscript"/>
              </w:rPr>
              <w:t>2</w:t>
            </w:r>
          </w:p>
        </w:tc>
        <w:tc>
          <w:tcPr>
            <w:tcW w:w="327" w:type="pct"/>
            <w:tcBorders>
              <w:tl2br w:val="nil"/>
              <w:tr2bl w:val="nil"/>
            </w:tcBorders>
            <w:shd w:val="clear" w:color="auto" w:fill="auto"/>
            <w:vAlign w:val="center"/>
          </w:tcPr>
          <w:p w14:paraId="501C228D">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0.041</w:t>
            </w:r>
          </w:p>
        </w:tc>
        <w:tc>
          <w:tcPr>
            <w:tcW w:w="468" w:type="pct"/>
            <w:tcBorders>
              <w:tl2br w:val="nil"/>
              <w:tr2bl w:val="nil"/>
            </w:tcBorders>
            <w:shd w:val="clear" w:color="auto" w:fill="auto"/>
            <w:vAlign w:val="center"/>
          </w:tcPr>
          <w:p w14:paraId="3CD4FA1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lang w:val="en-US" w:eastAsia="zh-CN"/>
              </w:rPr>
              <w:t>0</w:t>
            </w:r>
          </w:p>
        </w:tc>
        <w:tc>
          <w:tcPr>
            <w:tcW w:w="525" w:type="pct"/>
            <w:tcBorders>
              <w:tl2br w:val="nil"/>
              <w:tr2bl w:val="nil"/>
            </w:tcBorders>
            <w:shd w:val="clear" w:color="auto" w:fill="auto"/>
            <w:vAlign w:val="center"/>
          </w:tcPr>
          <w:p w14:paraId="5917C01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13B031A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0A350F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z w:val="21"/>
                <w:szCs w:val="21"/>
              </w:rPr>
              <w:t>≤10000</w:t>
            </w:r>
          </w:p>
        </w:tc>
      </w:tr>
      <w:tr w14:paraId="3775C1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696BDE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2B997CD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rPr>
                <w:rFonts w:hint="eastAsia" w:eastAsiaTheme="minorEastAsia"/>
                <w:lang w:val="en-US" w:eastAsia="zh-CN"/>
              </w:rPr>
              <w:t>氟化物</w:t>
            </w:r>
          </w:p>
        </w:tc>
        <w:tc>
          <w:tcPr>
            <w:tcW w:w="317" w:type="pct"/>
            <w:tcBorders>
              <w:tl2br w:val="nil"/>
              <w:tr2bl w:val="nil"/>
            </w:tcBorders>
            <w:shd w:val="clear" w:color="auto" w:fill="auto"/>
            <w:vAlign w:val="center"/>
          </w:tcPr>
          <w:p w14:paraId="30ABADB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7D4373A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0.26</w:t>
            </w:r>
          </w:p>
        </w:tc>
        <w:tc>
          <w:tcPr>
            <w:tcW w:w="452" w:type="pct"/>
            <w:tcBorders>
              <w:tl2br w:val="nil"/>
              <w:tr2bl w:val="nil"/>
            </w:tcBorders>
            <w:shd w:val="clear" w:color="auto" w:fill="auto"/>
            <w:vAlign w:val="center"/>
          </w:tcPr>
          <w:p w14:paraId="293C705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0.27</w:t>
            </w:r>
          </w:p>
        </w:tc>
        <w:tc>
          <w:tcPr>
            <w:tcW w:w="452" w:type="pct"/>
            <w:tcBorders>
              <w:tl2br w:val="nil"/>
              <w:tr2bl w:val="nil"/>
            </w:tcBorders>
            <w:shd w:val="clear" w:color="auto" w:fill="auto"/>
            <w:vAlign w:val="center"/>
          </w:tcPr>
          <w:p w14:paraId="76CF5A4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w:t>
            </w:r>
          </w:p>
        </w:tc>
        <w:tc>
          <w:tcPr>
            <w:tcW w:w="327" w:type="pct"/>
            <w:tcBorders>
              <w:tl2br w:val="nil"/>
              <w:tr2bl w:val="nil"/>
            </w:tcBorders>
            <w:shd w:val="clear" w:color="auto" w:fill="auto"/>
            <w:vAlign w:val="center"/>
          </w:tcPr>
          <w:p w14:paraId="03BC7577">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0.3</w:t>
            </w:r>
          </w:p>
        </w:tc>
        <w:tc>
          <w:tcPr>
            <w:tcW w:w="468" w:type="pct"/>
            <w:tcBorders>
              <w:tl2br w:val="nil"/>
              <w:tr2bl w:val="nil"/>
            </w:tcBorders>
            <w:shd w:val="clear" w:color="auto" w:fill="auto"/>
            <w:vAlign w:val="center"/>
          </w:tcPr>
          <w:p w14:paraId="249B689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1B9F8F3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9847D2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775EDB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69B3C6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3A65CA7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7223BD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挥发酚</w:t>
            </w:r>
          </w:p>
        </w:tc>
        <w:tc>
          <w:tcPr>
            <w:tcW w:w="317" w:type="pct"/>
            <w:tcBorders>
              <w:tl2br w:val="nil"/>
              <w:tr2bl w:val="nil"/>
            </w:tcBorders>
            <w:shd w:val="clear" w:color="auto" w:fill="auto"/>
            <w:vAlign w:val="center"/>
          </w:tcPr>
          <w:p w14:paraId="0BA2891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23F519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4E9FFAD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452" w:type="pct"/>
            <w:tcBorders>
              <w:tl2br w:val="nil"/>
              <w:tr2bl w:val="nil"/>
            </w:tcBorders>
            <w:shd w:val="clear" w:color="auto" w:fill="auto"/>
            <w:vAlign w:val="center"/>
          </w:tcPr>
          <w:p w14:paraId="37E6AFE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327" w:type="pct"/>
            <w:tcBorders>
              <w:tl2br w:val="nil"/>
              <w:tr2bl w:val="nil"/>
            </w:tcBorders>
            <w:shd w:val="clear" w:color="auto" w:fill="auto"/>
            <w:vAlign w:val="center"/>
          </w:tcPr>
          <w:p w14:paraId="21C69388">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0.03</w:t>
            </w:r>
          </w:p>
        </w:tc>
        <w:tc>
          <w:tcPr>
            <w:tcW w:w="468" w:type="pct"/>
            <w:tcBorders>
              <w:tl2br w:val="nil"/>
              <w:tr2bl w:val="nil"/>
            </w:tcBorders>
            <w:shd w:val="clear" w:color="auto" w:fill="auto"/>
            <w:vAlign w:val="center"/>
          </w:tcPr>
          <w:p w14:paraId="29BCCE9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6B0690C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EC72B2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D8246C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693C99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302101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9C2C51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氰化物</w:t>
            </w:r>
          </w:p>
        </w:tc>
        <w:tc>
          <w:tcPr>
            <w:tcW w:w="317" w:type="pct"/>
            <w:tcBorders>
              <w:tl2br w:val="nil"/>
              <w:tr2bl w:val="nil"/>
            </w:tcBorders>
            <w:shd w:val="clear" w:color="auto" w:fill="auto"/>
            <w:vAlign w:val="center"/>
          </w:tcPr>
          <w:p w14:paraId="4929988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EFBF58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4C83A1F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676E774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3BC1735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0.01</w:t>
            </w:r>
          </w:p>
        </w:tc>
        <w:tc>
          <w:tcPr>
            <w:tcW w:w="468" w:type="pct"/>
            <w:tcBorders>
              <w:tl2br w:val="nil"/>
              <w:tr2bl w:val="nil"/>
            </w:tcBorders>
            <w:shd w:val="clear" w:color="auto" w:fill="auto"/>
            <w:vAlign w:val="center"/>
          </w:tcPr>
          <w:p w14:paraId="7C46664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27D6F4D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75E71CA">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183910C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6E8298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E8C78A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2C626B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硫化物</w:t>
            </w:r>
          </w:p>
        </w:tc>
        <w:tc>
          <w:tcPr>
            <w:tcW w:w="317" w:type="pct"/>
            <w:tcBorders>
              <w:tl2br w:val="nil"/>
              <w:tr2bl w:val="nil"/>
            </w:tcBorders>
            <w:shd w:val="clear" w:color="auto" w:fill="auto"/>
            <w:vAlign w:val="center"/>
          </w:tcPr>
          <w:p w14:paraId="3F3D0C5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42EEE91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5384A7F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452" w:type="pct"/>
            <w:tcBorders>
              <w:tl2br w:val="nil"/>
              <w:tr2bl w:val="nil"/>
            </w:tcBorders>
            <w:shd w:val="clear" w:color="auto" w:fill="auto"/>
            <w:vAlign w:val="center"/>
          </w:tcPr>
          <w:p w14:paraId="64BAFAB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0.01L</w:t>
            </w:r>
          </w:p>
        </w:tc>
        <w:tc>
          <w:tcPr>
            <w:tcW w:w="327" w:type="pct"/>
            <w:tcBorders>
              <w:tl2br w:val="nil"/>
              <w:tr2bl w:val="nil"/>
            </w:tcBorders>
            <w:shd w:val="clear" w:color="auto" w:fill="auto"/>
            <w:vAlign w:val="center"/>
          </w:tcPr>
          <w:p w14:paraId="047FDE5E">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0.025</w:t>
            </w:r>
          </w:p>
        </w:tc>
        <w:tc>
          <w:tcPr>
            <w:tcW w:w="468" w:type="pct"/>
            <w:tcBorders>
              <w:tl2br w:val="nil"/>
              <w:tr2bl w:val="nil"/>
            </w:tcBorders>
            <w:shd w:val="clear" w:color="auto" w:fill="auto"/>
            <w:vAlign w:val="center"/>
          </w:tcPr>
          <w:p w14:paraId="599B808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lang w:val="en-US" w:eastAsia="zh-CN"/>
              </w:rPr>
              <w:t>0</w:t>
            </w:r>
          </w:p>
        </w:tc>
        <w:tc>
          <w:tcPr>
            <w:tcW w:w="525" w:type="pct"/>
            <w:tcBorders>
              <w:tl2br w:val="nil"/>
              <w:tr2bl w:val="nil"/>
            </w:tcBorders>
            <w:shd w:val="clear" w:color="auto" w:fill="auto"/>
            <w:vAlign w:val="center"/>
          </w:tcPr>
          <w:p w14:paraId="3265C50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3C826D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1"/>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D27F92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
                <w:sz w:val="21"/>
                <w:szCs w:val="21"/>
              </w:rPr>
              <w:t>≤0.2</w:t>
            </w:r>
          </w:p>
        </w:tc>
      </w:tr>
      <w:tr w14:paraId="57F8D0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739D561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1E0D10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汞</w:t>
            </w:r>
          </w:p>
        </w:tc>
        <w:tc>
          <w:tcPr>
            <w:tcW w:w="317" w:type="pct"/>
            <w:tcBorders>
              <w:tl2br w:val="nil"/>
              <w:tr2bl w:val="nil"/>
            </w:tcBorders>
            <w:shd w:val="clear" w:color="auto" w:fill="auto"/>
            <w:vAlign w:val="center"/>
          </w:tcPr>
          <w:p w14:paraId="4A176E9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49AB06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2286E6B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452" w:type="pct"/>
            <w:tcBorders>
              <w:tl2br w:val="nil"/>
              <w:tr2bl w:val="nil"/>
            </w:tcBorders>
            <w:shd w:val="clear" w:color="auto" w:fill="auto"/>
            <w:vAlign w:val="center"/>
          </w:tcPr>
          <w:p w14:paraId="752147C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327" w:type="pct"/>
            <w:tcBorders>
              <w:tl2br w:val="nil"/>
              <w:tr2bl w:val="nil"/>
            </w:tcBorders>
            <w:shd w:val="clear" w:color="auto" w:fill="auto"/>
            <w:vAlign w:val="center"/>
          </w:tcPr>
          <w:p w14:paraId="410CC444">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0.2</w:t>
            </w:r>
          </w:p>
        </w:tc>
        <w:tc>
          <w:tcPr>
            <w:tcW w:w="468" w:type="pct"/>
            <w:tcBorders>
              <w:tl2br w:val="nil"/>
              <w:tr2bl w:val="nil"/>
            </w:tcBorders>
            <w:shd w:val="clear" w:color="auto" w:fill="auto"/>
            <w:vAlign w:val="center"/>
          </w:tcPr>
          <w:p w14:paraId="5D8C169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3EA3F7D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03E8DE9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2C8245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≤0.0001</w:t>
            </w:r>
          </w:p>
        </w:tc>
      </w:tr>
      <w:tr w14:paraId="795C9C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115617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EDBB83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镉</w:t>
            </w:r>
          </w:p>
        </w:tc>
        <w:tc>
          <w:tcPr>
            <w:tcW w:w="317" w:type="pct"/>
            <w:tcBorders>
              <w:tl2br w:val="nil"/>
              <w:tr2bl w:val="nil"/>
            </w:tcBorders>
            <w:shd w:val="clear" w:color="auto" w:fill="auto"/>
            <w:vAlign w:val="center"/>
          </w:tcPr>
          <w:p w14:paraId="1E92F00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6F1C5F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1B76900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452" w:type="pct"/>
            <w:tcBorders>
              <w:tl2br w:val="nil"/>
              <w:tr2bl w:val="nil"/>
            </w:tcBorders>
            <w:shd w:val="clear" w:color="auto" w:fill="auto"/>
            <w:vAlign w:val="center"/>
          </w:tcPr>
          <w:p w14:paraId="55F3634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327" w:type="pct"/>
            <w:tcBorders>
              <w:tl2br w:val="nil"/>
              <w:tr2bl w:val="nil"/>
            </w:tcBorders>
            <w:shd w:val="clear" w:color="auto" w:fill="auto"/>
            <w:vAlign w:val="center"/>
          </w:tcPr>
          <w:p w14:paraId="5F0E66F1">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0.005</w:t>
            </w:r>
          </w:p>
        </w:tc>
        <w:tc>
          <w:tcPr>
            <w:tcW w:w="468" w:type="pct"/>
            <w:tcBorders>
              <w:tl2br w:val="nil"/>
              <w:tr2bl w:val="nil"/>
            </w:tcBorders>
            <w:shd w:val="clear" w:color="auto" w:fill="auto"/>
            <w:vAlign w:val="center"/>
          </w:tcPr>
          <w:p w14:paraId="36A744B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45A31338">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A664D1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8ADAB5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≤0.005</w:t>
            </w:r>
          </w:p>
        </w:tc>
      </w:tr>
      <w:tr w14:paraId="00C73F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369A0D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DCD9DDC">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六价铬</w:t>
            </w:r>
          </w:p>
        </w:tc>
        <w:tc>
          <w:tcPr>
            <w:tcW w:w="317" w:type="pct"/>
            <w:tcBorders>
              <w:tl2br w:val="nil"/>
              <w:tr2bl w:val="nil"/>
            </w:tcBorders>
            <w:shd w:val="clear" w:color="auto" w:fill="auto"/>
            <w:vAlign w:val="center"/>
          </w:tcPr>
          <w:p w14:paraId="5C098C2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D80D7E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5A34AB0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452" w:type="pct"/>
            <w:tcBorders>
              <w:tl2br w:val="nil"/>
              <w:tr2bl w:val="nil"/>
            </w:tcBorders>
            <w:shd w:val="clear" w:color="auto" w:fill="auto"/>
            <w:vAlign w:val="center"/>
          </w:tcPr>
          <w:p w14:paraId="67D19C9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327" w:type="pct"/>
            <w:tcBorders>
              <w:tl2br w:val="nil"/>
              <w:tr2bl w:val="nil"/>
            </w:tcBorders>
            <w:shd w:val="clear" w:color="auto" w:fill="auto"/>
            <w:vAlign w:val="center"/>
          </w:tcPr>
          <w:p w14:paraId="046B2FBB">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0.04</w:t>
            </w:r>
          </w:p>
        </w:tc>
        <w:tc>
          <w:tcPr>
            <w:tcW w:w="468" w:type="pct"/>
            <w:tcBorders>
              <w:tl2br w:val="nil"/>
              <w:tr2bl w:val="nil"/>
            </w:tcBorders>
            <w:shd w:val="clear" w:color="auto" w:fill="auto"/>
            <w:vAlign w:val="center"/>
          </w:tcPr>
          <w:p w14:paraId="5BBCECE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1EC6D55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6435FEC6">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357DB78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604709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0D64F6A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7DFCB3A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硒</w:t>
            </w:r>
          </w:p>
        </w:tc>
        <w:tc>
          <w:tcPr>
            <w:tcW w:w="317" w:type="pct"/>
            <w:tcBorders>
              <w:tl2br w:val="nil"/>
              <w:tr2bl w:val="nil"/>
            </w:tcBorders>
            <w:shd w:val="clear" w:color="auto" w:fill="auto"/>
            <w:vAlign w:val="center"/>
          </w:tcPr>
          <w:p w14:paraId="647E0BB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CB3F02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53386B7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452" w:type="pct"/>
            <w:tcBorders>
              <w:tl2br w:val="nil"/>
              <w:tr2bl w:val="nil"/>
            </w:tcBorders>
            <w:shd w:val="clear" w:color="auto" w:fill="auto"/>
            <w:vAlign w:val="center"/>
          </w:tcPr>
          <w:p w14:paraId="4CC40F5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0.00041L</w:t>
            </w:r>
          </w:p>
        </w:tc>
        <w:tc>
          <w:tcPr>
            <w:tcW w:w="327" w:type="pct"/>
            <w:tcBorders>
              <w:tl2br w:val="nil"/>
              <w:tr2bl w:val="nil"/>
            </w:tcBorders>
            <w:shd w:val="clear" w:color="auto" w:fill="auto"/>
            <w:vAlign w:val="center"/>
          </w:tcPr>
          <w:p w14:paraId="23A1F011">
            <w:pPr>
              <w:keepNext w:val="0"/>
              <w:keepLines w:val="0"/>
              <w:pageBreakBefore w:val="0"/>
              <w:widowControl/>
              <w:kinsoku/>
              <w:wordWrap/>
              <w:overflowPunct/>
              <w:autoSpaceDE/>
              <w:autoSpaceDN/>
              <w:bidi w:val="0"/>
              <w:spacing w:line="240" w:lineRule="auto"/>
              <w:ind w:left="0" w:firstLine="0" w:firstLineChars="0"/>
              <w:jc w:val="center"/>
              <w:textAlignment w:val="auto"/>
              <w:rPr>
                <w:rFonts w:hint="default"/>
                <w:lang w:val="en-US" w:eastAsia="zh-CN"/>
              </w:rPr>
            </w:pPr>
            <w:r>
              <w:rPr>
                <w:rFonts w:hint="eastAsia"/>
                <w:lang w:val="en-US" w:eastAsia="zh-CN"/>
              </w:rPr>
              <w:t>0.0205</w:t>
            </w:r>
          </w:p>
        </w:tc>
        <w:tc>
          <w:tcPr>
            <w:tcW w:w="468" w:type="pct"/>
            <w:tcBorders>
              <w:tl2br w:val="nil"/>
              <w:tr2bl w:val="nil"/>
            </w:tcBorders>
            <w:shd w:val="clear" w:color="auto" w:fill="auto"/>
            <w:vAlign w:val="center"/>
          </w:tcPr>
          <w:p w14:paraId="21A827A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10A6EAC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51CF9A4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2C3FC6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≤0.01</w:t>
            </w:r>
          </w:p>
        </w:tc>
      </w:tr>
      <w:tr w14:paraId="060CC3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5403B8B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4F7F770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砷</w:t>
            </w:r>
          </w:p>
        </w:tc>
        <w:tc>
          <w:tcPr>
            <w:tcW w:w="317" w:type="pct"/>
            <w:tcBorders>
              <w:tl2br w:val="nil"/>
              <w:tr2bl w:val="nil"/>
            </w:tcBorders>
            <w:shd w:val="clear" w:color="auto" w:fill="auto"/>
            <w:vAlign w:val="center"/>
          </w:tcPr>
          <w:p w14:paraId="6879DF8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3DF3F52">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0.00273</w:t>
            </w:r>
          </w:p>
        </w:tc>
        <w:tc>
          <w:tcPr>
            <w:tcW w:w="452" w:type="pct"/>
            <w:tcBorders>
              <w:tl2br w:val="nil"/>
              <w:tr2bl w:val="nil"/>
            </w:tcBorders>
            <w:shd w:val="clear" w:color="auto" w:fill="auto"/>
            <w:vAlign w:val="center"/>
          </w:tcPr>
          <w:p w14:paraId="3BD335F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0.00239</w:t>
            </w:r>
          </w:p>
        </w:tc>
        <w:tc>
          <w:tcPr>
            <w:tcW w:w="452" w:type="pct"/>
            <w:tcBorders>
              <w:tl2br w:val="nil"/>
              <w:tr2bl w:val="nil"/>
            </w:tcBorders>
            <w:shd w:val="clear" w:color="auto" w:fill="auto"/>
            <w:vAlign w:val="center"/>
          </w:tcPr>
          <w:p w14:paraId="52C4798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0.00244</w:t>
            </w:r>
          </w:p>
        </w:tc>
        <w:tc>
          <w:tcPr>
            <w:tcW w:w="327" w:type="pct"/>
            <w:tcBorders>
              <w:tl2br w:val="nil"/>
              <w:tr2bl w:val="nil"/>
            </w:tcBorders>
            <w:shd w:val="clear" w:color="auto" w:fill="auto"/>
            <w:vAlign w:val="center"/>
          </w:tcPr>
          <w:p w14:paraId="6F5714A4">
            <w:pPr>
              <w:keepNext w:val="0"/>
              <w:keepLines w:val="0"/>
              <w:pageBreakBefore w:val="0"/>
              <w:widowControl/>
              <w:kinsoku/>
              <w:wordWrap/>
              <w:overflowPunct/>
              <w:autoSpaceDE/>
              <w:autoSpaceDN/>
              <w:bidi w:val="0"/>
              <w:spacing w:line="240" w:lineRule="auto"/>
              <w:ind w:left="0" w:firstLine="0" w:firstLineChars="0"/>
              <w:jc w:val="center"/>
              <w:textAlignment w:val="auto"/>
              <w:rPr>
                <w:rFonts w:hint="default"/>
                <w:lang w:val="en-US" w:eastAsia="zh-CN"/>
              </w:rPr>
            </w:pPr>
            <w:r>
              <w:rPr>
                <w:rFonts w:hint="eastAsia"/>
                <w:lang w:val="en-US" w:eastAsia="zh-CN"/>
              </w:rPr>
              <w:t>0.0546</w:t>
            </w:r>
          </w:p>
        </w:tc>
        <w:tc>
          <w:tcPr>
            <w:tcW w:w="468" w:type="pct"/>
            <w:tcBorders>
              <w:tl2br w:val="nil"/>
              <w:tr2bl w:val="nil"/>
            </w:tcBorders>
            <w:shd w:val="clear" w:color="auto" w:fill="auto"/>
            <w:vAlign w:val="center"/>
          </w:tcPr>
          <w:p w14:paraId="06FC7E0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502209E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25857E9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2FC3B4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764EE5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1F63F69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32B4AF4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铅</w:t>
            </w:r>
          </w:p>
        </w:tc>
        <w:tc>
          <w:tcPr>
            <w:tcW w:w="317" w:type="pct"/>
            <w:tcBorders>
              <w:tl2br w:val="nil"/>
              <w:tr2bl w:val="nil"/>
            </w:tcBorders>
            <w:shd w:val="clear" w:color="auto" w:fill="auto"/>
            <w:vAlign w:val="center"/>
          </w:tcPr>
          <w:p w14:paraId="529602FE">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6463CE8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3274B16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452" w:type="pct"/>
            <w:tcBorders>
              <w:tl2br w:val="nil"/>
              <w:tr2bl w:val="nil"/>
            </w:tcBorders>
            <w:shd w:val="clear" w:color="auto" w:fill="auto"/>
            <w:vAlign w:val="center"/>
          </w:tcPr>
          <w:p w14:paraId="68F2C07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327" w:type="pct"/>
            <w:tcBorders>
              <w:tl2br w:val="nil"/>
              <w:tr2bl w:val="nil"/>
            </w:tcBorders>
            <w:shd w:val="clear" w:color="auto" w:fill="auto"/>
            <w:vAlign w:val="center"/>
          </w:tcPr>
          <w:p w14:paraId="69A692E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0.0009</w:t>
            </w:r>
          </w:p>
        </w:tc>
        <w:tc>
          <w:tcPr>
            <w:tcW w:w="468" w:type="pct"/>
            <w:tcBorders>
              <w:tl2br w:val="nil"/>
              <w:tr2bl w:val="nil"/>
            </w:tcBorders>
            <w:shd w:val="clear" w:color="auto" w:fill="auto"/>
            <w:vAlign w:val="center"/>
          </w:tcPr>
          <w:p w14:paraId="5EC914B2">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14B76EE1">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306956F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0CB65A49">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≤0.05</w:t>
            </w:r>
          </w:p>
        </w:tc>
      </w:tr>
      <w:tr w14:paraId="231312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435FF11B">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9BC7213">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锌</w:t>
            </w:r>
          </w:p>
        </w:tc>
        <w:tc>
          <w:tcPr>
            <w:tcW w:w="317" w:type="pct"/>
            <w:tcBorders>
              <w:tl2br w:val="nil"/>
              <w:tr2bl w:val="nil"/>
            </w:tcBorders>
            <w:shd w:val="clear" w:color="auto" w:fill="auto"/>
            <w:vAlign w:val="center"/>
          </w:tcPr>
          <w:p w14:paraId="7653598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11EC25C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0.00032</w:t>
            </w:r>
          </w:p>
        </w:tc>
        <w:tc>
          <w:tcPr>
            <w:tcW w:w="452" w:type="pct"/>
            <w:tcBorders>
              <w:tl2br w:val="nil"/>
              <w:tr2bl w:val="nil"/>
            </w:tcBorders>
            <w:shd w:val="clear" w:color="auto" w:fill="auto"/>
            <w:vAlign w:val="center"/>
          </w:tcPr>
          <w:p w14:paraId="325B585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0.00068</w:t>
            </w:r>
          </w:p>
        </w:tc>
        <w:tc>
          <w:tcPr>
            <w:tcW w:w="452" w:type="pct"/>
            <w:tcBorders>
              <w:tl2br w:val="nil"/>
              <w:tr2bl w:val="nil"/>
            </w:tcBorders>
            <w:shd w:val="clear" w:color="auto" w:fill="auto"/>
            <w:vAlign w:val="center"/>
          </w:tcPr>
          <w:p w14:paraId="0FACFD80">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0.00081</w:t>
            </w:r>
          </w:p>
        </w:tc>
        <w:tc>
          <w:tcPr>
            <w:tcW w:w="327" w:type="pct"/>
            <w:tcBorders>
              <w:tl2br w:val="nil"/>
              <w:tr2bl w:val="nil"/>
            </w:tcBorders>
            <w:shd w:val="clear" w:color="auto" w:fill="auto"/>
            <w:vAlign w:val="center"/>
          </w:tcPr>
          <w:p w14:paraId="62526AD3">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0.00081</w:t>
            </w:r>
          </w:p>
        </w:tc>
        <w:tc>
          <w:tcPr>
            <w:tcW w:w="468" w:type="pct"/>
            <w:tcBorders>
              <w:tl2br w:val="nil"/>
              <w:tr2bl w:val="nil"/>
            </w:tcBorders>
            <w:shd w:val="clear" w:color="auto" w:fill="auto"/>
            <w:vAlign w:val="center"/>
          </w:tcPr>
          <w:p w14:paraId="1D6E493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126BD6D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468F114D">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2F86FD03">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7FD531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vAlign w:val="center"/>
          </w:tcPr>
          <w:p w14:paraId="28C50D4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120EABD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铜</w:t>
            </w:r>
          </w:p>
        </w:tc>
        <w:tc>
          <w:tcPr>
            <w:tcW w:w="317" w:type="pct"/>
            <w:tcBorders>
              <w:tl2br w:val="nil"/>
              <w:tr2bl w:val="nil"/>
            </w:tcBorders>
            <w:shd w:val="clear" w:color="auto" w:fill="auto"/>
            <w:vAlign w:val="center"/>
          </w:tcPr>
          <w:p w14:paraId="79CCE0C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251256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0.00085</w:t>
            </w:r>
          </w:p>
        </w:tc>
        <w:tc>
          <w:tcPr>
            <w:tcW w:w="452" w:type="pct"/>
            <w:tcBorders>
              <w:tl2br w:val="nil"/>
              <w:tr2bl w:val="nil"/>
            </w:tcBorders>
            <w:shd w:val="clear" w:color="auto" w:fill="auto"/>
            <w:vAlign w:val="center"/>
          </w:tcPr>
          <w:p w14:paraId="3BF84927">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0.00073</w:t>
            </w:r>
          </w:p>
        </w:tc>
        <w:tc>
          <w:tcPr>
            <w:tcW w:w="452" w:type="pct"/>
            <w:tcBorders>
              <w:tl2br w:val="nil"/>
              <w:tr2bl w:val="nil"/>
            </w:tcBorders>
            <w:shd w:val="clear" w:color="auto" w:fill="auto"/>
            <w:vAlign w:val="center"/>
          </w:tcPr>
          <w:p w14:paraId="5D9902F5">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0.00067</w:t>
            </w:r>
          </w:p>
        </w:tc>
        <w:tc>
          <w:tcPr>
            <w:tcW w:w="327" w:type="pct"/>
            <w:tcBorders>
              <w:tl2br w:val="nil"/>
              <w:tr2bl w:val="nil"/>
            </w:tcBorders>
            <w:shd w:val="clear" w:color="auto" w:fill="auto"/>
            <w:vAlign w:val="center"/>
          </w:tcPr>
          <w:p w14:paraId="305E5F8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0.00085</w:t>
            </w:r>
          </w:p>
        </w:tc>
        <w:tc>
          <w:tcPr>
            <w:tcW w:w="468" w:type="pct"/>
            <w:tcBorders>
              <w:tl2br w:val="nil"/>
              <w:tr2bl w:val="nil"/>
            </w:tcBorders>
            <w:shd w:val="clear" w:color="auto" w:fill="auto"/>
            <w:vAlign w:val="center"/>
          </w:tcPr>
          <w:p w14:paraId="4321CE5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lang w:val="en-US" w:eastAsia="zh-CN"/>
              </w:rPr>
              <w:t>0</w:t>
            </w:r>
          </w:p>
        </w:tc>
        <w:tc>
          <w:tcPr>
            <w:tcW w:w="525" w:type="pct"/>
            <w:tcBorders>
              <w:tl2br w:val="nil"/>
              <w:tr2bl w:val="nil"/>
            </w:tcBorders>
            <w:shd w:val="clear" w:color="auto" w:fill="auto"/>
            <w:vAlign w:val="center"/>
          </w:tcPr>
          <w:p w14:paraId="6DCD614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1B73770">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3"/>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54D25DD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3"/>
                <w:sz w:val="21"/>
                <w:szCs w:val="21"/>
              </w:rPr>
              <w:t>≤1.0</w:t>
            </w:r>
          </w:p>
        </w:tc>
      </w:tr>
      <w:tr w14:paraId="471E86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shd w:val="clear" w:color="auto" w:fill="auto"/>
            <w:vAlign w:val="center"/>
          </w:tcPr>
          <w:p w14:paraId="5C3A6AE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5CBD188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317" w:type="pct"/>
            <w:tcBorders>
              <w:tl2br w:val="nil"/>
              <w:tr2bl w:val="nil"/>
            </w:tcBorders>
            <w:shd w:val="clear" w:color="auto" w:fill="auto"/>
            <w:vAlign w:val="center"/>
          </w:tcPr>
          <w:p w14:paraId="6F8F44F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5CAB539D">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2C4C5436">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452" w:type="pct"/>
            <w:tcBorders>
              <w:tl2br w:val="nil"/>
              <w:tr2bl w:val="nil"/>
            </w:tcBorders>
            <w:shd w:val="clear" w:color="auto" w:fill="auto"/>
            <w:vAlign w:val="center"/>
          </w:tcPr>
          <w:p w14:paraId="02295EA8">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327" w:type="pct"/>
            <w:tcBorders>
              <w:tl2br w:val="nil"/>
              <w:tr2bl w:val="nil"/>
            </w:tcBorders>
            <w:shd w:val="clear" w:color="auto" w:fill="auto"/>
            <w:vAlign w:val="center"/>
          </w:tcPr>
          <w:p w14:paraId="2A8D9E3F">
            <w:pPr>
              <w:keepNext w:val="0"/>
              <w:keepLines w:val="0"/>
              <w:pageBreakBefore w:val="0"/>
              <w:widowControl/>
              <w:kinsoku/>
              <w:wordWrap/>
              <w:overflowPunct/>
              <w:autoSpaceDE/>
              <w:autoSpaceDN/>
              <w:bidi w:val="0"/>
              <w:spacing w:line="240" w:lineRule="auto"/>
              <w:ind w:left="0" w:firstLine="0" w:firstLineChars="0"/>
              <w:jc w:val="center"/>
              <w:textAlignment w:val="auto"/>
              <w:rPr>
                <w:rFonts w:hint="eastAsia"/>
                <w:lang w:val="en-US" w:eastAsia="zh-CN"/>
              </w:rPr>
            </w:pPr>
            <w:r>
              <w:rPr>
                <w:rFonts w:hint="eastAsia"/>
                <w:lang w:val="en-US" w:eastAsia="zh-CN"/>
              </w:rPr>
              <w:t>0.0015</w:t>
            </w:r>
          </w:p>
        </w:tc>
        <w:tc>
          <w:tcPr>
            <w:tcW w:w="468" w:type="pct"/>
            <w:tcBorders>
              <w:tl2br w:val="nil"/>
              <w:tr2bl w:val="nil"/>
            </w:tcBorders>
            <w:shd w:val="clear" w:color="auto" w:fill="auto"/>
            <w:vAlign w:val="center"/>
          </w:tcPr>
          <w:p w14:paraId="671CA6D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lang w:val="en-US" w:eastAsia="zh-CN"/>
              </w:rPr>
              <w:t>0</w:t>
            </w:r>
          </w:p>
        </w:tc>
        <w:tc>
          <w:tcPr>
            <w:tcW w:w="525" w:type="pct"/>
            <w:tcBorders>
              <w:tl2br w:val="nil"/>
              <w:tr2bl w:val="nil"/>
            </w:tcBorders>
            <w:shd w:val="clear" w:color="auto" w:fill="auto"/>
            <w:vAlign w:val="center"/>
          </w:tcPr>
          <w:p w14:paraId="17BA6DF7">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0</w:t>
            </w:r>
          </w:p>
        </w:tc>
        <w:tc>
          <w:tcPr>
            <w:tcW w:w="385" w:type="pct"/>
            <w:tcBorders>
              <w:tl2br w:val="nil"/>
              <w:tr2bl w:val="nil"/>
            </w:tcBorders>
            <w:shd w:val="clear" w:color="auto" w:fill="auto"/>
            <w:vAlign w:val="center"/>
          </w:tcPr>
          <w:p w14:paraId="76D7E1D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spacing w:val="2"/>
                <w:sz w:val="21"/>
                <w:szCs w:val="21"/>
              </w:rPr>
            </w:pPr>
            <w:r>
              <w:rPr>
                <w:rFonts w:hint="eastAsia" w:eastAsia="宋体" w:cs="Times New Roman"/>
                <w:spacing w:val="2"/>
                <w:sz w:val="21"/>
                <w:szCs w:val="21"/>
                <w:lang w:val="en-US" w:eastAsia="zh-CN"/>
              </w:rPr>
              <w:t>达标</w:t>
            </w:r>
          </w:p>
        </w:tc>
        <w:tc>
          <w:tcPr>
            <w:tcW w:w="463" w:type="pct"/>
            <w:tcBorders>
              <w:tl2br w:val="nil"/>
              <w:tr2bl w:val="nil"/>
            </w:tcBorders>
            <w:shd w:val="clear" w:color="auto" w:fill="auto"/>
            <w:vAlign w:val="center"/>
          </w:tcPr>
          <w:p w14:paraId="4D4D5E5B">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2"/>
                <w:sz w:val="21"/>
                <w:szCs w:val="21"/>
              </w:rPr>
              <w:t>≤0.02</w:t>
            </w:r>
          </w:p>
        </w:tc>
      </w:tr>
      <w:tr w14:paraId="637F4E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472" w:type="pct"/>
            <w:vMerge w:val="continue"/>
            <w:tcBorders>
              <w:tl2br w:val="nil"/>
              <w:tr2bl w:val="nil"/>
            </w:tcBorders>
            <w:shd w:val="clear" w:color="auto" w:fill="auto"/>
            <w:vAlign w:val="center"/>
          </w:tcPr>
          <w:p w14:paraId="4B25ED31">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681" w:type="pct"/>
            <w:tcBorders>
              <w:tl2br w:val="nil"/>
              <w:tr2bl w:val="nil"/>
            </w:tcBorders>
            <w:shd w:val="clear" w:color="auto" w:fill="auto"/>
            <w:vAlign w:val="center"/>
          </w:tcPr>
          <w:p w14:paraId="0B4BB969">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317" w:type="pct"/>
            <w:tcBorders>
              <w:tl2br w:val="nil"/>
              <w:tr2bl w:val="nil"/>
            </w:tcBorders>
            <w:shd w:val="clear" w:color="auto" w:fill="auto"/>
            <w:vAlign w:val="center"/>
          </w:tcPr>
          <w:p w14:paraId="7A34130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452" w:type="pct"/>
            <w:tcBorders>
              <w:tl2br w:val="nil"/>
              <w:tr2bl w:val="nil"/>
            </w:tcBorders>
            <w:shd w:val="clear" w:color="auto" w:fill="auto"/>
            <w:vAlign w:val="center"/>
          </w:tcPr>
          <w:p w14:paraId="0D81BD6F">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vAlign w:val="center"/>
          </w:tcPr>
          <w:p w14:paraId="24808F84">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452" w:type="pct"/>
            <w:tcBorders>
              <w:tl2br w:val="nil"/>
              <w:tr2bl w:val="nil"/>
            </w:tcBorders>
            <w:shd w:val="clear" w:color="auto" w:fill="auto"/>
            <w:vAlign w:val="center"/>
          </w:tcPr>
          <w:p w14:paraId="1CE67B0A">
            <w:pPr>
              <w:keepNext w:val="0"/>
              <w:keepLines w:val="0"/>
              <w:pageBreakBefore w:val="0"/>
              <w:widowControl/>
              <w:kinsoku/>
              <w:wordWrap/>
              <w:overflowPunct/>
              <w:autoSpaceDE/>
              <w:autoSpaceDN/>
              <w:bidi w:val="0"/>
              <w:spacing w:line="240" w:lineRule="auto"/>
              <w:ind w:left="0"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327" w:type="pct"/>
            <w:tcBorders>
              <w:tl2br w:val="nil"/>
              <w:tr2bl w:val="nil"/>
            </w:tcBorders>
            <w:shd w:val="clear" w:color="auto" w:fill="auto"/>
            <w:vAlign w:val="center"/>
          </w:tcPr>
          <w:p w14:paraId="5FE8C1B5">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8" w:type="pct"/>
            <w:tcBorders>
              <w:tl2br w:val="nil"/>
              <w:tr2bl w:val="nil"/>
            </w:tcBorders>
            <w:shd w:val="clear" w:color="auto" w:fill="auto"/>
            <w:vAlign w:val="center"/>
          </w:tcPr>
          <w:p w14:paraId="1EE7EF2C">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525" w:type="pct"/>
            <w:tcBorders>
              <w:tl2br w:val="nil"/>
              <w:tr2bl w:val="nil"/>
            </w:tcBorders>
            <w:shd w:val="clear" w:color="auto" w:fill="auto"/>
            <w:vAlign w:val="center"/>
          </w:tcPr>
          <w:p w14:paraId="5AD5BB04">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385" w:type="pct"/>
            <w:tcBorders>
              <w:tl2br w:val="nil"/>
              <w:tr2bl w:val="nil"/>
            </w:tcBorders>
            <w:shd w:val="clear" w:color="auto" w:fill="auto"/>
            <w:vAlign w:val="center"/>
          </w:tcPr>
          <w:p w14:paraId="3E56A8CE">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hint="eastAsia" w:ascii="Times New Roman" w:hAnsi="Times New Roman" w:eastAsia="宋体" w:cs="Times New Roman"/>
                <w:spacing w:val="12"/>
                <w:kern w:val="2"/>
                <w:position w:val="-2"/>
                <w:sz w:val="21"/>
                <w:szCs w:val="21"/>
                <w:lang w:val="en-US" w:eastAsia="zh-CN" w:bidi="ar-SA"/>
              </w:rPr>
            </w:pPr>
            <w:r>
              <w:rPr>
                <w:rFonts w:hint="eastAsia" w:eastAsia="宋体" w:cs="Times New Roman"/>
                <w:spacing w:val="12"/>
                <w:position w:val="-2"/>
                <w:sz w:val="21"/>
                <w:szCs w:val="21"/>
                <w:lang w:val="en-US" w:eastAsia="zh-CN"/>
              </w:rPr>
              <w:t>/</w:t>
            </w:r>
          </w:p>
        </w:tc>
        <w:tc>
          <w:tcPr>
            <w:tcW w:w="463" w:type="pct"/>
            <w:tcBorders>
              <w:tl2br w:val="nil"/>
              <w:tr2bl w:val="nil"/>
            </w:tcBorders>
            <w:shd w:val="clear" w:color="auto" w:fill="auto"/>
            <w:vAlign w:val="center"/>
          </w:tcPr>
          <w:p w14:paraId="2A583C0F">
            <w:pPr>
              <w:keepNext w:val="0"/>
              <w:keepLines w:val="0"/>
              <w:pageBreakBefore w:val="0"/>
              <w:widowControl/>
              <w:kinsoku/>
              <w:wordWrap/>
              <w:overflowPunct/>
              <w:autoSpaceDE/>
              <w:autoSpaceDN/>
              <w:bidi w:val="0"/>
              <w:spacing w:line="240" w:lineRule="auto"/>
              <w:ind w:left="0" w:leftChars="0" w:firstLine="0" w:firstLine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spacing w:val="12"/>
                <w:position w:val="-2"/>
                <w:sz w:val="21"/>
                <w:szCs w:val="21"/>
              </w:rPr>
              <w:t>—</w:t>
            </w:r>
          </w:p>
        </w:tc>
      </w:tr>
      <w:tr w14:paraId="25EC8C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5000" w:type="pct"/>
            <w:gridSpan w:val="11"/>
            <w:tcBorders>
              <w:tl2br w:val="nil"/>
              <w:tr2bl w:val="nil"/>
            </w:tcBorders>
            <w:shd w:val="clear" w:color="auto" w:fill="auto"/>
            <w:vAlign w:val="center"/>
          </w:tcPr>
          <w:p w14:paraId="0858C846">
            <w:pPr>
              <w:keepNext w:val="0"/>
              <w:keepLines w:val="0"/>
              <w:pageBreakBefore w:val="0"/>
              <w:widowControl/>
              <w:kinsoku/>
              <w:wordWrap/>
              <w:overflowPunct/>
              <w:autoSpaceDE/>
              <w:autoSpaceDN/>
              <w:bidi w:val="0"/>
              <w:spacing w:line="240" w:lineRule="auto"/>
              <w:ind w:left="630" w:hanging="630" w:hangingChars="300"/>
              <w:jc w:val="left"/>
              <w:textAlignment w:val="auto"/>
              <w:rPr>
                <w:rFonts w:hint="eastAsia" w:eastAsia="宋体"/>
                <w:lang w:eastAsia="zh-CN"/>
              </w:rPr>
            </w:pPr>
            <w:r>
              <w:t>备注：1、“检测限+L”表示检测结果低于方法检出限，未检出；</w:t>
            </w:r>
            <w:r>
              <w:br w:type="textWrapping"/>
            </w:r>
            <w:r>
              <w:t>2、执行《地表水环境质量标准》（GB3838-2002）表1中Ⅲ类标准值和表2、3中标准值</w:t>
            </w:r>
            <w:r>
              <w:rPr>
                <w:rFonts w:hint="eastAsia"/>
                <w:lang w:eastAsia="zh-CN"/>
              </w:rPr>
              <w:t>；</w:t>
            </w:r>
          </w:p>
          <w:p w14:paraId="520DCC5A">
            <w:pPr>
              <w:keepNext w:val="0"/>
              <w:keepLines w:val="0"/>
              <w:pageBreakBefore w:val="0"/>
              <w:widowControl/>
              <w:kinsoku/>
              <w:wordWrap/>
              <w:overflowPunct/>
              <w:autoSpaceDE/>
              <w:autoSpaceDN/>
              <w:bidi w:val="0"/>
              <w:spacing w:line="240" w:lineRule="auto"/>
              <w:ind w:left="630" w:leftChars="300" w:firstLine="0" w:firstLineChars="0"/>
              <w:jc w:val="left"/>
              <w:textAlignment w:val="auto"/>
              <w:rPr>
                <w:rFonts w:hint="eastAsia"/>
                <w:lang w:val="en-US" w:eastAsia="zh-CN"/>
              </w:rPr>
            </w:pPr>
            <w:r>
              <w:rPr>
                <w:rFonts w:hint="eastAsia"/>
                <w:lang w:val="en-US" w:eastAsia="zh-CN"/>
              </w:rPr>
              <w:t>3、</w:t>
            </w:r>
            <w:r>
              <w:rPr>
                <w:rFonts w:hint="default" w:ascii="Times New Roman" w:hAnsi="Times New Roman" w:cs="Times New Roman"/>
                <w:b w:val="0"/>
                <w:bCs w:val="0"/>
                <w:color w:val="auto"/>
                <w:u w:val="none" w:color="auto"/>
                <w:lang w:val="en-US" w:eastAsia="zh-CN"/>
              </w:rPr>
              <w:t>S</w:t>
            </w:r>
            <w:r>
              <w:rPr>
                <w:rFonts w:hint="default" w:ascii="Times New Roman" w:hAnsi="Times New Roman" w:cs="Times New Roman"/>
                <w:b w:val="0"/>
                <w:bCs w:val="0"/>
                <w:color w:val="auto"/>
                <w:u w:val="none" w:color="auto"/>
                <w:vertAlign w:val="subscript"/>
                <w:lang w:val="en-US" w:eastAsia="zh-CN"/>
              </w:rPr>
              <w:t>i</w:t>
            </w:r>
            <w:r>
              <w:rPr>
                <w:rFonts w:hint="eastAsia" w:cs="Times New Roman"/>
                <w:b w:val="0"/>
                <w:bCs w:val="0"/>
                <w:color w:val="auto"/>
                <w:u w:val="none" w:color="auto"/>
                <w:vertAlign w:val="subscript"/>
                <w:lang w:val="en-US" w:eastAsia="zh-CN"/>
              </w:rPr>
              <w:t>,</w:t>
            </w:r>
            <w:r>
              <w:rPr>
                <w:rFonts w:hint="default" w:ascii="Times New Roman" w:hAnsi="Times New Roman" w:cs="Times New Roman"/>
                <w:b w:val="0"/>
                <w:bCs w:val="0"/>
                <w:color w:val="auto"/>
                <w:u w:val="none" w:color="auto"/>
                <w:vertAlign w:val="subscript"/>
                <w:lang w:val="en-US" w:eastAsia="zh-CN"/>
              </w:rPr>
              <w:t>j</w:t>
            </w:r>
            <w:r>
              <w:rPr>
                <w:rFonts w:hint="eastAsia"/>
                <w:lang w:val="en-US" w:eastAsia="zh-CN"/>
              </w:rPr>
              <w:t>按3日最大监测浓度计算；</w:t>
            </w:r>
          </w:p>
          <w:p w14:paraId="64C51BEE">
            <w:pPr>
              <w:keepNext w:val="0"/>
              <w:keepLines w:val="0"/>
              <w:pageBreakBefore w:val="0"/>
              <w:widowControl/>
              <w:kinsoku/>
              <w:wordWrap/>
              <w:overflowPunct/>
              <w:autoSpaceDE/>
              <w:autoSpaceDN/>
              <w:bidi w:val="0"/>
              <w:spacing w:line="240" w:lineRule="auto"/>
              <w:ind w:left="630" w:leftChars="300" w:firstLine="0" w:firstLineChars="0"/>
              <w:jc w:val="left"/>
              <w:textAlignment w:val="auto"/>
              <w:rPr>
                <w:rFonts w:hint="default" w:eastAsia="宋体"/>
                <w:lang w:val="en-US" w:eastAsia="zh-CN"/>
              </w:rPr>
            </w:pPr>
            <w:r>
              <w:rPr>
                <w:rFonts w:hint="eastAsia"/>
                <w:lang w:val="en-US" w:eastAsia="zh-CN"/>
              </w:rPr>
              <w:t>4、未检出值按检出限一半进行计算。</w:t>
            </w:r>
          </w:p>
        </w:tc>
      </w:tr>
    </w:tbl>
    <w:p w14:paraId="7CA3D887">
      <w:pPr>
        <w:pStyle w:val="102"/>
        <w:spacing w:line="240" w:lineRule="auto"/>
        <w:rPr>
          <w:rFonts w:hint="default" w:ascii="Times New Roman" w:hAnsi="Times New Roman" w:cs="Times New Roman"/>
          <w:color w:val="auto"/>
          <w:sz w:val="24"/>
          <w:szCs w:val="24"/>
          <w:highlight w:val="none"/>
          <w:u w:val="none" w:color="auto"/>
        </w:rPr>
      </w:pPr>
    </w:p>
    <w:p w14:paraId="256338F5">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sectPr>
          <w:pgSz w:w="16840" w:h="11910" w:orient="landscape"/>
          <w:pgMar w:top="1417" w:right="1417" w:bottom="1417" w:left="1417" w:header="878" w:footer="1213" w:gutter="0"/>
          <w:pgBorders>
            <w:top w:val="none" w:sz="0" w:space="0"/>
            <w:left w:val="none" w:sz="0" w:space="0"/>
            <w:bottom w:val="none" w:sz="0" w:space="0"/>
            <w:right w:val="none" w:sz="0" w:space="0"/>
          </w:pgBorders>
          <w:pgNumType w:fmt="decimal"/>
          <w:cols w:space="720" w:num="1"/>
          <w:docGrid w:type="lines" w:linePitch="333" w:charSpace="0"/>
        </w:sectPr>
      </w:pPr>
      <w:bookmarkStart w:id="414" w:name="_Toc15247"/>
    </w:p>
    <w:p w14:paraId="65331993">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415" w:name="_Toc18753"/>
      <w:bookmarkStart w:id="416" w:name="_Toc3275"/>
      <w:bookmarkStart w:id="417" w:name="_Toc23146"/>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w:t>
      </w:r>
      <w:r>
        <w:rPr>
          <w:rFonts w:hint="eastAsia" w:cs="Times New Roman"/>
          <w:color w:val="auto"/>
          <w:sz w:val="28"/>
          <w:szCs w:val="28"/>
          <w:highlight w:val="none"/>
          <w:u w:val="none" w:color="auto"/>
          <w:lang w:val="en-US" w:eastAsia="zh-CN"/>
        </w:rPr>
        <w:t>2</w:t>
      </w:r>
      <w:r>
        <w:rPr>
          <w:rFonts w:hint="default" w:ascii="Times New Roman" w:hAnsi="Times New Roman" w:cs="Times New Roman"/>
          <w:color w:val="auto"/>
          <w:sz w:val="28"/>
          <w:szCs w:val="28"/>
          <w:highlight w:val="none"/>
          <w:u w:val="none" w:color="auto"/>
        </w:rPr>
        <w:t>.3地下水质量现状</w:t>
      </w:r>
      <w:r>
        <w:rPr>
          <w:rFonts w:hint="eastAsia" w:cs="Times New Roman"/>
          <w:color w:val="auto"/>
          <w:sz w:val="28"/>
          <w:szCs w:val="28"/>
          <w:highlight w:val="none"/>
          <w:u w:val="none" w:color="auto"/>
          <w:lang w:val="en-US" w:eastAsia="zh-CN"/>
        </w:rPr>
        <w:t>监测</w:t>
      </w:r>
      <w:r>
        <w:rPr>
          <w:rFonts w:hint="default" w:ascii="Times New Roman" w:hAnsi="Times New Roman" w:cs="Times New Roman"/>
          <w:color w:val="auto"/>
          <w:sz w:val="28"/>
          <w:szCs w:val="28"/>
          <w:highlight w:val="none"/>
          <w:u w:val="none" w:color="auto"/>
        </w:rPr>
        <w:t>与评价</w:t>
      </w:r>
      <w:bookmarkEnd w:id="415"/>
      <w:bookmarkEnd w:id="416"/>
      <w:bookmarkEnd w:id="417"/>
    </w:p>
    <w:p w14:paraId="1132F8B4">
      <w:pPr>
        <w:keepNext w:val="0"/>
        <w:keepLines w:val="0"/>
        <w:pageBreakBefore w:val="0"/>
        <w:widowControl/>
        <w:kinsoku/>
        <w:wordWrap/>
        <w:overflowPunct/>
        <w:autoSpaceDE/>
        <w:autoSpaceDN/>
        <w:bidi w:val="0"/>
        <w:adjustRightInd/>
        <w:snapToGrid/>
        <w:spacing w:line="360" w:lineRule="auto"/>
        <w:ind w:left="0" w:right="0" w:firstLine="467"/>
        <w:jc w:val="both"/>
        <w:textAlignment w:val="auto"/>
        <w:rPr>
          <w:rFonts w:ascii="宋体" w:hAnsi="宋体" w:eastAsia="宋体" w:cs="宋体"/>
          <w:sz w:val="24"/>
          <w:szCs w:val="24"/>
        </w:rPr>
      </w:pPr>
      <w:r>
        <w:rPr>
          <w:rFonts w:ascii="宋体" w:hAnsi="宋体" w:eastAsia="宋体" w:cs="宋体"/>
          <w:spacing w:val="-2"/>
          <w:sz w:val="24"/>
          <w:szCs w:val="24"/>
        </w:rPr>
        <w:t>根据《环境影响评价技术导则地下水环境》（</w:t>
      </w:r>
      <w:r>
        <w:rPr>
          <w:rFonts w:ascii="Times New Roman" w:hAnsi="Times New Roman" w:eastAsia="Times New Roman" w:cs="Times New Roman"/>
          <w:spacing w:val="-2"/>
          <w:sz w:val="24"/>
          <w:szCs w:val="24"/>
        </w:rPr>
        <w:t>HJ610-2016</w:t>
      </w:r>
      <w:r>
        <w:rPr>
          <w:rFonts w:ascii="宋体" w:hAnsi="宋体" w:eastAsia="宋体" w:cs="宋体"/>
          <w:spacing w:val="-2"/>
          <w:sz w:val="24"/>
          <w:szCs w:val="24"/>
        </w:rPr>
        <w:t>）中“</w:t>
      </w:r>
      <w:r>
        <w:rPr>
          <w:rFonts w:ascii="Times New Roman" w:hAnsi="Times New Roman" w:eastAsia="Times New Roman" w:cs="Times New Roman"/>
          <w:spacing w:val="-2"/>
          <w:sz w:val="24"/>
          <w:szCs w:val="24"/>
        </w:rPr>
        <w:t>8.3.3.3</w:t>
      </w:r>
      <w:r>
        <w:rPr>
          <w:rFonts w:ascii="宋体" w:hAnsi="宋体" w:eastAsia="宋体" w:cs="宋体"/>
          <w:spacing w:val="-3"/>
          <w:sz w:val="24"/>
          <w:szCs w:val="24"/>
        </w:rPr>
        <w:t>现状监测</w:t>
      </w:r>
      <w:r>
        <w:rPr>
          <w:rFonts w:ascii="宋体" w:hAnsi="宋体" w:eastAsia="宋体" w:cs="宋体"/>
          <w:spacing w:val="-1"/>
          <w:sz w:val="24"/>
          <w:szCs w:val="24"/>
        </w:rPr>
        <w:t>点的布设原则。</w:t>
      </w:r>
      <w:r>
        <w:rPr>
          <w:rFonts w:ascii="Times New Roman" w:hAnsi="Times New Roman" w:eastAsia="Times New Roman" w:cs="Times New Roman"/>
          <w:spacing w:val="-1"/>
          <w:sz w:val="24"/>
          <w:szCs w:val="24"/>
        </w:rPr>
        <w:t>4</w:t>
      </w:r>
      <w:r>
        <w:rPr>
          <w:rFonts w:ascii="宋体" w:hAnsi="宋体" w:eastAsia="宋体" w:cs="宋体"/>
          <w:spacing w:val="-1"/>
          <w:sz w:val="24"/>
          <w:szCs w:val="24"/>
        </w:rPr>
        <w:t>）三级评价项目潜水含水层水质监测点应不少于</w:t>
      </w:r>
      <w:r>
        <w:rPr>
          <w:rFonts w:ascii="Times New Roman" w:hAnsi="Times New Roman" w:eastAsia="Times New Roman" w:cs="Times New Roman"/>
          <w:spacing w:val="-1"/>
          <w:sz w:val="24"/>
          <w:szCs w:val="24"/>
        </w:rPr>
        <w:t>3</w:t>
      </w:r>
      <w:r>
        <w:rPr>
          <w:rFonts w:ascii="宋体" w:hAnsi="宋体" w:eastAsia="宋体" w:cs="宋体"/>
          <w:spacing w:val="-1"/>
          <w:sz w:val="24"/>
          <w:szCs w:val="24"/>
        </w:rPr>
        <w:t>个，可能受建设项目影响且具有饮用水开发利用价值的含水层</w:t>
      </w:r>
      <w:r>
        <w:rPr>
          <w:rFonts w:ascii="Times New Roman" w:hAnsi="Times New Roman" w:eastAsia="Times New Roman" w:cs="Times New Roman"/>
          <w:spacing w:val="-1"/>
          <w:sz w:val="24"/>
          <w:szCs w:val="24"/>
        </w:rPr>
        <w:t>1-2</w:t>
      </w:r>
      <w:r>
        <w:rPr>
          <w:rFonts w:ascii="宋体" w:hAnsi="宋体" w:eastAsia="宋体" w:cs="宋体"/>
          <w:spacing w:val="-1"/>
          <w:sz w:val="24"/>
          <w:szCs w:val="24"/>
        </w:rPr>
        <w:t>个。原</w:t>
      </w:r>
      <w:r>
        <w:rPr>
          <w:rFonts w:ascii="宋体" w:hAnsi="宋体" w:eastAsia="宋体" w:cs="宋体"/>
          <w:spacing w:val="-2"/>
          <w:sz w:val="24"/>
          <w:szCs w:val="24"/>
        </w:rPr>
        <w:t>则上建设项目场地上游及下游影</w:t>
      </w:r>
      <w:r>
        <w:rPr>
          <w:rFonts w:ascii="宋体" w:hAnsi="宋体" w:eastAsia="宋体" w:cs="宋体"/>
          <w:spacing w:val="1"/>
          <w:sz w:val="24"/>
          <w:szCs w:val="24"/>
        </w:rPr>
        <w:t>响区的地下水水质监测点各不得少于</w:t>
      </w:r>
      <w:r>
        <w:rPr>
          <w:rFonts w:ascii="Times New Roman" w:hAnsi="Times New Roman" w:eastAsia="Times New Roman" w:cs="Times New Roman"/>
          <w:spacing w:val="1"/>
          <w:sz w:val="24"/>
          <w:szCs w:val="24"/>
        </w:rPr>
        <w:t>1</w:t>
      </w:r>
      <w:r>
        <w:rPr>
          <w:rFonts w:ascii="宋体" w:hAnsi="宋体" w:eastAsia="宋体" w:cs="宋体"/>
          <w:spacing w:val="1"/>
          <w:sz w:val="24"/>
          <w:szCs w:val="24"/>
        </w:rPr>
        <w:t>个。”</w:t>
      </w:r>
    </w:p>
    <w:p w14:paraId="24A6E777">
      <w:pPr>
        <w:keepNext w:val="0"/>
        <w:keepLines w:val="0"/>
        <w:pageBreakBefore w:val="0"/>
        <w:widowControl/>
        <w:kinsoku/>
        <w:wordWrap/>
        <w:overflowPunct/>
        <w:autoSpaceDE/>
        <w:autoSpaceDN/>
        <w:bidi w:val="0"/>
        <w:adjustRightInd/>
        <w:snapToGrid/>
        <w:spacing w:line="360" w:lineRule="auto"/>
        <w:ind w:left="0" w:right="0" w:firstLine="478"/>
        <w:jc w:val="both"/>
        <w:textAlignment w:val="auto"/>
        <w:rPr>
          <w:rFonts w:hint="default" w:ascii="Times New Roman" w:hAnsi="Times New Roman" w:eastAsia="宋体" w:cs="Times New Roman"/>
          <w:sz w:val="24"/>
          <w:szCs w:val="24"/>
        </w:rPr>
      </w:pPr>
      <w:r>
        <w:rPr>
          <w:rFonts w:ascii="宋体" w:hAnsi="宋体" w:eastAsia="宋体" w:cs="宋体"/>
          <w:spacing w:val="-2"/>
          <w:sz w:val="24"/>
          <w:szCs w:val="24"/>
        </w:rPr>
        <w:t>为了解周边地下水环境质量情况，建设单位委托湖南恩尼检测有限公司对评价项目</w:t>
      </w:r>
      <w:r>
        <w:rPr>
          <w:rFonts w:ascii="宋体" w:hAnsi="宋体" w:eastAsia="宋体" w:cs="宋体"/>
          <w:spacing w:val="-3"/>
          <w:sz w:val="24"/>
          <w:szCs w:val="24"/>
        </w:rPr>
        <w:t>附近</w:t>
      </w:r>
      <w:r>
        <w:rPr>
          <w:rFonts w:ascii="Times New Roman" w:hAnsi="Times New Roman" w:eastAsia="Times New Roman" w:cs="Times New Roman"/>
          <w:spacing w:val="-3"/>
          <w:sz w:val="24"/>
          <w:szCs w:val="24"/>
        </w:rPr>
        <w:t>3</w:t>
      </w:r>
      <w:r>
        <w:rPr>
          <w:rFonts w:ascii="宋体" w:hAnsi="宋体" w:eastAsia="宋体" w:cs="宋体"/>
          <w:spacing w:val="-3"/>
          <w:sz w:val="24"/>
          <w:szCs w:val="24"/>
        </w:rPr>
        <w:t>个地下水水质监测点和</w:t>
      </w:r>
      <w:r>
        <w:rPr>
          <w:rFonts w:ascii="Times New Roman" w:hAnsi="Times New Roman" w:eastAsia="Times New Roman" w:cs="Times New Roman"/>
          <w:spacing w:val="-3"/>
          <w:sz w:val="24"/>
          <w:szCs w:val="24"/>
        </w:rPr>
        <w:t>6</w:t>
      </w:r>
      <w:r>
        <w:rPr>
          <w:rFonts w:ascii="宋体" w:hAnsi="宋体" w:eastAsia="宋体" w:cs="宋体"/>
          <w:spacing w:val="-3"/>
          <w:sz w:val="24"/>
          <w:szCs w:val="24"/>
        </w:rPr>
        <w:t>个地下水水位监测点进行地下水环境质量现状进行监测，</w:t>
      </w:r>
      <w:r>
        <w:rPr>
          <w:rFonts w:hint="default" w:ascii="Times New Roman" w:hAnsi="Times New Roman" w:eastAsia="宋体" w:cs="Times New Roman"/>
          <w:spacing w:val="-3"/>
          <w:sz w:val="24"/>
          <w:szCs w:val="24"/>
        </w:rPr>
        <w:t>具体内容如下：</w:t>
      </w:r>
    </w:p>
    <w:p w14:paraId="5F398E09">
      <w:pPr>
        <w:pStyle w:val="31"/>
        <w:keepNext w:val="0"/>
        <w:keepLines w:val="0"/>
        <w:pageBreakBefore w:val="0"/>
        <w:widowControl/>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eastAsia="宋体" w:cs="Times New Roman"/>
          <w:spacing w:val="-3"/>
          <w:sz w:val="24"/>
          <w:szCs w:val="24"/>
        </w:rPr>
      </w:pPr>
      <w:r>
        <w:rPr>
          <w:rFonts w:hint="default" w:ascii="Times New Roman" w:hAnsi="Times New Roman" w:eastAsia="宋体" w:cs="Times New Roman"/>
          <w:spacing w:val="-3"/>
          <w:sz w:val="24"/>
          <w:szCs w:val="24"/>
          <w:lang w:eastAsia="zh-CN"/>
        </w:rPr>
        <w:t>（</w:t>
      </w:r>
      <w:r>
        <w:rPr>
          <w:rFonts w:hint="default" w:ascii="Times New Roman" w:hAnsi="Times New Roman" w:eastAsia="宋体" w:cs="Times New Roman"/>
          <w:spacing w:val="-3"/>
          <w:sz w:val="24"/>
          <w:szCs w:val="24"/>
          <w:lang w:val="en-US" w:eastAsia="zh-CN"/>
        </w:rPr>
        <w:t>1</w:t>
      </w:r>
      <w:r>
        <w:rPr>
          <w:rFonts w:hint="default" w:ascii="Times New Roman" w:hAnsi="Times New Roman" w:eastAsia="宋体" w:cs="Times New Roman"/>
          <w:spacing w:val="-3"/>
          <w:sz w:val="24"/>
          <w:szCs w:val="24"/>
          <w:lang w:eastAsia="zh-CN"/>
        </w:rPr>
        <w:t>）</w:t>
      </w:r>
      <w:r>
        <w:rPr>
          <w:rFonts w:hint="default" w:ascii="Times New Roman" w:hAnsi="Times New Roman" w:eastAsia="宋体" w:cs="Times New Roman"/>
          <w:spacing w:val="-3"/>
          <w:sz w:val="24"/>
          <w:szCs w:val="24"/>
        </w:rPr>
        <w:t>监测布点</w:t>
      </w:r>
    </w:p>
    <w:p w14:paraId="0F65E929">
      <w:pPr>
        <w:spacing w:before="115" w:line="363" w:lineRule="auto"/>
        <w:ind w:left="128" w:right="115" w:firstLine="481"/>
        <w:jc w:val="both"/>
        <w:rPr>
          <w:rFonts w:ascii="宋体" w:hAnsi="宋体" w:eastAsia="宋体" w:cs="宋体"/>
          <w:sz w:val="24"/>
          <w:szCs w:val="24"/>
        </w:rPr>
      </w:pPr>
      <w:r>
        <w:rPr>
          <w:rFonts w:ascii="宋体" w:hAnsi="宋体" w:eastAsia="宋体" w:cs="宋体"/>
          <w:spacing w:val="-3"/>
          <w:sz w:val="24"/>
          <w:szCs w:val="24"/>
        </w:rPr>
        <w:t>地下水具体布点位置在建设项目场地上游布置</w:t>
      </w:r>
      <w:r>
        <w:rPr>
          <w:rFonts w:ascii="Times New Roman" w:hAnsi="Times New Roman" w:eastAsia="Times New Roman" w:cs="Times New Roman"/>
          <w:spacing w:val="-3"/>
          <w:sz w:val="24"/>
          <w:szCs w:val="24"/>
        </w:rPr>
        <w:t>1</w:t>
      </w:r>
      <w:r>
        <w:rPr>
          <w:rFonts w:ascii="宋体" w:hAnsi="宋体" w:eastAsia="宋体" w:cs="宋体"/>
          <w:spacing w:val="-3"/>
          <w:sz w:val="24"/>
          <w:szCs w:val="24"/>
        </w:rPr>
        <w:t>个水质及</w:t>
      </w:r>
      <w:r>
        <w:rPr>
          <w:rFonts w:ascii="Times New Roman" w:hAnsi="Times New Roman" w:eastAsia="Times New Roman" w:cs="Times New Roman"/>
          <w:spacing w:val="-3"/>
          <w:sz w:val="24"/>
          <w:szCs w:val="24"/>
        </w:rPr>
        <w:t>1</w:t>
      </w:r>
      <w:r>
        <w:rPr>
          <w:rFonts w:ascii="宋体" w:hAnsi="宋体" w:eastAsia="宋体" w:cs="宋体"/>
          <w:spacing w:val="-3"/>
          <w:sz w:val="24"/>
          <w:szCs w:val="24"/>
        </w:rPr>
        <w:t>个水位监测点，两侧布</w:t>
      </w:r>
      <w:r>
        <w:rPr>
          <w:rFonts w:ascii="宋体" w:hAnsi="宋体" w:eastAsia="宋体" w:cs="宋体"/>
          <w:spacing w:val="-4"/>
          <w:sz w:val="24"/>
          <w:szCs w:val="24"/>
        </w:rPr>
        <w:t>置</w:t>
      </w:r>
      <w:r>
        <w:rPr>
          <w:rFonts w:ascii="Times New Roman" w:hAnsi="Times New Roman" w:eastAsia="Times New Roman" w:cs="Times New Roman"/>
          <w:spacing w:val="-4"/>
          <w:sz w:val="24"/>
          <w:szCs w:val="24"/>
        </w:rPr>
        <w:t>1</w:t>
      </w:r>
      <w:r>
        <w:rPr>
          <w:rFonts w:ascii="宋体" w:hAnsi="宋体" w:eastAsia="宋体" w:cs="宋体"/>
          <w:spacing w:val="-4"/>
          <w:sz w:val="24"/>
          <w:szCs w:val="24"/>
        </w:rPr>
        <w:t>个水质及</w:t>
      </w:r>
      <w:r>
        <w:rPr>
          <w:rFonts w:ascii="Times New Roman" w:hAnsi="Times New Roman" w:eastAsia="Times New Roman" w:cs="Times New Roman"/>
          <w:spacing w:val="-4"/>
          <w:sz w:val="24"/>
          <w:szCs w:val="24"/>
        </w:rPr>
        <w:t>1</w:t>
      </w:r>
      <w:r>
        <w:rPr>
          <w:rFonts w:ascii="宋体" w:hAnsi="宋体" w:eastAsia="宋体" w:cs="宋体"/>
          <w:spacing w:val="-4"/>
          <w:sz w:val="24"/>
          <w:szCs w:val="24"/>
        </w:rPr>
        <w:t>个水位监测点</w:t>
      </w:r>
      <w:r>
        <w:rPr>
          <w:rFonts w:hint="eastAsia" w:ascii="宋体" w:hAnsi="宋体" w:cs="宋体"/>
          <w:spacing w:val="-4"/>
          <w:sz w:val="24"/>
          <w:szCs w:val="24"/>
          <w:lang w:eastAsia="zh-CN"/>
        </w:rPr>
        <w:t>；在</w:t>
      </w:r>
      <w:r>
        <w:rPr>
          <w:rFonts w:ascii="宋体" w:hAnsi="宋体" w:eastAsia="宋体" w:cs="宋体"/>
          <w:spacing w:val="-4"/>
          <w:sz w:val="24"/>
          <w:szCs w:val="24"/>
        </w:rPr>
        <w:t>建设项目场地及其下游影响区布置</w:t>
      </w:r>
      <w:r>
        <w:rPr>
          <w:rFonts w:ascii="Times New Roman" w:hAnsi="Times New Roman" w:eastAsia="Times New Roman" w:cs="Times New Roman"/>
          <w:spacing w:val="-4"/>
          <w:sz w:val="24"/>
          <w:szCs w:val="24"/>
        </w:rPr>
        <w:t>1</w:t>
      </w:r>
      <w:r>
        <w:rPr>
          <w:rFonts w:ascii="宋体" w:hAnsi="宋体" w:eastAsia="宋体" w:cs="宋体"/>
          <w:spacing w:val="-4"/>
          <w:sz w:val="24"/>
          <w:szCs w:val="24"/>
        </w:rPr>
        <w:t>个水质及</w:t>
      </w:r>
      <w:r>
        <w:rPr>
          <w:rFonts w:ascii="Times New Roman" w:hAnsi="Times New Roman" w:eastAsia="Times New Roman" w:cs="Times New Roman"/>
          <w:spacing w:val="-4"/>
          <w:sz w:val="24"/>
          <w:szCs w:val="24"/>
        </w:rPr>
        <w:t>1</w:t>
      </w:r>
      <w:r>
        <w:rPr>
          <w:rFonts w:ascii="宋体" w:hAnsi="宋体" w:eastAsia="宋体" w:cs="宋体"/>
          <w:spacing w:val="-4"/>
          <w:sz w:val="24"/>
          <w:szCs w:val="24"/>
        </w:rPr>
        <w:t>个水位</w:t>
      </w:r>
      <w:r>
        <w:rPr>
          <w:rFonts w:ascii="宋体" w:hAnsi="宋体" w:eastAsia="宋体" w:cs="宋体"/>
          <w:spacing w:val="-1"/>
          <w:sz w:val="24"/>
          <w:szCs w:val="24"/>
        </w:rPr>
        <w:t>监测点，各监测符合相关要求。具体监测点位图见附图</w:t>
      </w:r>
      <w:r>
        <w:rPr>
          <w:rFonts w:hint="eastAsia" w:eastAsia="宋体" w:cs="Times New Roman"/>
          <w:spacing w:val="-1"/>
          <w:sz w:val="24"/>
          <w:szCs w:val="24"/>
          <w:lang w:val="en-US" w:eastAsia="zh-CN"/>
        </w:rPr>
        <w:t>10</w:t>
      </w:r>
      <w:r>
        <w:rPr>
          <w:rFonts w:ascii="宋体" w:hAnsi="宋体" w:eastAsia="宋体" w:cs="宋体"/>
          <w:spacing w:val="-1"/>
          <w:sz w:val="24"/>
          <w:szCs w:val="24"/>
        </w:rPr>
        <w:t>，监测内容</w:t>
      </w:r>
      <w:r>
        <w:rPr>
          <w:rFonts w:ascii="宋体" w:hAnsi="宋体" w:eastAsia="宋体" w:cs="宋体"/>
          <w:spacing w:val="-2"/>
          <w:sz w:val="24"/>
          <w:szCs w:val="24"/>
        </w:rPr>
        <w:t>见表</w:t>
      </w:r>
      <w:r>
        <w:rPr>
          <w:rFonts w:ascii="Times New Roman" w:hAnsi="Times New Roman" w:eastAsia="Times New Roman" w:cs="Times New Roman"/>
          <w:spacing w:val="-2"/>
          <w:sz w:val="24"/>
          <w:szCs w:val="24"/>
        </w:rPr>
        <w:t>4.2-5</w:t>
      </w:r>
      <w:r>
        <w:rPr>
          <w:rFonts w:ascii="宋体" w:hAnsi="宋体" w:eastAsia="宋体" w:cs="宋体"/>
          <w:spacing w:val="-2"/>
          <w:sz w:val="24"/>
          <w:szCs w:val="24"/>
        </w:rPr>
        <w:t>。</w:t>
      </w:r>
    </w:p>
    <w:p w14:paraId="0C64CFEC">
      <w:pPr>
        <w:spacing w:line="218" w:lineRule="auto"/>
        <w:ind w:left="2462"/>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4.2-5</w:t>
      </w:r>
      <w:r>
        <w:rPr>
          <w:rFonts w:ascii="宋体" w:hAnsi="宋体" w:eastAsia="宋体" w:cs="宋体"/>
          <w:b/>
          <w:bCs/>
          <w:spacing w:val="-2"/>
          <w:sz w:val="21"/>
          <w:szCs w:val="21"/>
        </w:rPr>
        <w:t>地下水监测点位布置情况一览表</w:t>
      </w:r>
    </w:p>
    <w:tbl>
      <w:tblPr>
        <w:tblStyle w:val="111"/>
        <w:tblW w:w="9292" w:type="dxa"/>
        <w:tblInd w:w="1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5"/>
        <w:gridCol w:w="1945"/>
        <w:gridCol w:w="2134"/>
        <w:gridCol w:w="4408"/>
      </w:tblGrid>
      <w:tr w14:paraId="12594F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05" w:type="dxa"/>
            <w:vAlign w:val="center"/>
          </w:tcPr>
          <w:p w14:paraId="2AF3E9D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编号</w:t>
            </w:r>
          </w:p>
        </w:tc>
        <w:tc>
          <w:tcPr>
            <w:tcW w:w="1945" w:type="dxa"/>
            <w:vAlign w:val="center"/>
          </w:tcPr>
          <w:p w14:paraId="3E8D48D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监测点位</w:t>
            </w:r>
          </w:p>
        </w:tc>
        <w:tc>
          <w:tcPr>
            <w:tcW w:w="2134" w:type="dxa"/>
            <w:vAlign w:val="center"/>
          </w:tcPr>
          <w:p w14:paraId="10D668C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与项目上下游关系</w:t>
            </w:r>
          </w:p>
        </w:tc>
        <w:tc>
          <w:tcPr>
            <w:tcW w:w="4408" w:type="dxa"/>
            <w:vAlign w:val="center"/>
          </w:tcPr>
          <w:p w14:paraId="7821C03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监测内容</w:t>
            </w:r>
          </w:p>
        </w:tc>
      </w:tr>
      <w:tr w14:paraId="0C9B66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trPr>
        <w:tc>
          <w:tcPr>
            <w:tcW w:w="805" w:type="dxa"/>
            <w:vAlign w:val="center"/>
          </w:tcPr>
          <w:p w14:paraId="37CE9428">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D1</w:t>
            </w:r>
          </w:p>
        </w:tc>
        <w:tc>
          <w:tcPr>
            <w:tcW w:w="1945" w:type="dxa"/>
            <w:vAlign w:val="center"/>
          </w:tcPr>
          <w:p w14:paraId="2856ACE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企业内部井</w:t>
            </w:r>
          </w:p>
        </w:tc>
        <w:tc>
          <w:tcPr>
            <w:tcW w:w="2134" w:type="dxa"/>
            <w:vAlign w:val="center"/>
          </w:tcPr>
          <w:p w14:paraId="7FC7512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上游</w:t>
            </w:r>
          </w:p>
        </w:tc>
        <w:tc>
          <w:tcPr>
            <w:tcW w:w="4408" w:type="dxa"/>
            <w:vMerge w:val="restart"/>
            <w:tcBorders>
              <w:bottom w:val="nil"/>
            </w:tcBorders>
            <w:vAlign w:val="center"/>
          </w:tcPr>
          <w:p w14:paraId="38F1D9A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①水质因子：</w:t>
            </w:r>
            <w:r>
              <w:rPr>
                <w:rFonts w:ascii="Times New Roman" w:hAnsi="Times New Roman" w:eastAsia="Times New Roman" w:cs="Times New Roman"/>
                <w:spacing w:val="4"/>
              </w:rPr>
              <w:t>K</w:t>
            </w:r>
            <w:r>
              <w:rPr>
                <w:rFonts w:ascii="Times New Roman" w:hAnsi="Times New Roman" w:eastAsia="Times New Roman" w:cs="Times New Roman"/>
                <w:spacing w:val="4"/>
                <w:position w:val="6"/>
                <w:sz w:val="13"/>
                <w:szCs w:val="13"/>
              </w:rPr>
              <w:t>+</w:t>
            </w:r>
            <w:r>
              <w:rPr>
                <w:spacing w:val="4"/>
              </w:rPr>
              <w:t>、</w:t>
            </w:r>
            <w:r>
              <w:rPr>
                <w:rFonts w:ascii="Times New Roman" w:hAnsi="Times New Roman" w:eastAsia="Times New Roman" w:cs="Times New Roman"/>
              </w:rPr>
              <w:t>Na</w:t>
            </w:r>
            <w:r>
              <w:rPr>
                <w:rFonts w:ascii="Times New Roman" w:hAnsi="Times New Roman" w:eastAsia="Times New Roman" w:cs="Times New Roman"/>
                <w:spacing w:val="4"/>
                <w:position w:val="6"/>
                <w:sz w:val="13"/>
                <w:szCs w:val="13"/>
              </w:rPr>
              <w:t>+</w:t>
            </w:r>
            <w:r>
              <w:rPr>
                <w:spacing w:val="4"/>
              </w:rPr>
              <w:t>、</w:t>
            </w:r>
            <w:r>
              <w:rPr>
                <w:rFonts w:ascii="Times New Roman" w:hAnsi="Times New Roman" w:eastAsia="Times New Roman" w:cs="Times New Roman"/>
              </w:rPr>
              <w:t>Ca</w:t>
            </w:r>
            <w:r>
              <w:rPr>
                <w:rFonts w:ascii="Times New Roman" w:hAnsi="Times New Roman" w:eastAsia="Times New Roman" w:cs="Times New Roman"/>
                <w:spacing w:val="4"/>
                <w:position w:val="6"/>
                <w:sz w:val="13"/>
                <w:szCs w:val="13"/>
              </w:rPr>
              <w:t>2+</w:t>
            </w:r>
            <w:r>
              <w:rPr>
                <w:spacing w:val="4"/>
              </w:rPr>
              <w:t>、</w:t>
            </w:r>
            <w:r>
              <w:rPr>
                <w:rFonts w:ascii="Times New Roman" w:hAnsi="Times New Roman" w:eastAsia="Times New Roman" w:cs="Times New Roman"/>
              </w:rPr>
              <w:t>Mg</w:t>
            </w:r>
            <w:r>
              <w:rPr>
                <w:rFonts w:ascii="Times New Roman" w:hAnsi="Times New Roman" w:eastAsia="Times New Roman" w:cs="Times New Roman"/>
                <w:spacing w:val="4"/>
                <w:position w:val="6"/>
                <w:sz w:val="13"/>
                <w:szCs w:val="13"/>
              </w:rPr>
              <w:t>2+</w:t>
            </w:r>
            <w:r>
              <w:rPr>
                <w:spacing w:val="4"/>
              </w:rPr>
              <w:t>、</w:t>
            </w:r>
            <w:r>
              <w:rPr>
                <w:rFonts w:ascii="Times New Roman" w:hAnsi="Times New Roman" w:eastAsia="Times New Roman" w:cs="Times New Roman"/>
              </w:rPr>
              <w:t>CO</w:t>
            </w:r>
            <w:r>
              <w:rPr>
                <w:rFonts w:ascii="Times New Roman" w:hAnsi="Times New Roman" w:eastAsia="Times New Roman" w:cs="Times New Roman"/>
                <w:spacing w:val="4"/>
                <w:position w:val="-2"/>
                <w:sz w:val="13"/>
                <w:szCs w:val="13"/>
              </w:rPr>
              <w:t>3</w:t>
            </w:r>
            <w:r>
              <w:rPr>
                <w:rFonts w:ascii="Times New Roman" w:hAnsi="Times New Roman" w:eastAsia="Times New Roman" w:cs="Times New Roman"/>
                <w:spacing w:val="4"/>
                <w:position w:val="6"/>
                <w:sz w:val="13"/>
                <w:szCs w:val="13"/>
              </w:rPr>
              <w:t>2-</w:t>
            </w:r>
            <w:r>
              <w:rPr>
                <w:spacing w:val="4"/>
              </w:rPr>
              <w:t>、</w:t>
            </w:r>
            <w:r>
              <w:rPr>
                <w:rFonts w:ascii="Times New Roman" w:hAnsi="Times New Roman" w:eastAsia="Times New Roman" w:cs="Times New Roman"/>
              </w:rPr>
              <w:t>HCO</w:t>
            </w:r>
            <w:r>
              <w:rPr>
                <w:rFonts w:ascii="Times New Roman" w:hAnsi="Times New Roman" w:eastAsia="Times New Roman" w:cs="Times New Roman"/>
                <w:spacing w:val="3"/>
                <w:position w:val="6"/>
                <w:sz w:val="13"/>
                <w:szCs w:val="13"/>
              </w:rPr>
              <w:t>3-</w:t>
            </w:r>
            <w:r>
              <w:rPr>
                <w:spacing w:val="3"/>
              </w:rPr>
              <w:t>、</w:t>
            </w:r>
            <w:r>
              <w:rPr>
                <w:rFonts w:ascii="Times New Roman" w:hAnsi="Times New Roman" w:eastAsia="Times New Roman" w:cs="Times New Roman"/>
              </w:rPr>
              <w:t>SO</w:t>
            </w:r>
            <w:r>
              <w:rPr>
                <w:rFonts w:ascii="Times New Roman" w:hAnsi="Times New Roman" w:eastAsia="Times New Roman" w:cs="Times New Roman"/>
                <w:spacing w:val="3"/>
                <w:position w:val="-1"/>
                <w:sz w:val="13"/>
                <w:szCs w:val="13"/>
              </w:rPr>
              <w:t>4</w:t>
            </w:r>
            <w:r>
              <w:rPr>
                <w:rFonts w:ascii="Times New Roman" w:hAnsi="Times New Roman" w:eastAsia="Times New Roman" w:cs="Times New Roman"/>
                <w:spacing w:val="3"/>
                <w:position w:val="6"/>
                <w:sz w:val="13"/>
                <w:szCs w:val="13"/>
              </w:rPr>
              <w:t>2-</w:t>
            </w:r>
            <w:r>
              <w:rPr>
                <w:spacing w:val="3"/>
              </w:rPr>
              <w:t>、</w:t>
            </w:r>
            <w:r>
              <w:rPr>
                <w:rFonts w:ascii="Times New Roman" w:hAnsi="Times New Roman" w:eastAsia="Times New Roman" w:cs="Times New Roman"/>
              </w:rPr>
              <w:t>Cl</w:t>
            </w:r>
            <w:r>
              <w:rPr>
                <w:rFonts w:ascii="Times New Roman" w:hAnsi="Times New Roman" w:eastAsia="Times New Roman" w:cs="Times New Roman"/>
                <w:spacing w:val="3"/>
                <w:position w:val="6"/>
                <w:sz w:val="13"/>
                <w:szCs w:val="13"/>
              </w:rPr>
              <w:t>-</w:t>
            </w:r>
            <w:r>
              <w:rPr>
                <w:spacing w:val="3"/>
              </w:rPr>
              <w:t>、</w:t>
            </w:r>
            <w:r>
              <w:rPr>
                <w:rFonts w:ascii="Times New Roman" w:hAnsi="Times New Roman" w:eastAsia="Times New Roman" w:cs="Times New Roman"/>
              </w:rPr>
              <w:t>pH</w:t>
            </w:r>
            <w:r>
              <w:rPr>
                <w:spacing w:val="3"/>
              </w:rPr>
              <w:t>、氨氮、硝酸盐、亚硝</w:t>
            </w:r>
            <w:r>
              <w:rPr>
                <w:spacing w:val="-4"/>
              </w:rPr>
              <w:t>酸盐、挥发性酚类、氰化物、砷、汞、铬</w:t>
            </w:r>
            <w:r>
              <w:rPr>
                <w:rFonts w:hint="eastAsia" w:eastAsia="宋体"/>
                <w:spacing w:val="-4"/>
                <w:lang w:eastAsia="zh-CN"/>
              </w:rPr>
              <w:t>（</w:t>
            </w:r>
            <w:r>
              <w:rPr>
                <w:spacing w:val="-4"/>
              </w:rPr>
              <w:t>六价</w:t>
            </w:r>
            <w:r>
              <w:rPr>
                <w:rFonts w:hint="eastAsia" w:eastAsia="宋体"/>
                <w:spacing w:val="-4"/>
                <w:lang w:eastAsia="zh-CN"/>
              </w:rPr>
              <w:t>）</w:t>
            </w:r>
            <w:r>
              <w:rPr>
                <w:spacing w:val="-4"/>
              </w:rPr>
              <w:t>、</w:t>
            </w:r>
            <w:r>
              <w:rPr>
                <w:spacing w:val="2"/>
              </w:rPr>
              <w:t>总硬度、铅、氟、镉、铁、锰、溶解性总固体、高锰酸盐指数、硫酸盐、氯化物、总大肠菌群、</w:t>
            </w:r>
            <w:r>
              <w:rPr>
                <w:spacing w:val="8"/>
              </w:rPr>
              <w:t>细菌总数、铬、镍、铜、锌。</w:t>
            </w:r>
          </w:p>
          <w:p w14:paraId="2E45EDB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②水位信息：井深与水位。</w:t>
            </w:r>
          </w:p>
        </w:tc>
      </w:tr>
      <w:tr w14:paraId="55AC3A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05" w:type="dxa"/>
            <w:vAlign w:val="center"/>
          </w:tcPr>
          <w:p w14:paraId="4ACB433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D2</w:t>
            </w:r>
          </w:p>
        </w:tc>
        <w:tc>
          <w:tcPr>
            <w:tcW w:w="1945" w:type="dxa"/>
            <w:vAlign w:val="center"/>
          </w:tcPr>
          <w:p w14:paraId="65CECB0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长子坡居民点</w:t>
            </w:r>
          </w:p>
        </w:tc>
        <w:tc>
          <w:tcPr>
            <w:tcW w:w="2134" w:type="dxa"/>
            <w:vAlign w:val="center"/>
          </w:tcPr>
          <w:p w14:paraId="0389238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侧向</w:t>
            </w:r>
          </w:p>
        </w:tc>
        <w:tc>
          <w:tcPr>
            <w:tcW w:w="4408" w:type="dxa"/>
            <w:vMerge w:val="continue"/>
            <w:tcBorders>
              <w:top w:val="nil"/>
              <w:bottom w:val="nil"/>
            </w:tcBorders>
            <w:vAlign w:val="center"/>
          </w:tcPr>
          <w:p w14:paraId="558F3A77">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r w14:paraId="1A97BE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2" w:hRule="atLeast"/>
        </w:trPr>
        <w:tc>
          <w:tcPr>
            <w:tcW w:w="805" w:type="dxa"/>
            <w:vAlign w:val="center"/>
          </w:tcPr>
          <w:p w14:paraId="48B7D46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D3</w:t>
            </w:r>
          </w:p>
        </w:tc>
        <w:tc>
          <w:tcPr>
            <w:tcW w:w="1945" w:type="dxa"/>
            <w:vAlign w:val="center"/>
          </w:tcPr>
          <w:p w14:paraId="2034555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下新屋居民点</w:t>
            </w:r>
          </w:p>
        </w:tc>
        <w:tc>
          <w:tcPr>
            <w:tcW w:w="2134" w:type="dxa"/>
            <w:vAlign w:val="center"/>
          </w:tcPr>
          <w:p w14:paraId="7873CB3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下游</w:t>
            </w:r>
          </w:p>
        </w:tc>
        <w:tc>
          <w:tcPr>
            <w:tcW w:w="4408" w:type="dxa"/>
            <w:vMerge w:val="continue"/>
            <w:tcBorders>
              <w:top w:val="nil"/>
            </w:tcBorders>
            <w:vAlign w:val="center"/>
          </w:tcPr>
          <w:p w14:paraId="5861C46A">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r w14:paraId="2C2E07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05" w:type="dxa"/>
            <w:vAlign w:val="center"/>
          </w:tcPr>
          <w:p w14:paraId="7CA7210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D4</w:t>
            </w:r>
          </w:p>
        </w:tc>
        <w:tc>
          <w:tcPr>
            <w:tcW w:w="1945" w:type="dxa"/>
            <w:vAlign w:val="center"/>
          </w:tcPr>
          <w:p w14:paraId="479740E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黄鹤坡居民点</w:t>
            </w:r>
          </w:p>
        </w:tc>
        <w:tc>
          <w:tcPr>
            <w:tcW w:w="2134" w:type="dxa"/>
            <w:vAlign w:val="center"/>
          </w:tcPr>
          <w:p w14:paraId="50CE6F6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侧向</w:t>
            </w:r>
          </w:p>
        </w:tc>
        <w:tc>
          <w:tcPr>
            <w:tcW w:w="4408" w:type="dxa"/>
            <w:vMerge w:val="restart"/>
            <w:tcBorders>
              <w:bottom w:val="nil"/>
            </w:tcBorders>
            <w:vAlign w:val="center"/>
          </w:tcPr>
          <w:p w14:paraId="58D507F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井深与水位</w:t>
            </w:r>
          </w:p>
        </w:tc>
      </w:tr>
      <w:tr w14:paraId="0E6059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trPr>
        <w:tc>
          <w:tcPr>
            <w:tcW w:w="805" w:type="dxa"/>
            <w:vAlign w:val="center"/>
          </w:tcPr>
          <w:p w14:paraId="5E2BBB02">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D5</w:t>
            </w:r>
          </w:p>
        </w:tc>
        <w:tc>
          <w:tcPr>
            <w:tcW w:w="1945" w:type="dxa"/>
            <w:vAlign w:val="center"/>
          </w:tcPr>
          <w:p w14:paraId="11286E2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中新屋居民点</w:t>
            </w:r>
          </w:p>
        </w:tc>
        <w:tc>
          <w:tcPr>
            <w:tcW w:w="2134" w:type="dxa"/>
            <w:vAlign w:val="center"/>
          </w:tcPr>
          <w:p w14:paraId="678F003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下游</w:t>
            </w:r>
          </w:p>
        </w:tc>
        <w:tc>
          <w:tcPr>
            <w:tcW w:w="4408" w:type="dxa"/>
            <w:vMerge w:val="continue"/>
            <w:tcBorders>
              <w:top w:val="nil"/>
              <w:bottom w:val="nil"/>
            </w:tcBorders>
            <w:vAlign w:val="center"/>
          </w:tcPr>
          <w:p w14:paraId="6436BBE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r w14:paraId="72087A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05" w:type="dxa"/>
            <w:vAlign w:val="center"/>
          </w:tcPr>
          <w:p w14:paraId="350309F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D6</w:t>
            </w:r>
          </w:p>
        </w:tc>
        <w:tc>
          <w:tcPr>
            <w:tcW w:w="1945" w:type="dxa"/>
            <w:vAlign w:val="center"/>
          </w:tcPr>
          <w:p w14:paraId="7C62FDF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万古村居民点</w:t>
            </w:r>
          </w:p>
        </w:tc>
        <w:tc>
          <w:tcPr>
            <w:tcW w:w="2134" w:type="dxa"/>
            <w:vAlign w:val="center"/>
          </w:tcPr>
          <w:p w14:paraId="2C79295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下游</w:t>
            </w:r>
          </w:p>
        </w:tc>
        <w:tc>
          <w:tcPr>
            <w:tcW w:w="4408" w:type="dxa"/>
            <w:vMerge w:val="continue"/>
            <w:tcBorders>
              <w:top w:val="nil"/>
            </w:tcBorders>
            <w:vAlign w:val="center"/>
          </w:tcPr>
          <w:p w14:paraId="11CC5FC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bl>
    <w:p w14:paraId="75B02348">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2</w:t>
      </w:r>
      <w:r>
        <w:rPr>
          <w:rFonts w:ascii="宋体" w:hAnsi="宋体" w:eastAsia="宋体" w:cs="宋体"/>
          <w:spacing w:val="-3"/>
          <w:sz w:val="24"/>
          <w:szCs w:val="24"/>
        </w:rPr>
        <w:t>）监测时间和频次</w:t>
      </w:r>
    </w:p>
    <w:p w14:paraId="0C78B547">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Times New Roman" w:hAnsi="Times New Roman" w:eastAsia="Times New Roman" w:cs="Times New Roman"/>
          <w:spacing w:val="-9"/>
          <w:sz w:val="24"/>
          <w:szCs w:val="24"/>
        </w:rPr>
        <w:t>2026</w:t>
      </w:r>
      <w:r>
        <w:rPr>
          <w:rFonts w:ascii="宋体" w:hAnsi="宋体" w:eastAsia="宋体" w:cs="宋体"/>
          <w:spacing w:val="-9"/>
          <w:sz w:val="24"/>
          <w:szCs w:val="24"/>
        </w:rPr>
        <w:t>年</w:t>
      </w:r>
      <w:r>
        <w:rPr>
          <w:rFonts w:ascii="Times New Roman" w:hAnsi="Times New Roman" w:eastAsia="Times New Roman" w:cs="Times New Roman"/>
          <w:spacing w:val="-9"/>
          <w:sz w:val="24"/>
          <w:szCs w:val="24"/>
        </w:rPr>
        <w:t>1</w:t>
      </w:r>
      <w:r>
        <w:rPr>
          <w:rFonts w:ascii="宋体" w:hAnsi="宋体" w:eastAsia="宋体" w:cs="宋体"/>
          <w:spacing w:val="-9"/>
          <w:sz w:val="24"/>
          <w:szCs w:val="24"/>
        </w:rPr>
        <w:t>月</w:t>
      </w:r>
      <w:r>
        <w:rPr>
          <w:rFonts w:ascii="Times New Roman" w:hAnsi="Times New Roman" w:eastAsia="Times New Roman" w:cs="Times New Roman"/>
          <w:spacing w:val="-9"/>
          <w:sz w:val="24"/>
          <w:szCs w:val="24"/>
        </w:rPr>
        <w:t>31</w:t>
      </w:r>
      <w:r>
        <w:rPr>
          <w:rFonts w:ascii="宋体" w:hAnsi="宋体" w:eastAsia="宋体" w:cs="宋体"/>
          <w:spacing w:val="-9"/>
          <w:sz w:val="24"/>
          <w:szCs w:val="24"/>
        </w:rPr>
        <w:t>日，连续</w:t>
      </w:r>
      <w:r>
        <w:rPr>
          <w:rFonts w:ascii="Times New Roman" w:hAnsi="Times New Roman" w:eastAsia="Times New Roman" w:cs="Times New Roman"/>
          <w:spacing w:val="-9"/>
          <w:sz w:val="24"/>
          <w:szCs w:val="24"/>
        </w:rPr>
        <w:t>1</w:t>
      </w:r>
      <w:r>
        <w:rPr>
          <w:rFonts w:ascii="宋体" w:hAnsi="宋体" w:eastAsia="宋体" w:cs="宋体"/>
          <w:spacing w:val="-9"/>
          <w:sz w:val="24"/>
          <w:szCs w:val="24"/>
        </w:rPr>
        <w:t>天，每天</w:t>
      </w:r>
      <w:r>
        <w:rPr>
          <w:rFonts w:ascii="Times New Roman" w:hAnsi="Times New Roman" w:eastAsia="Times New Roman" w:cs="Times New Roman"/>
          <w:spacing w:val="-9"/>
          <w:sz w:val="24"/>
          <w:szCs w:val="24"/>
        </w:rPr>
        <w:t>1</w:t>
      </w:r>
      <w:r>
        <w:rPr>
          <w:rFonts w:ascii="宋体" w:hAnsi="宋体" w:eastAsia="宋体" w:cs="宋体"/>
          <w:spacing w:val="-9"/>
          <w:sz w:val="24"/>
          <w:szCs w:val="24"/>
        </w:rPr>
        <w:t>次。</w:t>
      </w:r>
    </w:p>
    <w:p w14:paraId="4AB74F30">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3</w:t>
      </w:r>
      <w:r>
        <w:rPr>
          <w:rFonts w:ascii="宋体" w:hAnsi="宋体" w:eastAsia="宋体" w:cs="宋体"/>
          <w:spacing w:val="-1"/>
          <w:sz w:val="24"/>
          <w:szCs w:val="24"/>
        </w:rPr>
        <w:t>）执行标准：《地下水质量标准》</w:t>
      </w:r>
      <w:r>
        <w:rPr>
          <w:rFonts w:hint="eastAsia" w:ascii="宋体" w:hAnsi="宋体" w:cs="宋体"/>
          <w:spacing w:val="-1"/>
          <w:sz w:val="24"/>
          <w:szCs w:val="24"/>
          <w:lang w:eastAsia="zh-CN"/>
        </w:rPr>
        <w:t>（</w:t>
      </w:r>
      <w:r>
        <w:rPr>
          <w:rFonts w:ascii="Times New Roman" w:hAnsi="Times New Roman" w:eastAsia="Times New Roman" w:cs="Times New Roman"/>
          <w:spacing w:val="-1"/>
          <w:sz w:val="24"/>
          <w:szCs w:val="24"/>
        </w:rPr>
        <w:t>GB/T14848-2017)</w:t>
      </w:r>
      <w:r>
        <w:rPr>
          <w:rFonts w:ascii="宋体" w:hAnsi="宋体" w:eastAsia="宋体" w:cs="宋体"/>
          <w:spacing w:val="-1"/>
          <w:sz w:val="24"/>
          <w:szCs w:val="24"/>
        </w:rPr>
        <w:t>Ⅲ类标准。</w:t>
      </w:r>
    </w:p>
    <w:p w14:paraId="7597EE37">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pacing w:val="-2"/>
          <w:sz w:val="24"/>
          <w:szCs w:val="24"/>
        </w:rPr>
      </w:pPr>
      <w:r>
        <w:rPr>
          <w:rFonts w:ascii="宋体" w:hAnsi="宋体" w:eastAsia="宋体" w:cs="宋体"/>
          <w:spacing w:val="-1"/>
          <w:sz w:val="24"/>
          <w:szCs w:val="24"/>
        </w:rPr>
        <w:t>（</w:t>
      </w:r>
      <w:r>
        <w:rPr>
          <w:rFonts w:ascii="Times New Roman" w:hAnsi="Times New Roman" w:eastAsia="Times New Roman" w:cs="Times New Roman"/>
          <w:spacing w:val="-1"/>
          <w:sz w:val="24"/>
          <w:szCs w:val="24"/>
        </w:rPr>
        <w:t>4</w:t>
      </w:r>
      <w:r>
        <w:rPr>
          <w:rFonts w:ascii="宋体" w:hAnsi="宋体" w:eastAsia="宋体" w:cs="宋体"/>
          <w:spacing w:val="-1"/>
          <w:sz w:val="24"/>
          <w:szCs w:val="24"/>
        </w:rPr>
        <w:t>）监测结果及评价：各测点污染因子监测结果及评价结果见</w:t>
      </w:r>
      <w:r>
        <w:rPr>
          <w:rFonts w:ascii="宋体" w:hAnsi="宋体" w:eastAsia="宋体" w:cs="宋体"/>
          <w:spacing w:val="-2"/>
          <w:sz w:val="24"/>
          <w:szCs w:val="24"/>
        </w:rPr>
        <w:t>表</w:t>
      </w:r>
      <w:r>
        <w:rPr>
          <w:rFonts w:ascii="Times New Roman" w:hAnsi="Times New Roman" w:eastAsia="Times New Roman" w:cs="Times New Roman"/>
          <w:spacing w:val="-2"/>
          <w:sz w:val="24"/>
          <w:szCs w:val="24"/>
        </w:rPr>
        <w:t>4.2-6</w:t>
      </w:r>
      <w:r>
        <w:rPr>
          <w:rFonts w:ascii="宋体" w:hAnsi="宋体" w:eastAsia="宋体" w:cs="宋体"/>
          <w:spacing w:val="-2"/>
          <w:sz w:val="24"/>
          <w:szCs w:val="24"/>
        </w:rPr>
        <w:t>、</w:t>
      </w:r>
      <w:r>
        <w:rPr>
          <w:rFonts w:ascii="Times New Roman" w:hAnsi="Times New Roman" w:eastAsia="Times New Roman" w:cs="Times New Roman"/>
          <w:spacing w:val="-2"/>
          <w:sz w:val="24"/>
          <w:szCs w:val="24"/>
        </w:rPr>
        <w:t>4.2-7</w:t>
      </w:r>
      <w:r>
        <w:rPr>
          <w:rFonts w:ascii="宋体" w:hAnsi="宋体" w:eastAsia="宋体" w:cs="宋体"/>
          <w:spacing w:val="-2"/>
          <w:sz w:val="24"/>
          <w:szCs w:val="24"/>
        </w:rPr>
        <w:t>。</w:t>
      </w:r>
    </w:p>
    <w:p w14:paraId="5F809EAD">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sz w:val="21"/>
          <w:szCs w:val="21"/>
        </w:rPr>
      </w:pPr>
      <w:r>
        <w:rPr>
          <w:rFonts w:ascii="宋体" w:hAnsi="宋体" w:eastAsia="宋体" w:cs="宋体"/>
          <w:b/>
          <w:bCs/>
          <w:spacing w:val="-1"/>
          <w:sz w:val="21"/>
          <w:szCs w:val="21"/>
        </w:rPr>
        <w:t>表</w:t>
      </w:r>
      <w:r>
        <w:rPr>
          <w:rFonts w:ascii="Times New Roman" w:hAnsi="Times New Roman" w:eastAsia="Times New Roman" w:cs="Times New Roman"/>
          <w:b/>
          <w:bCs/>
          <w:spacing w:val="-1"/>
          <w:sz w:val="21"/>
          <w:szCs w:val="21"/>
        </w:rPr>
        <w:t xml:space="preserve">4.2-6  </w:t>
      </w:r>
      <w:r>
        <w:rPr>
          <w:rFonts w:ascii="宋体" w:hAnsi="宋体" w:eastAsia="宋体" w:cs="宋体"/>
          <w:b/>
          <w:bCs/>
          <w:spacing w:val="-1"/>
          <w:sz w:val="21"/>
          <w:szCs w:val="21"/>
        </w:rPr>
        <w:t>地下水环境质量监测结果</w:t>
      </w:r>
    </w:p>
    <w:tbl>
      <w:tblPr>
        <w:tblStyle w:val="46"/>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052"/>
        <w:gridCol w:w="2779"/>
        <w:gridCol w:w="1649"/>
        <w:gridCol w:w="1436"/>
        <w:gridCol w:w="1369"/>
      </w:tblGrid>
      <w:tr w14:paraId="788A23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tcBorders>
              <w:tl2br w:val="nil"/>
              <w:tr2bl w:val="nil"/>
            </w:tcBorders>
            <w:tcMar>
              <w:left w:w="108" w:type="dxa"/>
              <w:right w:w="108" w:type="dxa"/>
            </w:tcMar>
            <w:vAlign w:val="center"/>
          </w:tcPr>
          <w:p w14:paraId="3674DB6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rPr>
            </w:pPr>
            <w:r>
              <w:rPr>
                <w:b/>
              </w:rPr>
              <w:t>采样点位</w:t>
            </w:r>
          </w:p>
        </w:tc>
        <w:tc>
          <w:tcPr>
            <w:tcW w:w="0" w:type="auto"/>
            <w:tcBorders>
              <w:tl2br w:val="nil"/>
              <w:tr2bl w:val="nil"/>
            </w:tcBorders>
            <w:tcMar>
              <w:left w:w="108" w:type="dxa"/>
              <w:right w:w="108" w:type="dxa"/>
            </w:tcMar>
            <w:vAlign w:val="center"/>
          </w:tcPr>
          <w:p w14:paraId="55AC604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rPr>
            </w:pPr>
            <w:r>
              <w:rPr>
                <w:b/>
              </w:rPr>
              <w:t>检测项目</w:t>
            </w:r>
          </w:p>
        </w:tc>
        <w:tc>
          <w:tcPr>
            <w:tcW w:w="0" w:type="auto"/>
            <w:tcBorders>
              <w:tl2br w:val="nil"/>
              <w:tr2bl w:val="nil"/>
            </w:tcBorders>
            <w:tcMar>
              <w:left w:w="108" w:type="dxa"/>
              <w:right w:w="108" w:type="dxa"/>
            </w:tcMar>
            <w:vAlign w:val="center"/>
          </w:tcPr>
          <w:p w14:paraId="2BC12A9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rPr>
            </w:pPr>
            <w:r>
              <w:rPr>
                <w:b/>
              </w:rPr>
              <w:t>计量单位</w:t>
            </w:r>
          </w:p>
        </w:tc>
        <w:tc>
          <w:tcPr>
            <w:tcW w:w="0" w:type="auto"/>
            <w:tcBorders>
              <w:tl2br w:val="nil"/>
              <w:tr2bl w:val="nil"/>
            </w:tcBorders>
            <w:tcMar>
              <w:left w:w="108" w:type="dxa"/>
              <w:right w:w="108" w:type="dxa"/>
            </w:tcMar>
            <w:vAlign w:val="center"/>
          </w:tcPr>
          <w:p w14:paraId="10C7299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rPr>
            </w:pPr>
            <w:r>
              <w:rPr>
                <w:b/>
              </w:rPr>
              <w:t>检测结果</w:t>
            </w:r>
          </w:p>
        </w:tc>
        <w:tc>
          <w:tcPr>
            <w:tcW w:w="0" w:type="auto"/>
            <w:tcBorders>
              <w:tl2br w:val="nil"/>
              <w:tr2bl w:val="nil"/>
            </w:tcBorders>
            <w:tcMar>
              <w:left w:w="108" w:type="dxa"/>
              <w:right w:w="108" w:type="dxa"/>
            </w:tcMar>
            <w:vAlign w:val="center"/>
          </w:tcPr>
          <w:p w14:paraId="7EB6056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rPr>
            </w:pPr>
            <w:r>
              <w:rPr>
                <w:b/>
              </w:rPr>
              <w:t>标准限值</w:t>
            </w:r>
          </w:p>
        </w:tc>
      </w:tr>
      <w:tr w14:paraId="0636E2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restart"/>
            <w:tcBorders>
              <w:tl2br w:val="nil"/>
              <w:tr2bl w:val="nil"/>
            </w:tcBorders>
            <w:tcMar>
              <w:left w:w="108" w:type="dxa"/>
              <w:right w:w="108" w:type="dxa"/>
            </w:tcMar>
            <w:vAlign w:val="center"/>
          </w:tcPr>
          <w:p w14:paraId="2D40AE9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D</w:t>
            </w:r>
            <w:r>
              <w:rPr>
                <w:rFonts w:hint="eastAsia"/>
                <w:lang w:val="en-US" w:eastAsia="zh-CN"/>
              </w:rPr>
              <w:t>1</w:t>
            </w:r>
            <w:r>
              <w:t>企业内部井</w:t>
            </w:r>
          </w:p>
        </w:tc>
        <w:tc>
          <w:tcPr>
            <w:tcW w:w="0" w:type="auto"/>
            <w:tcBorders>
              <w:tl2br w:val="nil"/>
              <w:tr2bl w:val="nil"/>
            </w:tcBorders>
            <w:tcMar>
              <w:left w:w="108" w:type="dxa"/>
              <w:right w:w="108" w:type="dxa"/>
            </w:tcMar>
            <w:vAlign w:val="center"/>
          </w:tcPr>
          <w:p w14:paraId="54F49EA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pH值</w:t>
            </w:r>
          </w:p>
        </w:tc>
        <w:tc>
          <w:tcPr>
            <w:tcW w:w="0" w:type="auto"/>
            <w:tcBorders>
              <w:tl2br w:val="nil"/>
              <w:tr2bl w:val="nil"/>
            </w:tcBorders>
            <w:tcMar>
              <w:left w:w="108" w:type="dxa"/>
              <w:right w:w="108" w:type="dxa"/>
            </w:tcMar>
            <w:vAlign w:val="center"/>
          </w:tcPr>
          <w:p w14:paraId="7313907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无量纲</w:t>
            </w:r>
          </w:p>
        </w:tc>
        <w:tc>
          <w:tcPr>
            <w:tcW w:w="0" w:type="auto"/>
            <w:tcBorders>
              <w:tl2br w:val="nil"/>
              <w:tr2bl w:val="nil"/>
            </w:tcBorders>
            <w:tcMar>
              <w:left w:w="108" w:type="dxa"/>
              <w:right w:w="108" w:type="dxa"/>
            </w:tcMar>
            <w:vAlign w:val="center"/>
          </w:tcPr>
          <w:p w14:paraId="7ABD768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7.3</w:t>
            </w:r>
          </w:p>
        </w:tc>
        <w:tc>
          <w:tcPr>
            <w:tcW w:w="0" w:type="auto"/>
            <w:tcBorders>
              <w:tl2br w:val="nil"/>
              <w:tr2bl w:val="nil"/>
            </w:tcBorders>
            <w:tcMar>
              <w:left w:w="108" w:type="dxa"/>
              <w:right w:w="108" w:type="dxa"/>
            </w:tcMar>
            <w:vAlign w:val="center"/>
          </w:tcPr>
          <w:p w14:paraId="0EB2ACF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6.5~8.5</w:t>
            </w:r>
          </w:p>
        </w:tc>
      </w:tr>
      <w:tr w14:paraId="0D7FA1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193B796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26B3CAE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水位</w:t>
            </w:r>
          </w:p>
        </w:tc>
        <w:tc>
          <w:tcPr>
            <w:tcW w:w="0" w:type="auto"/>
            <w:tcBorders>
              <w:tl2br w:val="nil"/>
              <w:tr2bl w:val="nil"/>
            </w:tcBorders>
            <w:tcMar>
              <w:left w:w="108" w:type="dxa"/>
              <w:right w:w="108" w:type="dxa"/>
            </w:tcMar>
            <w:vAlign w:val="center"/>
          </w:tcPr>
          <w:p w14:paraId="388488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22CF934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120.00</w:t>
            </w:r>
          </w:p>
        </w:tc>
        <w:tc>
          <w:tcPr>
            <w:tcW w:w="0" w:type="auto"/>
            <w:tcBorders>
              <w:tl2br w:val="nil"/>
              <w:tr2bl w:val="nil"/>
            </w:tcBorders>
            <w:tcMar>
              <w:left w:w="108" w:type="dxa"/>
              <w:right w:w="108" w:type="dxa"/>
            </w:tcMar>
            <w:vAlign w:val="center"/>
          </w:tcPr>
          <w:p w14:paraId="64FE752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255CCB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B35A67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2086EF9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井深</w:t>
            </w:r>
          </w:p>
        </w:tc>
        <w:tc>
          <w:tcPr>
            <w:tcW w:w="0" w:type="auto"/>
            <w:tcBorders>
              <w:tl2br w:val="nil"/>
              <w:tr2bl w:val="nil"/>
            </w:tcBorders>
            <w:tcMar>
              <w:left w:w="108" w:type="dxa"/>
              <w:right w:w="108" w:type="dxa"/>
            </w:tcMar>
            <w:vAlign w:val="center"/>
          </w:tcPr>
          <w:p w14:paraId="5167639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5363B66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15.00</w:t>
            </w:r>
          </w:p>
        </w:tc>
        <w:tc>
          <w:tcPr>
            <w:tcW w:w="0" w:type="auto"/>
            <w:tcBorders>
              <w:tl2br w:val="nil"/>
              <w:tr2bl w:val="nil"/>
            </w:tcBorders>
            <w:tcMar>
              <w:left w:w="108" w:type="dxa"/>
              <w:right w:w="108" w:type="dxa"/>
            </w:tcMar>
            <w:vAlign w:val="center"/>
          </w:tcPr>
          <w:p w14:paraId="7DA202A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0A99A6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2D91FBB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06E7046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钙</w:t>
            </w:r>
          </w:p>
        </w:tc>
        <w:tc>
          <w:tcPr>
            <w:tcW w:w="0" w:type="auto"/>
            <w:tcBorders>
              <w:tl2br w:val="nil"/>
              <w:tr2bl w:val="nil"/>
            </w:tcBorders>
            <w:tcMar>
              <w:left w:w="108" w:type="dxa"/>
              <w:right w:w="108" w:type="dxa"/>
            </w:tcMar>
            <w:vAlign w:val="center"/>
          </w:tcPr>
          <w:p w14:paraId="05D855A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9FAC06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52</w:t>
            </w:r>
          </w:p>
        </w:tc>
        <w:tc>
          <w:tcPr>
            <w:tcW w:w="0" w:type="auto"/>
            <w:tcBorders>
              <w:tl2br w:val="nil"/>
              <w:tr2bl w:val="nil"/>
            </w:tcBorders>
            <w:tcMar>
              <w:left w:w="108" w:type="dxa"/>
              <w:right w:w="108" w:type="dxa"/>
            </w:tcMar>
            <w:vAlign w:val="center"/>
          </w:tcPr>
          <w:p w14:paraId="5F7996B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51EF47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32301DA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4D801A8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镁</w:t>
            </w:r>
          </w:p>
        </w:tc>
        <w:tc>
          <w:tcPr>
            <w:tcW w:w="0" w:type="auto"/>
            <w:tcBorders>
              <w:tl2br w:val="nil"/>
              <w:tr2bl w:val="nil"/>
            </w:tcBorders>
            <w:tcMar>
              <w:left w:w="108" w:type="dxa"/>
              <w:right w:w="108" w:type="dxa"/>
            </w:tcMar>
            <w:vAlign w:val="center"/>
          </w:tcPr>
          <w:p w14:paraId="208E0FA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759065A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3L</w:t>
            </w:r>
          </w:p>
        </w:tc>
        <w:tc>
          <w:tcPr>
            <w:tcW w:w="0" w:type="auto"/>
            <w:tcBorders>
              <w:tl2br w:val="nil"/>
              <w:tr2bl w:val="nil"/>
            </w:tcBorders>
            <w:tcMar>
              <w:left w:w="108" w:type="dxa"/>
              <w:right w:w="108" w:type="dxa"/>
            </w:tcMar>
            <w:vAlign w:val="center"/>
          </w:tcPr>
          <w:p w14:paraId="41083A8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≤200</w:t>
            </w:r>
          </w:p>
        </w:tc>
      </w:tr>
      <w:tr w14:paraId="37AFF9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71EF6BF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3FED87D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碳酸根</w:t>
            </w:r>
          </w:p>
        </w:tc>
        <w:tc>
          <w:tcPr>
            <w:tcW w:w="0" w:type="auto"/>
            <w:tcBorders>
              <w:tl2br w:val="nil"/>
              <w:tr2bl w:val="nil"/>
            </w:tcBorders>
            <w:tcMar>
              <w:left w:w="108" w:type="dxa"/>
              <w:right w:w="108" w:type="dxa"/>
            </w:tcMar>
            <w:vAlign w:val="center"/>
          </w:tcPr>
          <w:p w14:paraId="2341970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F84C13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5L</w:t>
            </w:r>
          </w:p>
        </w:tc>
        <w:tc>
          <w:tcPr>
            <w:tcW w:w="0" w:type="auto"/>
            <w:tcBorders>
              <w:tl2br w:val="nil"/>
              <w:tr2bl w:val="nil"/>
            </w:tcBorders>
            <w:tcMar>
              <w:left w:w="108" w:type="dxa"/>
              <w:right w:w="108" w:type="dxa"/>
            </w:tcMar>
            <w:vAlign w:val="center"/>
          </w:tcPr>
          <w:p w14:paraId="7F205B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1ED705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03869F4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31549BE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碳酸氢根</w:t>
            </w:r>
          </w:p>
        </w:tc>
        <w:tc>
          <w:tcPr>
            <w:tcW w:w="0" w:type="auto"/>
            <w:tcBorders>
              <w:tl2br w:val="nil"/>
              <w:tr2bl w:val="nil"/>
            </w:tcBorders>
            <w:tcMar>
              <w:left w:w="108" w:type="dxa"/>
              <w:right w:w="108" w:type="dxa"/>
            </w:tcMar>
            <w:vAlign w:val="center"/>
          </w:tcPr>
          <w:p w14:paraId="49A0E44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52D112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160</w:t>
            </w:r>
          </w:p>
        </w:tc>
        <w:tc>
          <w:tcPr>
            <w:tcW w:w="0" w:type="auto"/>
            <w:tcBorders>
              <w:tl2br w:val="nil"/>
              <w:tr2bl w:val="nil"/>
            </w:tcBorders>
            <w:tcMar>
              <w:left w:w="108" w:type="dxa"/>
              <w:right w:w="108" w:type="dxa"/>
            </w:tcMar>
            <w:vAlign w:val="center"/>
          </w:tcPr>
          <w:p w14:paraId="62739DB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07CE3F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258BBA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4629F45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氨氮</w:t>
            </w:r>
          </w:p>
        </w:tc>
        <w:tc>
          <w:tcPr>
            <w:tcW w:w="0" w:type="auto"/>
            <w:tcBorders>
              <w:tl2br w:val="nil"/>
              <w:tr2bl w:val="nil"/>
            </w:tcBorders>
            <w:tcMar>
              <w:left w:w="108" w:type="dxa"/>
              <w:right w:w="108" w:type="dxa"/>
            </w:tcMar>
            <w:vAlign w:val="center"/>
          </w:tcPr>
          <w:p w14:paraId="14CD9EF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688731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0.10</w:t>
            </w:r>
          </w:p>
        </w:tc>
        <w:tc>
          <w:tcPr>
            <w:tcW w:w="0" w:type="auto"/>
            <w:tcBorders>
              <w:tl2br w:val="nil"/>
              <w:tr2bl w:val="nil"/>
            </w:tcBorders>
            <w:tcMar>
              <w:left w:w="108" w:type="dxa"/>
              <w:right w:w="108" w:type="dxa"/>
            </w:tcMar>
            <w:vAlign w:val="center"/>
          </w:tcPr>
          <w:p w14:paraId="755E35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≤0.50</w:t>
            </w:r>
          </w:p>
        </w:tc>
      </w:tr>
      <w:tr w14:paraId="4ED287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5871BB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5D293F0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硝酸盐（以N计）</w:t>
            </w:r>
          </w:p>
        </w:tc>
        <w:tc>
          <w:tcPr>
            <w:tcW w:w="0" w:type="auto"/>
            <w:tcBorders>
              <w:tl2br w:val="nil"/>
              <w:tr2bl w:val="nil"/>
            </w:tcBorders>
            <w:tcMar>
              <w:left w:w="108" w:type="dxa"/>
              <w:right w:w="108" w:type="dxa"/>
            </w:tcMar>
            <w:vAlign w:val="center"/>
          </w:tcPr>
          <w:p w14:paraId="27C890A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05E3E40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0.52</w:t>
            </w:r>
          </w:p>
        </w:tc>
        <w:tc>
          <w:tcPr>
            <w:tcW w:w="0" w:type="auto"/>
            <w:tcBorders>
              <w:tl2br w:val="nil"/>
              <w:tr2bl w:val="nil"/>
            </w:tcBorders>
            <w:tcMar>
              <w:left w:w="108" w:type="dxa"/>
              <w:right w:w="108" w:type="dxa"/>
            </w:tcMar>
            <w:vAlign w:val="center"/>
          </w:tcPr>
          <w:p w14:paraId="4459700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≤20.0</w:t>
            </w:r>
          </w:p>
        </w:tc>
      </w:tr>
      <w:tr w14:paraId="25002C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0FABA73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4206E1D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亚硝酸盐（以N计）</w:t>
            </w:r>
          </w:p>
        </w:tc>
        <w:tc>
          <w:tcPr>
            <w:tcW w:w="0" w:type="auto"/>
            <w:tcBorders>
              <w:tl2br w:val="nil"/>
              <w:tr2bl w:val="nil"/>
            </w:tcBorders>
            <w:tcMar>
              <w:left w:w="108" w:type="dxa"/>
              <w:right w:w="108" w:type="dxa"/>
            </w:tcMar>
            <w:vAlign w:val="center"/>
          </w:tcPr>
          <w:p w14:paraId="23BE7E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5F37A8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0.006</w:t>
            </w:r>
          </w:p>
        </w:tc>
        <w:tc>
          <w:tcPr>
            <w:tcW w:w="0" w:type="auto"/>
            <w:tcBorders>
              <w:tl2br w:val="nil"/>
              <w:tr2bl w:val="nil"/>
            </w:tcBorders>
            <w:tcMar>
              <w:left w:w="108" w:type="dxa"/>
              <w:right w:w="108" w:type="dxa"/>
            </w:tcMar>
            <w:vAlign w:val="center"/>
          </w:tcPr>
          <w:p w14:paraId="6D7FC6F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47FAB4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332A6A3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622E368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挥发酚</w:t>
            </w:r>
          </w:p>
        </w:tc>
        <w:tc>
          <w:tcPr>
            <w:tcW w:w="0" w:type="auto"/>
            <w:tcBorders>
              <w:tl2br w:val="nil"/>
              <w:tr2bl w:val="nil"/>
            </w:tcBorders>
            <w:tcMar>
              <w:left w:w="108" w:type="dxa"/>
              <w:right w:w="108" w:type="dxa"/>
            </w:tcMar>
            <w:vAlign w:val="center"/>
          </w:tcPr>
          <w:p w14:paraId="501A16E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4664AB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0.0003L</w:t>
            </w:r>
          </w:p>
        </w:tc>
        <w:tc>
          <w:tcPr>
            <w:tcW w:w="0" w:type="auto"/>
            <w:tcBorders>
              <w:tl2br w:val="nil"/>
              <w:tr2bl w:val="nil"/>
            </w:tcBorders>
            <w:tcMar>
              <w:left w:w="108" w:type="dxa"/>
              <w:right w:w="108" w:type="dxa"/>
            </w:tcMar>
            <w:vAlign w:val="center"/>
          </w:tcPr>
          <w:p w14:paraId="4DB279A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≤0.002</w:t>
            </w:r>
          </w:p>
        </w:tc>
      </w:tr>
      <w:tr w14:paraId="2C11B7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B47301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7F8152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氰化物</w:t>
            </w:r>
          </w:p>
        </w:tc>
        <w:tc>
          <w:tcPr>
            <w:tcW w:w="0" w:type="auto"/>
            <w:tcBorders>
              <w:tl2br w:val="nil"/>
              <w:tr2bl w:val="nil"/>
            </w:tcBorders>
            <w:tcMar>
              <w:left w:w="108" w:type="dxa"/>
              <w:right w:w="108" w:type="dxa"/>
            </w:tcMar>
            <w:vAlign w:val="center"/>
          </w:tcPr>
          <w:p w14:paraId="7ECD6E1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04C94EA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0.004L</w:t>
            </w:r>
          </w:p>
        </w:tc>
        <w:tc>
          <w:tcPr>
            <w:tcW w:w="0" w:type="auto"/>
            <w:tcBorders>
              <w:tl2br w:val="nil"/>
              <w:tr2bl w:val="nil"/>
            </w:tcBorders>
            <w:tcMar>
              <w:left w:w="108" w:type="dxa"/>
              <w:right w:w="108" w:type="dxa"/>
            </w:tcMar>
            <w:vAlign w:val="center"/>
          </w:tcPr>
          <w:p w14:paraId="17E73DE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≤0.05</w:t>
            </w:r>
          </w:p>
        </w:tc>
      </w:tr>
      <w:tr w14:paraId="465F99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4ACC56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0519364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砷</w:t>
            </w:r>
          </w:p>
        </w:tc>
        <w:tc>
          <w:tcPr>
            <w:tcW w:w="0" w:type="auto"/>
            <w:tcBorders>
              <w:tl2br w:val="nil"/>
              <w:tr2bl w:val="nil"/>
            </w:tcBorders>
            <w:tcMar>
              <w:left w:w="108" w:type="dxa"/>
              <w:right w:w="108" w:type="dxa"/>
            </w:tcMar>
            <w:vAlign w:val="center"/>
          </w:tcPr>
          <w:p w14:paraId="39826CC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2D5DB88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0.00012L</w:t>
            </w:r>
          </w:p>
        </w:tc>
        <w:tc>
          <w:tcPr>
            <w:tcW w:w="0" w:type="auto"/>
            <w:tcBorders>
              <w:tl2br w:val="nil"/>
              <w:tr2bl w:val="nil"/>
            </w:tcBorders>
            <w:tcMar>
              <w:left w:w="108" w:type="dxa"/>
              <w:right w:w="108" w:type="dxa"/>
            </w:tcMar>
            <w:vAlign w:val="center"/>
          </w:tcPr>
          <w:p w14:paraId="61A3AA8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≤0.01</w:t>
            </w:r>
          </w:p>
        </w:tc>
      </w:tr>
      <w:tr w14:paraId="5C211B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2DC2BB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4F2F75E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汞</w:t>
            </w:r>
          </w:p>
        </w:tc>
        <w:tc>
          <w:tcPr>
            <w:tcW w:w="0" w:type="auto"/>
            <w:tcBorders>
              <w:tl2br w:val="nil"/>
              <w:tr2bl w:val="nil"/>
            </w:tcBorders>
            <w:tcMar>
              <w:left w:w="108" w:type="dxa"/>
              <w:right w:w="108" w:type="dxa"/>
            </w:tcMar>
            <w:vAlign w:val="center"/>
          </w:tcPr>
          <w:p w14:paraId="3E41DCE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30D5461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0.00004L</w:t>
            </w:r>
          </w:p>
        </w:tc>
        <w:tc>
          <w:tcPr>
            <w:tcW w:w="0" w:type="auto"/>
            <w:tcBorders>
              <w:tl2br w:val="nil"/>
              <w:tr2bl w:val="nil"/>
            </w:tcBorders>
            <w:tcMar>
              <w:left w:w="108" w:type="dxa"/>
              <w:right w:w="108" w:type="dxa"/>
            </w:tcMar>
            <w:vAlign w:val="center"/>
          </w:tcPr>
          <w:p w14:paraId="7FE18BA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≤0.001</w:t>
            </w:r>
          </w:p>
        </w:tc>
      </w:tr>
      <w:tr w14:paraId="598AD0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17BE528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2958FBC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六价铬</w:t>
            </w:r>
          </w:p>
        </w:tc>
        <w:tc>
          <w:tcPr>
            <w:tcW w:w="0" w:type="auto"/>
            <w:tcBorders>
              <w:tl2br w:val="nil"/>
              <w:tr2bl w:val="nil"/>
            </w:tcBorders>
            <w:tcMar>
              <w:left w:w="108" w:type="dxa"/>
              <w:right w:w="108" w:type="dxa"/>
            </w:tcMar>
            <w:vAlign w:val="center"/>
          </w:tcPr>
          <w:p w14:paraId="6A9597F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5F02350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0.004L</w:t>
            </w:r>
          </w:p>
        </w:tc>
        <w:tc>
          <w:tcPr>
            <w:tcW w:w="0" w:type="auto"/>
            <w:tcBorders>
              <w:tl2br w:val="nil"/>
              <w:tr2bl w:val="nil"/>
            </w:tcBorders>
            <w:tcMar>
              <w:left w:w="108" w:type="dxa"/>
              <w:right w:w="108" w:type="dxa"/>
            </w:tcMar>
            <w:vAlign w:val="center"/>
          </w:tcPr>
          <w:p w14:paraId="1539BC6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≤0.05</w:t>
            </w:r>
          </w:p>
        </w:tc>
      </w:tr>
      <w:tr w14:paraId="479401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30863B0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5563028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总硬度</w:t>
            </w:r>
          </w:p>
        </w:tc>
        <w:tc>
          <w:tcPr>
            <w:tcW w:w="0" w:type="auto"/>
            <w:tcBorders>
              <w:tl2br w:val="nil"/>
              <w:tr2bl w:val="nil"/>
            </w:tcBorders>
            <w:tcMar>
              <w:left w:w="108" w:type="dxa"/>
              <w:right w:w="108" w:type="dxa"/>
            </w:tcMar>
            <w:vAlign w:val="center"/>
          </w:tcPr>
          <w:p w14:paraId="235A4B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25B5BEE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159</w:t>
            </w:r>
          </w:p>
        </w:tc>
        <w:tc>
          <w:tcPr>
            <w:tcW w:w="0" w:type="auto"/>
            <w:tcBorders>
              <w:tl2br w:val="nil"/>
              <w:tr2bl w:val="nil"/>
            </w:tcBorders>
            <w:tcMar>
              <w:left w:w="108" w:type="dxa"/>
              <w:right w:w="108" w:type="dxa"/>
            </w:tcMar>
            <w:vAlign w:val="center"/>
          </w:tcPr>
          <w:p w14:paraId="6E9EB42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≤450</w:t>
            </w:r>
          </w:p>
        </w:tc>
      </w:tr>
      <w:tr w14:paraId="0149E7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EEF96C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3CB9341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铅</w:t>
            </w:r>
          </w:p>
        </w:tc>
        <w:tc>
          <w:tcPr>
            <w:tcW w:w="0" w:type="auto"/>
            <w:tcBorders>
              <w:tl2br w:val="nil"/>
              <w:tr2bl w:val="nil"/>
            </w:tcBorders>
            <w:tcMar>
              <w:left w:w="108" w:type="dxa"/>
              <w:right w:w="108" w:type="dxa"/>
            </w:tcMar>
            <w:vAlign w:val="center"/>
          </w:tcPr>
          <w:p w14:paraId="03F243F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5F4B0B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0.00009L</w:t>
            </w:r>
          </w:p>
        </w:tc>
        <w:tc>
          <w:tcPr>
            <w:tcW w:w="0" w:type="auto"/>
            <w:tcBorders>
              <w:tl2br w:val="nil"/>
              <w:tr2bl w:val="nil"/>
            </w:tcBorders>
            <w:tcMar>
              <w:left w:w="108" w:type="dxa"/>
              <w:right w:w="108" w:type="dxa"/>
            </w:tcMar>
            <w:vAlign w:val="center"/>
          </w:tcPr>
          <w:p w14:paraId="5AE6451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≤0.01</w:t>
            </w:r>
          </w:p>
        </w:tc>
      </w:tr>
      <w:tr w14:paraId="1B03A8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7D5AE82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6426885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氟化物</w:t>
            </w:r>
          </w:p>
        </w:tc>
        <w:tc>
          <w:tcPr>
            <w:tcW w:w="0" w:type="auto"/>
            <w:tcBorders>
              <w:tl2br w:val="nil"/>
              <w:tr2bl w:val="nil"/>
            </w:tcBorders>
            <w:tcMar>
              <w:left w:w="108" w:type="dxa"/>
              <w:right w:w="108" w:type="dxa"/>
            </w:tcMar>
            <w:vAlign w:val="center"/>
          </w:tcPr>
          <w:p w14:paraId="3A29FF6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7E265B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0.08</w:t>
            </w:r>
          </w:p>
        </w:tc>
        <w:tc>
          <w:tcPr>
            <w:tcW w:w="0" w:type="auto"/>
            <w:tcBorders>
              <w:tl2br w:val="nil"/>
              <w:tr2bl w:val="nil"/>
            </w:tcBorders>
            <w:tcMar>
              <w:left w:w="108" w:type="dxa"/>
              <w:right w:w="108" w:type="dxa"/>
            </w:tcMar>
            <w:vAlign w:val="center"/>
          </w:tcPr>
          <w:p w14:paraId="318A825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18F9F6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33AB680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4C616A6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镉</w:t>
            </w:r>
          </w:p>
        </w:tc>
        <w:tc>
          <w:tcPr>
            <w:tcW w:w="0" w:type="auto"/>
            <w:tcBorders>
              <w:tl2br w:val="nil"/>
              <w:tr2bl w:val="nil"/>
            </w:tcBorders>
            <w:tcMar>
              <w:left w:w="108" w:type="dxa"/>
              <w:right w:w="108" w:type="dxa"/>
            </w:tcMar>
            <w:vAlign w:val="center"/>
          </w:tcPr>
          <w:p w14:paraId="3810250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2F47DD2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0.00005L</w:t>
            </w:r>
          </w:p>
        </w:tc>
        <w:tc>
          <w:tcPr>
            <w:tcW w:w="0" w:type="auto"/>
            <w:tcBorders>
              <w:tl2br w:val="nil"/>
              <w:tr2bl w:val="nil"/>
            </w:tcBorders>
            <w:tcMar>
              <w:left w:w="108" w:type="dxa"/>
              <w:right w:w="108" w:type="dxa"/>
            </w:tcMar>
            <w:vAlign w:val="center"/>
          </w:tcPr>
          <w:p w14:paraId="27731B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≤0.005</w:t>
            </w:r>
          </w:p>
        </w:tc>
      </w:tr>
      <w:tr w14:paraId="2CA127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1979513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71C39F4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铁</w:t>
            </w:r>
          </w:p>
        </w:tc>
        <w:tc>
          <w:tcPr>
            <w:tcW w:w="0" w:type="auto"/>
            <w:tcBorders>
              <w:tl2br w:val="nil"/>
              <w:tr2bl w:val="nil"/>
            </w:tcBorders>
            <w:tcMar>
              <w:left w:w="108" w:type="dxa"/>
              <w:right w:w="108" w:type="dxa"/>
            </w:tcMar>
            <w:vAlign w:val="center"/>
          </w:tcPr>
          <w:p w14:paraId="5F779A4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70A3DFA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0.934</w:t>
            </w:r>
          </w:p>
        </w:tc>
        <w:tc>
          <w:tcPr>
            <w:tcW w:w="0" w:type="auto"/>
            <w:tcBorders>
              <w:tl2br w:val="nil"/>
              <w:tr2bl w:val="nil"/>
            </w:tcBorders>
            <w:tcMar>
              <w:left w:w="108" w:type="dxa"/>
              <w:right w:w="108" w:type="dxa"/>
            </w:tcMar>
            <w:vAlign w:val="center"/>
          </w:tcPr>
          <w:p w14:paraId="63A95A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≤0.3</w:t>
            </w:r>
          </w:p>
        </w:tc>
      </w:tr>
      <w:tr w14:paraId="08EDDF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0CA6CB0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125F13D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锰</w:t>
            </w:r>
          </w:p>
        </w:tc>
        <w:tc>
          <w:tcPr>
            <w:tcW w:w="0" w:type="auto"/>
            <w:tcBorders>
              <w:tl2br w:val="nil"/>
              <w:tr2bl w:val="nil"/>
            </w:tcBorders>
            <w:tcMar>
              <w:left w:w="108" w:type="dxa"/>
              <w:right w:w="108" w:type="dxa"/>
            </w:tcMar>
            <w:vAlign w:val="center"/>
          </w:tcPr>
          <w:p w14:paraId="39E4A8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0CF91A0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0.0832</w:t>
            </w:r>
          </w:p>
        </w:tc>
        <w:tc>
          <w:tcPr>
            <w:tcW w:w="0" w:type="auto"/>
            <w:tcBorders>
              <w:tl2br w:val="nil"/>
              <w:tr2bl w:val="nil"/>
            </w:tcBorders>
            <w:tcMar>
              <w:left w:w="108" w:type="dxa"/>
              <w:right w:w="108" w:type="dxa"/>
            </w:tcMar>
            <w:vAlign w:val="center"/>
          </w:tcPr>
          <w:p w14:paraId="0D66DFB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≤0.10</w:t>
            </w:r>
          </w:p>
        </w:tc>
      </w:tr>
      <w:tr w14:paraId="3DFF3C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37FA169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175570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溶解性总固体</w:t>
            </w:r>
          </w:p>
        </w:tc>
        <w:tc>
          <w:tcPr>
            <w:tcW w:w="0" w:type="auto"/>
            <w:tcBorders>
              <w:tl2br w:val="nil"/>
              <w:tr2bl w:val="nil"/>
            </w:tcBorders>
            <w:tcMar>
              <w:left w:w="108" w:type="dxa"/>
              <w:right w:w="108" w:type="dxa"/>
            </w:tcMar>
            <w:vAlign w:val="center"/>
          </w:tcPr>
          <w:p w14:paraId="21CA0C2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0686098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228</w:t>
            </w:r>
          </w:p>
        </w:tc>
        <w:tc>
          <w:tcPr>
            <w:tcW w:w="0" w:type="auto"/>
            <w:tcBorders>
              <w:tl2br w:val="nil"/>
              <w:tr2bl w:val="nil"/>
            </w:tcBorders>
            <w:tcMar>
              <w:left w:w="108" w:type="dxa"/>
              <w:right w:w="108" w:type="dxa"/>
            </w:tcMar>
            <w:vAlign w:val="center"/>
          </w:tcPr>
          <w:p w14:paraId="223AA5F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≤1000</w:t>
            </w:r>
          </w:p>
        </w:tc>
      </w:tr>
      <w:tr w14:paraId="687D55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358C9B8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1F0671B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耗氧量</w:t>
            </w:r>
          </w:p>
        </w:tc>
        <w:tc>
          <w:tcPr>
            <w:tcW w:w="0" w:type="auto"/>
            <w:tcBorders>
              <w:tl2br w:val="nil"/>
              <w:tr2bl w:val="nil"/>
            </w:tcBorders>
            <w:tcMar>
              <w:left w:w="108" w:type="dxa"/>
              <w:right w:w="108" w:type="dxa"/>
            </w:tcMar>
            <w:vAlign w:val="center"/>
          </w:tcPr>
          <w:p w14:paraId="276A79F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45C7542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1.1</w:t>
            </w:r>
          </w:p>
        </w:tc>
        <w:tc>
          <w:tcPr>
            <w:tcW w:w="0" w:type="auto"/>
            <w:tcBorders>
              <w:tl2br w:val="nil"/>
              <w:tr2bl w:val="nil"/>
            </w:tcBorders>
            <w:tcMar>
              <w:left w:w="108" w:type="dxa"/>
              <w:right w:w="108" w:type="dxa"/>
            </w:tcMar>
            <w:vAlign w:val="center"/>
          </w:tcPr>
          <w:p w14:paraId="4693CB9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≤3.0</w:t>
            </w:r>
          </w:p>
        </w:tc>
      </w:tr>
      <w:tr w14:paraId="4060E7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146D39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3EF13DC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硫酸盐</w:t>
            </w:r>
          </w:p>
        </w:tc>
        <w:tc>
          <w:tcPr>
            <w:tcW w:w="0" w:type="auto"/>
            <w:tcBorders>
              <w:tl2br w:val="nil"/>
              <w:tr2bl w:val="nil"/>
            </w:tcBorders>
            <w:tcMar>
              <w:left w:w="108" w:type="dxa"/>
              <w:right w:w="108" w:type="dxa"/>
            </w:tcMar>
            <w:vAlign w:val="center"/>
          </w:tcPr>
          <w:p w14:paraId="5993DD9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08FB2FB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8L</w:t>
            </w:r>
          </w:p>
        </w:tc>
        <w:tc>
          <w:tcPr>
            <w:tcW w:w="0" w:type="auto"/>
            <w:tcBorders>
              <w:tl2br w:val="nil"/>
              <w:tr2bl w:val="nil"/>
            </w:tcBorders>
            <w:tcMar>
              <w:left w:w="108" w:type="dxa"/>
              <w:right w:w="108" w:type="dxa"/>
            </w:tcMar>
            <w:vAlign w:val="center"/>
          </w:tcPr>
          <w:p w14:paraId="1132945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≤250</w:t>
            </w:r>
          </w:p>
        </w:tc>
      </w:tr>
      <w:tr w14:paraId="349C6D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1BAA33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22BF46A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氯化物</w:t>
            </w:r>
          </w:p>
        </w:tc>
        <w:tc>
          <w:tcPr>
            <w:tcW w:w="0" w:type="auto"/>
            <w:tcBorders>
              <w:tl2br w:val="nil"/>
              <w:tr2bl w:val="nil"/>
            </w:tcBorders>
            <w:tcMar>
              <w:left w:w="108" w:type="dxa"/>
              <w:right w:w="108" w:type="dxa"/>
            </w:tcMar>
            <w:vAlign w:val="center"/>
          </w:tcPr>
          <w:p w14:paraId="121F6F7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6DE6532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10L</w:t>
            </w:r>
          </w:p>
        </w:tc>
        <w:tc>
          <w:tcPr>
            <w:tcW w:w="0" w:type="auto"/>
            <w:tcBorders>
              <w:tl2br w:val="nil"/>
              <w:tr2bl w:val="nil"/>
            </w:tcBorders>
            <w:tcMar>
              <w:left w:w="108" w:type="dxa"/>
              <w:right w:w="108" w:type="dxa"/>
            </w:tcMar>
            <w:vAlign w:val="center"/>
          </w:tcPr>
          <w:p w14:paraId="0720035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≤250</w:t>
            </w:r>
          </w:p>
        </w:tc>
      </w:tr>
      <w:tr w14:paraId="41E112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491DD79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15D98FE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总大肠菌群</w:t>
            </w:r>
          </w:p>
        </w:tc>
        <w:tc>
          <w:tcPr>
            <w:tcW w:w="0" w:type="auto"/>
            <w:tcBorders>
              <w:tl2br w:val="nil"/>
              <w:tr2bl w:val="nil"/>
            </w:tcBorders>
            <w:tcMar>
              <w:left w:w="108" w:type="dxa"/>
              <w:right w:w="108" w:type="dxa"/>
            </w:tcMar>
            <w:vAlign w:val="center"/>
          </w:tcPr>
          <w:p w14:paraId="45E6EB8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MPN100mL</w:t>
            </w:r>
          </w:p>
        </w:tc>
        <w:tc>
          <w:tcPr>
            <w:tcW w:w="0" w:type="auto"/>
            <w:tcBorders>
              <w:tl2br w:val="nil"/>
              <w:tr2bl w:val="nil"/>
            </w:tcBorders>
            <w:tcMar>
              <w:left w:w="108" w:type="dxa"/>
              <w:right w:w="108" w:type="dxa"/>
            </w:tcMar>
            <w:vAlign w:val="center"/>
          </w:tcPr>
          <w:p w14:paraId="2F75D87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未检出</w:t>
            </w:r>
          </w:p>
        </w:tc>
        <w:tc>
          <w:tcPr>
            <w:tcW w:w="0" w:type="auto"/>
            <w:tcBorders>
              <w:tl2br w:val="nil"/>
              <w:tr2bl w:val="nil"/>
            </w:tcBorders>
            <w:tcMar>
              <w:left w:w="108" w:type="dxa"/>
              <w:right w:w="108" w:type="dxa"/>
            </w:tcMar>
            <w:vAlign w:val="center"/>
          </w:tcPr>
          <w:p w14:paraId="278E7D1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≤3.0</w:t>
            </w:r>
          </w:p>
        </w:tc>
      </w:tr>
      <w:tr w14:paraId="3B92CA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0CA4F50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6E69AB6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菌落总数</w:t>
            </w:r>
          </w:p>
        </w:tc>
        <w:tc>
          <w:tcPr>
            <w:tcW w:w="0" w:type="auto"/>
            <w:tcBorders>
              <w:tl2br w:val="nil"/>
              <w:tr2bl w:val="nil"/>
            </w:tcBorders>
            <w:tcMar>
              <w:left w:w="108" w:type="dxa"/>
              <w:right w:w="108" w:type="dxa"/>
            </w:tcMar>
            <w:vAlign w:val="center"/>
          </w:tcPr>
          <w:p w14:paraId="00ACE60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CFU/mL</w:t>
            </w:r>
          </w:p>
        </w:tc>
        <w:tc>
          <w:tcPr>
            <w:tcW w:w="0" w:type="auto"/>
            <w:tcBorders>
              <w:tl2br w:val="nil"/>
              <w:tr2bl w:val="nil"/>
            </w:tcBorders>
            <w:tcMar>
              <w:left w:w="108" w:type="dxa"/>
              <w:right w:w="108" w:type="dxa"/>
            </w:tcMar>
            <w:vAlign w:val="center"/>
          </w:tcPr>
          <w:p w14:paraId="274B30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40</w:t>
            </w:r>
          </w:p>
        </w:tc>
        <w:tc>
          <w:tcPr>
            <w:tcW w:w="0" w:type="auto"/>
            <w:tcBorders>
              <w:tl2br w:val="nil"/>
              <w:tr2bl w:val="nil"/>
            </w:tcBorders>
            <w:tcMar>
              <w:left w:w="108" w:type="dxa"/>
              <w:right w:w="108" w:type="dxa"/>
            </w:tcMar>
            <w:vAlign w:val="center"/>
          </w:tcPr>
          <w:p w14:paraId="2E231E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68E17D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4011490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502FD60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铬</w:t>
            </w:r>
          </w:p>
        </w:tc>
        <w:tc>
          <w:tcPr>
            <w:tcW w:w="0" w:type="auto"/>
            <w:tcBorders>
              <w:tl2br w:val="nil"/>
              <w:tr2bl w:val="nil"/>
            </w:tcBorders>
            <w:tcMar>
              <w:left w:w="108" w:type="dxa"/>
              <w:right w:w="108" w:type="dxa"/>
            </w:tcMar>
            <w:vAlign w:val="center"/>
          </w:tcPr>
          <w:p w14:paraId="135D861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7084DB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0.00012L</w:t>
            </w:r>
          </w:p>
        </w:tc>
        <w:tc>
          <w:tcPr>
            <w:tcW w:w="0" w:type="auto"/>
            <w:tcBorders>
              <w:tl2br w:val="nil"/>
              <w:tr2bl w:val="nil"/>
            </w:tcBorders>
            <w:tcMar>
              <w:left w:w="108" w:type="dxa"/>
              <w:right w:w="108" w:type="dxa"/>
            </w:tcMar>
            <w:vAlign w:val="center"/>
          </w:tcPr>
          <w:p w14:paraId="5D4EB6F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711069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6B1095E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5188D84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镍</w:t>
            </w:r>
          </w:p>
        </w:tc>
        <w:tc>
          <w:tcPr>
            <w:tcW w:w="0" w:type="auto"/>
            <w:tcBorders>
              <w:tl2br w:val="nil"/>
              <w:tr2bl w:val="nil"/>
            </w:tcBorders>
            <w:tcMar>
              <w:left w:w="108" w:type="dxa"/>
              <w:right w:w="108" w:type="dxa"/>
            </w:tcMar>
            <w:vAlign w:val="center"/>
          </w:tcPr>
          <w:p w14:paraId="2712855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5B00CB0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0.00006L</w:t>
            </w:r>
          </w:p>
        </w:tc>
        <w:tc>
          <w:tcPr>
            <w:tcW w:w="0" w:type="auto"/>
            <w:tcBorders>
              <w:tl2br w:val="nil"/>
              <w:tr2bl w:val="nil"/>
            </w:tcBorders>
            <w:tcMar>
              <w:left w:w="108" w:type="dxa"/>
              <w:right w:w="108" w:type="dxa"/>
            </w:tcMar>
            <w:vAlign w:val="center"/>
          </w:tcPr>
          <w:p w14:paraId="4227D43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≤0.02</w:t>
            </w:r>
          </w:p>
        </w:tc>
      </w:tr>
      <w:tr w14:paraId="1A29D5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0DDEB4E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5BA7918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铜</w:t>
            </w:r>
          </w:p>
        </w:tc>
        <w:tc>
          <w:tcPr>
            <w:tcW w:w="0" w:type="auto"/>
            <w:tcBorders>
              <w:tl2br w:val="nil"/>
              <w:tr2bl w:val="nil"/>
            </w:tcBorders>
            <w:tcMar>
              <w:left w:w="108" w:type="dxa"/>
              <w:right w:w="108" w:type="dxa"/>
            </w:tcMar>
            <w:vAlign w:val="center"/>
          </w:tcPr>
          <w:p w14:paraId="6B0F30D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4CC9631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0.00016</w:t>
            </w:r>
          </w:p>
        </w:tc>
        <w:tc>
          <w:tcPr>
            <w:tcW w:w="0" w:type="auto"/>
            <w:tcBorders>
              <w:tl2br w:val="nil"/>
              <w:tr2bl w:val="nil"/>
            </w:tcBorders>
            <w:tcMar>
              <w:left w:w="108" w:type="dxa"/>
              <w:right w:w="108" w:type="dxa"/>
            </w:tcMar>
            <w:vAlign w:val="center"/>
          </w:tcPr>
          <w:p w14:paraId="1C18706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23F2E4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46FE9F1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0A3E75E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锌</w:t>
            </w:r>
          </w:p>
        </w:tc>
        <w:tc>
          <w:tcPr>
            <w:tcW w:w="0" w:type="auto"/>
            <w:tcBorders>
              <w:tl2br w:val="nil"/>
              <w:tr2bl w:val="nil"/>
            </w:tcBorders>
            <w:tcMar>
              <w:left w:w="108" w:type="dxa"/>
              <w:right w:w="108" w:type="dxa"/>
            </w:tcMar>
            <w:vAlign w:val="center"/>
          </w:tcPr>
          <w:p w14:paraId="72A2199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mg/L</w:t>
            </w:r>
          </w:p>
        </w:tc>
        <w:tc>
          <w:tcPr>
            <w:tcW w:w="0" w:type="auto"/>
            <w:tcBorders>
              <w:tl2br w:val="nil"/>
              <w:tr2bl w:val="nil"/>
            </w:tcBorders>
            <w:tcMar>
              <w:left w:w="108" w:type="dxa"/>
              <w:right w:w="108" w:type="dxa"/>
            </w:tcMar>
            <w:vAlign w:val="center"/>
          </w:tcPr>
          <w:p w14:paraId="44D67E8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0.00136</w:t>
            </w:r>
          </w:p>
        </w:tc>
        <w:tc>
          <w:tcPr>
            <w:tcW w:w="0" w:type="auto"/>
            <w:tcBorders>
              <w:tl2br w:val="nil"/>
              <w:tr2bl w:val="nil"/>
            </w:tcBorders>
            <w:tcMar>
              <w:left w:w="108" w:type="dxa"/>
              <w:right w:w="108" w:type="dxa"/>
            </w:tcMar>
            <w:vAlign w:val="center"/>
          </w:tcPr>
          <w:p w14:paraId="49C9D05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4AEA3E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tcMar>
              <w:left w:w="108" w:type="dxa"/>
              <w:right w:w="108" w:type="dxa"/>
            </w:tcMar>
            <w:vAlign w:val="center"/>
          </w:tcPr>
          <w:p w14:paraId="7707F06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tcMar>
              <w:left w:w="108" w:type="dxa"/>
              <w:right w:w="108" w:type="dxa"/>
            </w:tcMar>
            <w:vAlign w:val="center"/>
          </w:tcPr>
          <w:p w14:paraId="4EE47C5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钾</w:t>
            </w:r>
          </w:p>
        </w:tc>
        <w:tc>
          <w:tcPr>
            <w:tcW w:w="0" w:type="auto"/>
            <w:tcBorders>
              <w:tl2br w:val="nil"/>
              <w:tr2bl w:val="nil"/>
            </w:tcBorders>
            <w:shd w:val="clear" w:color="auto" w:fill="auto"/>
            <w:tcMar>
              <w:left w:w="108" w:type="dxa"/>
              <w:right w:w="108" w:type="dxa"/>
            </w:tcMar>
            <w:vAlign w:val="center"/>
          </w:tcPr>
          <w:p w14:paraId="2392E4B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tcMar>
              <w:left w:w="108" w:type="dxa"/>
              <w:right w:w="108" w:type="dxa"/>
            </w:tcMar>
            <w:vAlign w:val="center"/>
          </w:tcPr>
          <w:p w14:paraId="2F90C4C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7.44</w:t>
            </w:r>
          </w:p>
        </w:tc>
        <w:tc>
          <w:tcPr>
            <w:tcW w:w="0" w:type="auto"/>
            <w:tcBorders>
              <w:tl2br w:val="nil"/>
              <w:tr2bl w:val="nil"/>
            </w:tcBorders>
            <w:shd w:val="clear" w:color="auto" w:fill="auto"/>
            <w:tcMar>
              <w:left w:w="108" w:type="dxa"/>
              <w:right w:w="108" w:type="dxa"/>
            </w:tcMar>
            <w:vAlign w:val="center"/>
          </w:tcPr>
          <w:p w14:paraId="7F9CF25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1C3187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B5D07C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23E01E1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钠</w:t>
            </w:r>
          </w:p>
        </w:tc>
        <w:tc>
          <w:tcPr>
            <w:tcW w:w="0" w:type="auto"/>
            <w:tcBorders>
              <w:tl2br w:val="nil"/>
              <w:tr2bl w:val="nil"/>
            </w:tcBorders>
            <w:shd w:val="clear" w:color="auto" w:fill="auto"/>
            <w:vAlign w:val="center"/>
          </w:tcPr>
          <w:p w14:paraId="07CA45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DE4322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63.7</w:t>
            </w:r>
          </w:p>
        </w:tc>
        <w:tc>
          <w:tcPr>
            <w:tcW w:w="0" w:type="auto"/>
            <w:tcBorders>
              <w:tl2br w:val="nil"/>
              <w:tr2bl w:val="nil"/>
            </w:tcBorders>
            <w:shd w:val="clear" w:color="auto" w:fill="auto"/>
            <w:vAlign w:val="center"/>
          </w:tcPr>
          <w:p w14:paraId="6DDBEB9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5DDF30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A0FF07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09C9D6C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氯离子</w:t>
            </w:r>
          </w:p>
        </w:tc>
        <w:tc>
          <w:tcPr>
            <w:tcW w:w="0" w:type="auto"/>
            <w:tcBorders>
              <w:tl2br w:val="nil"/>
              <w:tr2bl w:val="nil"/>
            </w:tcBorders>
            <w:shd w:val="clear" w:color="auto" w:fill="auto"/>
            <w:vAlign w:val="center"/>
          </w:tcPr>
          <w:p w14:paraId="5DAFBDC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72CF2E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5.70</w:t>
            </w:r>
          </w:p>
        </w:tc>
        <w:tc>
          <w:tcPr>
            <w:tcW w:w="0" w:type="auto"/>
            <w:tcBorders>
              <w:tl2br w:val="nil"/>
              <w:tr2bl w:val="nil"/>
            </w:tcBorders>
            <w:shd w:val="clear" w:color="auto" w:fill="auto"/>
            <w:vAlign w:val="center"/>
          </w:tcPr>
          <w:p w14:paraId="2FB8889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0782E6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824E04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09A65B6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硫酸根离子</w:t>
            </w:r>
          </w:p>
        </w:tc>
        <w:tc>
          <w:tcPr>
            <w:tcW w:w="0" w:type="auto"/>
            <w:tcBorders>
              <w:tl2br w:val="nil"/>
              <w:tr2bl w:val="nil"/>
            </w:tcBorders>
            <w:shd w:val="clear" w:color="auto" w:fill="auto"/>
            <w:vAlign w:val="center"/>
          </w:tcPr>
          <w:p w14:paraId="6FE811A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FD6144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164</w:t>
            </w:r>
          </w:p>
        </w:tc>
        <w:tc>
          <w:tcPr>
            <w:tcW w:w="0" w:type="auto"/>
            <w:tcBorders>
              <w:tl2br w:val="nil"/>
              <w:tr2bl w:val="nil"/>
            </w:tcBorders>
            <w:shd w:val="clear" w:color="auto" w:fill="auto"/>
            <w:vAlign w:val="center"/>
          </w:tcPr>
          <w:p w14:paraId="6054798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2993FA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restart"/>
            <w:tcBorders>
              <w:tl2br w:val="nil"/>
              <w:tr2bl w:val="nil"/>
            </w:tcBorders>
            <w:shd w:val="clear" w:color="auto" w:fill="auto"/>
            <w:vAlign w:val="center"/>
          </w:tcPr>
          <w:p w14:paraId="4BE82D8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D2长子坡居民点</w:t>
            </w:r>
          </w:p>
        </w:tc>
        <w:tc>
          <w:tcPr>
            <w:tcW w:w="0" w:type="auto"/>
            <w:tcBorders>
              <w:tl2br w:val="nil"/>
              <w:tr2bl w:val="nil"/>
            </w:tcBorders>
            <w:shd w:val="clear" w:color="auto" w:fill="auto"/>
            <w:vAlign w:val="center"/>
          </w:tcPr>
          <w:p w14:paraId="6ED2AB0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pH值</w:t>
            </w:r>
          </w:p>
        </w:tc>
        <w:tc>
          <w:tcPr>
            <w:tcW w:w="0" w:type="auto"/>
            <w:tcBorders>
              <w:tl2br w:val="nil"/>
              <w:tr2bl w:val="nil"/>
            </w:tcBorders>
            <w:shd w:val="clear" w:color="auto" w:fill="auto"/>
            <w:vAlign w:val="center"/>
          </w:tcPr>
          <w:p w14:paraId="6740F2F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无量纲</w:t>
            </w:r>
          </w:p>
        </w:tc>
        <w:tc>
          <w:tcPr>
            <w:tcW w:w="0" w:type="auto"/>
            <w:tcBorders>
              <w:tl2br w:val="nil"/>
              <w:tr2bl w:val="nil"/>
            </w:tcBorders>
            <w:shd w:val="clear" w:color="auto" w:fill="auto"/>
            <w:vAlign w:val="center"/>
          </w:tcPr>
          <w:p w14:paraId="2D7D52D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7.4</w:t>
            </w:r>
          </w:p>
        </w:tc>
        <w:tc>
          <w:tcPr>
            <w:tcW w:w="0" w:type="auto"/>
            <w:tcBorders>
              <w:tl2br w:val="nil"/>
              <w:tr2bl w:val="nil"/>
            </w:tcBorders>
            <w:shd w:val="clear" w:color="auto" w:fill="auto"/>
            <w:vAlign w:val="center"/>
          </w:tcPr>
          <w:p w14:paraId="1BB535B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6.5-8.5</w:t>
            </w:r>
          </w:p>
        </w:tc>
      </w:tr>
      <w:tr w14:paraId="7D96A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F602C0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7270716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水位</w:t>
            </w:r>
          </w:p>
        </w:tc>
        <w:tc>
          <w:tcPr>
            <w:tcW w:w="0" w:type="auto"/>
            <w:tcBorders>
              <w:tl2br w:val="nil"/>
              <w:tr2bl w:val="nil"/>
            </w:tcBorders>
            <w:shd w:val="clear" w:color="auto" w:fill="auto"/>
            <w:vAlign w:val="center"/>
          </w:tcPr>
          <w:p w14:paraId="75D5253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w:t>
            </w:r>
          </w:p>
        </w:tc>
        <w:tc>
          <w:tcPr>
            <w:tcW w:w="0" w:type="auto"/>
            <w:tcBorders>
              <w:tl2br w:val="nil"/>
              <w:tr2bl w:val="nil"/>
            </w:tcBorders>
            <w:shd w:val="clear" w:color="auto" w:fill="auto"/>
            <w:vAlign w:val="center"/>
          </w:tcPr>
          <w:p w14:paraId="1C98AE1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114.00</w:t>
            </w:r>
          </w:p>
        </w:tc>
        <w:tc>
          <w:tcPr>
            <w:tcW w:w="0" w:type="auto"/>
            <w:tcBorders>
              <w:tl2br w:val="nil"/>
              <w:tr2bl w:val="nil"/>
            </w:tcBorders>
            <w:shd w:val="clear" w:color="auto" w:fill="auto"/>
            <w:vAlign w:val="center"/>
          </w:tcPr>
          <w:p w14:paraId="3A8EF70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25921A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891169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3A90ABA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井深</w:t>
            </w:r>
          </w:p>
        </w:tc>
        <w:tc>
          <w:tcPr>
            <w:tcW w:w="0" w:type="auto"/>
            <w:tcBorders>
              <w:tl2br w:val="nil"/>
              <w:tr2bl w:val="nil"/>
            </w:tcBorders>
            <w:shd w:val="clear" w:color="auto" w:fill="auto"/>
            <w:vAlign w:val="center"/>
          </w:tcPr>
          <w:p w14:paraId="3E18AB5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w:t>
            </w:r>
          </w:p>
        </w:tc>
        <w:tc>
          <w:tcPr>
            <w:tcW w:w="0" w:type="auto"/>
            <w:tcBorders>
              <w:tl2br w:val="nil"/>
              <w:tr2bl w:val="nil"/>
            </w:tcBorders>
            <w:shd w:val="clear" w:color="auto" w:fill="auto"/>
            <w:vAlign w:val="center"/>
          </w:tcPr>
          <w:p w14:paraId="007FD6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0.50</w:t>
            </w:r>
          </w:p>
        </w:tc>
        <w:tc>
          <w:tcPr>
            <w:tcW w:w="0" w:type="auto"/>
            <w:tcBorders>
              <w:tl2br w:val="nil"/>
              <w:tr2bl w:val="nil"/>
            </w:tcBorders>
            <w:shd w:val="clear" w:color="auto" w:fill="auto"/>
            <w:vAlign w:val="center"/>
          </w:tcPr>
          <w:p w14:paraId="5AD3233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01726D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9C2DC7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489518F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钙</w:t>
            </w:r>
          </w:p>
        </w:tc>
        <w:tc>
          <w:tcPr>
            <w:tcW w:w="0" w:type="auto"/>
            <w:tcBorders>
              <w:tl2br w:val="nil"/>
              <w:tr2bl w:val="nil"/>
            </w:tcBorders>
            <w:shd w:val="clear" w:color="auto" w:fill="auto"/>
            <w:vAlign w:val="center"/>
          </w:tcPr>
          <w:p w14:paraId="427F64C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69237D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56</w:t>
            </w:r>
          </w:p>
        </w:tc>
        <w:tc>
          <w:tcPr>
            <w:tcW w:w="0" w:type="auto"/>
            <w:tcBorders>
              <w:tl2br w:val="nil"/>
              <w:tr2bl w:val="nil"/>
            </w:tcBorders>
            <w:shd w:val="clear" w:color="auto" w:fill="auto"/>
            <w:vAlign w:val="center"/>
          </w:tcPr>
          <w:p w14:paraId="04AD991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14E20F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29BAF0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7AF3E29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镁</w:t>
            </w:r>
          </w:p>
        </w:tc>
        <w:tc>
          <w:tcPr>
            <w:tcW w:w="0" w:type="auto"/>
            <w:tcBorders>
              <w:tl2br w:val="nil"/>
              <w:tr2bl w:val="nil"/>
            </w:tcBorders>
            <w:shd w:val="clear" w:color="auto" w:fill="auto"/>
            <w:vAlign w:val="center"/>
          </w:tcPr>
          <w:p w14:paraId="0D2A06A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1B8C90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3L</w:t>
            </w:r>
          </w:p>
        </w:tc>
        <w:tc>
          <w:tcPr>
            <w:tcW w:w="0" w:type="auto"/>
            <w:tcBorders>
              <w:tl2br w:val="nil"/>
              <w:tr2bl w:val="nil"/>
            </w:tcBorders>
            <w:shd w:val="clear" w:color="auto" w:fill="auto"/>
            <w:vAlign w:val="center"/>
          </w:tcPr>
          <w:p w14:paraId="0C3A0C0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4E6D6BD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037813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5DA6DF1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碳酸根</w:t>
            </w:r>
          </w:p>
        </w:tc>
        <w:tc>
          <w:tcPr>
            <w:tcW w:w="0" w:type="auto"/>
            <w:tcBorders>
              <w:tl2br w:val="nil"/>
              <w:tr2bl w:val="nil"/>
            </w:tcBorders>
            <w:shd w:val="clear" w:color="auto" w:fill="auto"/>
            <w:vAlign w:val="center"/>
          </w:tcPr>
          <w:p w14:paraId="3B14D10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1C0E272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5L</w:t>
            </w:r>
          </w:p>
        </w:tc>
        <w:tc>
          <w:tcPr>
            <w:tcW w:w="0" w:type="auto"/>
            <w:tcBorders>
              <w:tl2br w:val="nil"/>
              <w:tr2bl w:val="nil"/>
            </w:tcBorders>
            <w:shd w:val="clear" w:color="auto" w:fill="auto"/>
            <w:vAlign w:val="center"/>
          </w:tcPr>
          <w:p w14:paraId="15E7CF8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754108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9E8D31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33673ED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碳酸氢根</w:t>
            </w:r>
          </w:p>
        </w:tc>
        <w:tc>
          <w:tcPr>
            <w:tcW w:w="0" w:type="auto"/>
            <w:tcBorders>
              <w:tl2br w:val="nil"/>
              <w:tr2bl w:val="nil"/>
            </w:tcBorders>
            <w:shd w:val="clear" w:color="auto" w:fill="auto"/>
            <w:vAlign w:val="center"/>
          </w:tcPr>
          <w:p w14:paraId="5A5F720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2FF441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166</w:t>
            </w:r>
          </w:p>
        </w:tc>
        <w:tc>
          <w:tcPr>
            <w:tcW w:w="0" w:type="auto"/>
            <w:tcBorders>
              <w:tl2br w:val="nil"/>
              <w:tr2bl w:val="nil"/>
            </w:tcBorders>
            <w:shd w:val="clear" w:color="auto" w:fill="auto"/>
            <w:vAlign w:val="center"/>
          </w:tcPr>
          <w:p w14:paraId="48F2D52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1BCCED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EE9A89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4340A77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氨氮</w:t>
            </w:r>
          </w:p>
        </w:tc>
        <w:tc>
          <w:tcPr>
            <w:tcW w:w="0" w:type="auto"/>
            <w:tcBorders>
              <w:tl2br w:val="nil"/>
              <w:tr2bl w:val="nil"/>
            </w:tcBorders>
            <w:shd w:val="clear" w:color="auto" w:fill="auto"/>
            <w:vAlign w:val="center"/>
          </w:tcPr>
          <w:p w14:paraId="6B97E0E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22AF395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0.21</w:t>
            </w:r>
          </w:p>
        </w:tc>
        <w:tc>
          <w:tcPr>
            <w:tcW w:w="0" w:type="auto"/>
            <w:tcBorders>
              <w:tl2br w:val="nil"/>
              <w:tr2bl w:val="nil"/>
            </w:tcBorders>
            <w:shd w:val="clear" w:color="auto" w:fill="auto"/>
            <w:vAlign w:val="center"/>
          </w:tcPr>
          <w:p w14:paraId="7DD08D5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≤0.50</w:t>
            </w:r>
          </w:p>
        </w:tc>
      </w:tr>
      <w:tr w14:paraId="174E4C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D67AA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263DB2F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硝酸盐（以N计）</w:t>
            </w:r>
          </w:p>
        </w:tc>
        <w:tc>
          <w:tcPr>
            <w:tcW w:w="0" w:type="auto"/>
            <w:tcBorders>
              <w:tl2br w:val="nil"/>
              <w:tr2bl w:val="nil"/>
            </w:tcBorders>
            <w:shd w:val="clear" w:color="auto" w:fill="auto"/>
            <w:vAlign w:val="center"/>
          </w:tcPr>
          <w:p w14:paraId="1567F90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09973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0.64</w:t>
            </w:r>
          </w:p>
        </w:tc>
        <w:tc>
          <w:tcPr>
            <w:tcW w:w="0" w:type="auto"/>
            <w:tcBorders>
              <w:tl2br w:val="nil"/>
              <w:tr2bl w:val="nil"/>
            </w:tcBorders>
            <w:shd w:val="clear" w:color="auto" w:fill="auto"/>
            <w:vAlign w:val="center"/>
          </w:tcPr>
          <w:p w14:paraId="0CD6928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49584D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49260C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29B7F55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亚硝酸盐（以N计）</w:t>
            </w:r>
          </w:p>
        </w:tc>
        <w:tc>
          <w:tcPr>
            <w:tcW w:w="0" w:type="auto"/>
            <w:tcBorders>
              <w:tl2br w:val="nil"/>
              <w:tr2bl w:val="nil"/>
            </w:tcBorders>
            <w:shd w:val="clear" w:color="auto" w:fill="auto"/>
            <w:vAlign w:val="center"/>
          </w:tcPr>
          <w:p w14:paraId="3E95A6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30D65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0.008</w:t>
            </w:r>
          </w:p>
        </w:tc>
        <w:tc>
          <w:tcPr>
            <w:tcW w:w="0" w:type="auto"/>
            <w:tcBorders>
              <w:tl2br w:val="nil"/>
              <w:tr2bl w:val="nil"/>
            </w:tcBorders>
            <w:shd w:val="clear" w:color="auto" w:fill="auto"/>
            <w:vAlign w:val="center"/>
          </w:tcPr>
          <w:p w14:paraId="41A7ECC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075D24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A6153A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3666CA1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挥发酚</w:t>
            </w:r>
          </w:p>
        </w:tc>
        <w:tc>
          <w:tcPr>
            <w:tcW w:w="0" w:type="auto"/>
            <w:tcBorders>
              <w:tl2br w:val="nil"/>
              <w:tr2bl w:val="nil"/>
            </w:tcBorders>
            <w:shd w:val="clear" w:color="auto" w:fill="auto"/>
            <w:vAlign w:val="center"/>
          </w:tcPr>
          <w:p w14:paraId="63C5776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610C94C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0" w:type="auto"/>
            <w:tcBorders>
              <w:tl2br w:val="nil"/>
              <w:tr2bl w:val="nil"/>
            </w:tcBorders>
            <w:shd w:val="clear" w:color="auto" w:fill="auto"/>
            <w:vAlign w:val="center"/>
          </w:tcPr>
          <w:p w14:paraId="7ABA4DF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w:t>
            </w:r>
          </w:p>
        </w:tc>
      </w:tr>
      <w:tr w14:paraId="3E18EE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A7F058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75EDA15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氰化物</w:t>
            </w:r>
          </w:p>
        </w:tc>
        <w:tc>
          <w:tcPr>
            <w:tcW w:w="0" w:type="auto"/>
            <w:tcBorders>
              <w:tl2br w:val="nil"/>
              <w:tr2bl w:val="nil"/>
            </w:tcBorders>
            <w:shd w:val="clear" w:color="auto" w:fill="auto"/>
            <w:vAlign w:val="center"/>
          </w:tcPr>
          <w:p w14:paraId="1659E55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2EA42BE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0" w:type="auto"/>
            <w:tcBorders>
              <w:tl2br w:val="nil"/>
              <w:tr2bl w:val="nil"/>
            </w:tcBorders>
            <w:shd w:val="clear" w:color="auto" w:fill="auto"/>
            <w:vAlign w:val="center"/>
          </w:tcPr>
          <w:p w14:paraId="12E4791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w:t>
            </w:r>
          </w:p>
        </w:tc>
      </w:tr>
      <w:tr w14:paraId="499516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2E75F5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184C55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砷</w:t>
            </w:r>
          </w:p>
        </w:tc>
        <w:tc>
          <w:tcPr>
            <w:tcW w:w="0" w:type="auto"/>
            <w:tcBorders>
              <w:tl2br w:val="nil"/>
              <w:tr2bl w:val="nil"/>
            </w:tcBorders>
            <w:shd w:val="clear" w:color="auto" w:fill="auto"/>
            <w:vAlign w:val="center"/>
          </w:tcPr>
          <w:p w14:paraId="6306C4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1AFB33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0.00053</w:t>
            </w:r>
          </w:p>
        </w:tc>
        <w:tc>
          <w:tcPr>
            <w:tcW w:w="0" w:type="auto"/>
            <w:tcBorders>
              <w:tl2br w:val="nil"/>
              <w:tr2bl w:val="nil"/>
            </w:tcBorders>
            <w:shd w:val="clear" w:color="auto" w:fill="auto"/>
            <w:vAlign w:val="center"/>
          </w:tcPr>
          <w:p w14:paraId="0584D02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w:t>
            </w:r>
          </w:p>
        </w:tc>
      </w:tr>
      <w:tr w14:paraId="09BF2C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E76E52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6295690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汞</w:t>
            </w:r>
          </w:p>
        </w:tc>
        <w:tc>
          <w:tcPr>
            <w:tcW w:w="0" w:type="auto"/>
            <w:tcBorders>
              <w:tl2br w:val="nil"/>
              <w:tr2bl w:val="nil"/>
            </w:tcBorders>
            <w:shd w:val="clear" w:color="auto" w:fill="auto"/>
            <w:vAlign w:val="center"/>
          </w:tcPr>
          <w:p w14:paraId="4622A45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6782CF6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0" w:type="auto"/>
            <w:tcBorders>
              <w:tl2br w:val="nil"/>
              <w:tr2bl w:val="nil"/>
            </w:tcBorders>
            <w:shd w:val="clear" w:color="auto" w:fill="auto"/>
            <w:vAlign w:val="center"/>
          </w:tcPr>
          <w:p w14:paraId="3858B3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w:t>
            </w:r>
          </w:p>
        </w:tc>
      </w:tr>
      <w:tr w14:paraId="770676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21C31D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63F22D0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六价铬</w:t>
            </w:r>
          </w:p>
        </w:tc>
        <w:tc>
          <w:tcPr>
            <w:tcW w:w="0" w:type="auto"/>
            <w:tcBorders>
              <w:tl2br w:val="nil"/>
              <w:tr2bl w:val="nil"/>
            </w:tcBorders>
            <w:shd w:val="clear" w:color="auto" w:fill="auto"/>
            <w:vAlign w:val="center"/>
          </w:tcPr>
          <w:p w14:paraId="5A4BA5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11893CD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0" w:type="auto"/>
            <w:tcBorders>
              <w:tl2br w:val="nil"/>
              <w:tr2bl w:val="nil"/>
            </w:tcBorders>
            <w:shd w:val="clear" w:color="auto" w:fill="auto"/>
            <w:vAlign w:val="center"/>
          </w:tcPr>
          <w:p w14:paraId="665BD22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w:t>
            </w:r>
          </w:p>
        </w:tc>
      </w:tr>
      <w:tr w14:paraId="59BE4F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6649DC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613DFB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总硬度</w:t>
            </w:r>
          </w:p>
        </w:tc>
        <w:tc>
          <w:tcPr>
            <w:tcW w:w="0" w:type="auto"/>
            <w:tcBorders>
              <w:tl2br w:val="nil"/>
              <w:tr2bl w:val="nil"/>
            </w:tcBorders>
            <w:shd w:val="clear" w:color="auto" w:fill="auto"/>
            <w:vAlign w:val="center"/>
          </w:tcPr>
          <w:p w14:paraId="4710731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859CB0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166</w:t>
            </w:r>
          </w:p>
        </w:tc>
        <w:tc>
          <w:tcPr>
            <w:tcW w:w="0" w:type="auto"/>
            <w:tcBorders>
              <w:tl2br w:val="nil"/>
              <w:tr2bl w:val="nil"/>
            </w:tcBorders>
            <w:shd w:val="clear" w:color="auto" w:fill="auto"/>
            <w:vAlign w:val="center"/>
          </w:tcPr>
          <w:p w14:paraId="2FBCADE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≤450</w:t>
            </w:r>
          </w:p>
        </w:tc>
      </w:tr>
      <w:tr w14:paraId="01FE58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02603C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2C8CA72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铅</w:t>
            </w:r>
          </w:p>
        </w:tc>
        <w:tc>
          <w:tcPr>
            <w:tcW w:w="0" w:type="auto"/>
            <w:tcBorders>
              <w:tl2br w:val="nil"/>
              <w:tr2bl w:val="nil"/>
            </w:tcBorders>
            <w:shd w:val="clear" w:color="auto" w:fill="auto"/>
            <w:vAlign w:val="center"/>
          </w:tcPr>
          <w:p w14:paraId="256CE5A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DB4E39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0" w:type="auto"/>
            <w:tcBorders>
              <w:tl2br w:val="nil"/>
              <w:tr2bl w:val="nil"/>
            </w:tcBorders>
            <w:shd w:val="clear" w:color="auto" w:fill="auto"/>
            <w:vAlign w:val="center"/>
          </w:tcPr>
          <w:p w14:paraId="4B8C3DE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w:t>
            </w:r>
          </w:p>
        </w:tc>
      </w:tr>
      <w:tr w14:paraId="6004A7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2BAE30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5F2A843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氟化物</w:t>
            </w:r>
          </w:p>
        </w:tc>
        <w:tc>
          <w:tcPr>
            <w:tcW w:w="0" w:type="auto"/>
            <w:tcBorders>
              <w:tl2br w:val="nil"/>
              <w:tr2bl w:val="nil"/>
            </w:tcBorders>
            <w:shd w:val="clear" w:color="auto" w:fill="auto"/>
            <w:vAlign w:val="center"/>
          </w:tcPr>
          <w:p w14:paraId="12CB14B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CBFDC6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0.10</w:t>
            </w:r>
          </w:p>
        </w:tc>
        <w:tc>
          <w:tcPr>
            <w:tcW w:w="0" w:type="auto"/>
            <w:tcBorders>
              <w:tl2br w:val="nil"/>
              <w:tr2bl w:val="nil"/>
            </w:tcBorders>
            <w:shd w:val="clear" w:color="auto" w:fill="auto"/>
            <w:vAlign w:val="center"/>
          </w:tcPr>
          <w:p w14:paraId="001BFB4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4A8A19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219679B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77379C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镉</w:t>
            </w:r>
          </w:p>
        </w:tc>
        <w:tc>
          <w:tcPr>
            <w:tcW w:w="0" w:type="auto"/>
            <w:tcBorders>
              <w:tl2br w:val="nil"/>
              <w:tr2bl w:val="nil"/>
            </w:tcBorders>
            <w:shd w:val="clear" w:color="auto" w:fill="auto"/>
            <w:vAlign w:val="center"/>
          </w:tcPr>
          <w:p w14:paraId="4881A1C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2408FE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0" w:type="auto"/>
            <w:tcBorders>
              <w:tl2br w:val="nil"/>
              <w:tr2bl w:val="nil"/>
            </w:tcBorders>
            <w:shd w:val="clear" w:color="auto" w:fill="auto"/>
            <w:vAlign w:val="center"/>
          </w:tcPr>
          <w:p w14:paraId="1532ABE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≤0.005</w:t>
            </w:r>
          </w:p>
        </w:tc>
      </w:tr>
      <w:tr w14:paraId="4566BF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3B9CE5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3615629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铁</w:t>
            </w:r>
          </w:p>
        </w:tc>
        <w:tc>
          <w:tcPr>
            <w:tcW w:w="0" w:type="auto"/>
            <w:tcBorders>
              <w:tl2br w:val="nil"/>
              <w:tr2bl w:val="nil"/>
            </w:tcBorders>
            <w:shd w:val="clear" w:color="auto" w:fill="auto"/>
            <w:vAlign w:val="center"/>
          </w:tcPr>
          <w:p w14:paraId="097AFB5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73707D0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0.861</w:t>
            </w:r>
          </w:p>
        </w:tc>
        <w:tc>
          <w:tcPr>
            <w:tcW w:w="0" w:type="auto"/>
            <w:tcBorders>
              <w:tl2br w:val="nil"/>
              <w:tr2bl w:val="nil"/>
            </w:tcBorders>
            <w:shd w:val="clear" w:color="auto" w:fill="auto"/>
            <w:vAlign w:val="center"/>
          </w:tcPr>
          <w:p w14:paraId="70191E2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w:t>
            </w:r>
          </w:p>
        </w:tc>
      </w:tr>
      <w:tr w14:paraId="759C9D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116A5B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0FBF33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锰</w:t>
            </w:r>
          </w:p>
        </w:tc>
        <w:tc>
          <w:tcPr>
            <w:tcW w:w="0" w:type="auto"/>
            <w:tcBorders>
              <w:tl2br w:val="nil"/>
              <w:tr2bl w:val="nil"/>
            </w:tcBorders>
            <w:shd w:val="clear" w:color="auto" w:fill="auto"/>
            <w:vAlign w:val="center"/>
          </w:tcPr>
          <w:p w14:paraId="0D5EEB7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B20075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0.436</w:t>
            </w:r>
          </w:p>
        </w:tc>
        <w:tc>
          <w:tcPr>
            <w:tcW w:w="0" w:type="auto"/>
            <w:tcBorders>
              <w:tl2br w:val="nil"/>
              <w:tr2bl w:val="nil"/>
            </w:tcBorders>
            <w:shd w:val="clear" w:color="auto" w:fill="auto"/>
            <w:vAlign w:val="center"/>
          </w:tcPr>
          <w:p w14:paraId="5685389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≤0.10</w:t>
            </w:r>
          </w:p>
        </w:tc>
      </w:tr>
      <w:tr w14:paraId="0A1C1D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A47F7A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659736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溶解性总固体</w:t>
            </w:r>
          </w:p>
        </w:tc>
        <w:tc>
          <w:tcPr>
            <w:tcW w:w="0" w:type="auto"/>
            <w:tcBorders>
              <w:tl2br w:val="nil"/>
              <w:tr2bl w:val="nil"/>
            </w:tcBorders>
            <w:shd w:val="clear" w:color="auto" w:fill="auto"/>
            <w:vAlign w:val="center"/>
          </w:tcPr>
          <w:p w14:paraId="623392A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1F8055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235</w:t>
            </w:r>
          </w:p>
        </w:tc>
        <w:tc>
          <w:tcPr>
            <w:tcW w:w="0" w:type="auto"/>
            <w:tcBorders>
              <w:tl2br w:val="nil"/>
              <w:tr2bl w:val="nil"/>
            </w:tcBorders>
            <w:shd w:val="clear" w:color="auto" w:fill="auto"/>
            <w:vAlign w:val="center"/>
          </w:tcPr>
          <w:p w14:paraId="084BC6F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≤1000</w:t>
            </w:r>
          </w:p>
        </w:tc>
      </w:tr>
      <w:tr w14:paraId="21C049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2D1F20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07E5726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耗氧量</w:t>
            </w:r>
          </w:p>
        </w:tc>
        <w:tc>
          <w:tcPr>
            <w:tcW w:w="0" w:type="auto"/>
            <w:tcBorders>
              <w:tl2br w:val="nil"/>
              <w:tr2bl w:val="nil"/>
            </w:tcBorders>
            <w:shd w:val="clear" w:color="auto" w:fill="auto"/>
            <w:vAlign w:val="center"/>
          </w:tcPr>
          <w:p w14:paraId="35B6806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2D52582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1.2</w:t>
            </w:r>
          </w:p>
        </w:tc>
        <w:tc>
          <w:tcPr>
            <w:tcW w:w="0" w:type="auto"/>
            <w:tcBorders>
              <w:tl2br w:val="nil"/>
              <w:tr2bl w:val="nil"/>
            </w:tcBorders>
            <w:shd w:val="clear" w:color="auto" w:fill="auto"/>
            <w:vAlign w:val="center"/>
          </w:tcPr>
          <w:p w14:paraId="624C586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≤3.0</w:t>
            </w:r>
          </w:p>
        </w:tc>
      </w:tr>
      <w:tr w14:paraId="12BA72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83322F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1109433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硫酸盐</w:t>
            </w:r>
          </w:p>
        </w:tc>
        <w:tc>
          <w:tcPr>
            <w:tcW w:w="0" w:type="auto"/>
            <w:tcBorders>
              <w:tl2br w:val="nil"/>
              <w:tr2bl w:val="nil"/>
            </w:tcBorders>
            <w:shd w:val="clear" w:color="auto" w:fill="auto"/>
            <w:vAlign w:val="center"/>
          </w:tcPr>
          <w:p w14:paraId="28BA1F2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C73A61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8L</w:t>
            </w:r>
          </w:p>
        </w:tc>
        <w:tc>
          <w:tcPr>
            <w:tcW w:w="0" w:type="auto"/>
            <w:tcBorders>
              <w:tl2br w:val="nil"/>
              <w:tr2bl w:val="nil"/>
            </w:tcBorders>
            <w:shd w:val="clear" w:color="auto" w:fill="auto"/>
            <w:vAlign w:val="center"/>
          </w:tcPr>
          <w:p w14:paraId="05B032F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33BF29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31AC7D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1D33E09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氯化物</w:t>
            </w:r>
          </w:p>
        </w:tc>
        <w:tc>
          <w:tcPr>
            <w:tcW w:w="0" w:type="auto"/>
            <w:tcBorders>
              <w:tl2br w:val="nil"/>
              <w:tr2bl w:val="nil"/>
            </w:tcBorders>
            <w:shd w:val="clear" w:color="auto" w:fill="auto"/>
            <w:vAlign w:val="center"/>
          </w:tcPr>
          <w:p w14:paraId="36303EC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BCAEC8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10L</w:t>
            </w:r>
          </w:p>
        </w:tc>
        <w:tc>
          <w:tcPr>
            <w:tcW w:w="0" w:type="auto"/>
            <w:tcBorders>
              <w:tl2br w:val="nil"/>
              <w:tr2bl w:val="nil"/>
            </w:tcBorders>
            <w:shd w:val="clear" w:color="auto" w:fill="auto"/>
            <w:vAlign w:val="center"/>
          </w:tcPr>
          <w:p w14:paraId="5FCEF68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03EE1A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D39827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7BB7A37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总大肠菌群</w:t>
            </w:r>
          </w:p>
        </w:tc>
        <w:tc>
          <w:tcPr>
            <w:tcW w:w="0" w:type="auto"/>
            <w:tcBorders>
              <w:tl2br w:val="nil"/>
              <w:tr2bl w:val="nil"/>
            </w:tcBorders>
            <w:shd w:val="clear" w:color="auto" w:fill="auto"/>
            <w:vAlign w:val="center"/>
          </w:tcPr>
          <w:p w14:paraId="4FEB5A2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MPN/100mL</w:t>
            </w:r>
          </w:p>
        </w:tc>
        <w:tc>
          <w:tcPr>
            <w:tcW w:w="0" w:type="auto"/>
            <w:tcBorders>
              <w:tl2br w:val="nil"/>
              <w:tr2bl w:val="nil"/>
            </w:tcBorders>
            <w:shd w:val="clear" w:color="auto" w:fill="auto"/>
            <w:vAlign w:val="center"/>
          </w:tcPr>
          <w:p w14:paraId="0D6537C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未检出</w:t>
            </w:r>
          </w:p>
        </w:tc>
        <w:tc>
          <w:tcPr>
            <w:tcW w:w="0" w:type="auto"/>
            <w:tcBorders>
              <w:tl2br w:val="nil"/>
              <w:tr2bl w:val="nil"/>
            </w:tcBorders>
            <w:shd w:val="clear" w:color="auto" w:fill="auto"/>
            <w:vAlign w:val="center"/>
          </w:tcPr>
          <w:p w14:paraId="5501803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≤3.0</w:t>
            </w:r>
          </w:p>
        </w:tc>
      </w:tr>
      <w:tr w14:paraId="6ECB8C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581D2C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6E961F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菌落总数</w:t>
            </w:r>
          </w:p>
        </w:tc>
        <w:tc>
          <w:tcPr>
            <w:tcW w:w="0" w:type="auto"/>
            <w:tcBorders>
              <w:tl2br w:val="nil"/>
              <w:tr2bl w:val="nil"/>
            </w:tcBorders>
            <w:shd w:val="clear" w:color="auto" w:fill="auto"/>
            <w:vAlign w:val="center"/>
          </w:tcPr>
          <w:p w14:paraId="7FB76D5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CFU/L</w:t>
            </w:r>
          </w:p>
        </w:tc>
        <w:tc>
          <w:tcPr>
            <w:tcW w:w="0" w:type="auto"/>
            <w:tcBorders>
              <w:tl2br w:val="nil"/>
              <w:tr2bl w:val="nil"/>
            </w:tcBorders>
            <w:shd w:val="clear" w:color="auto" w:fill="auto"/>
            <w:vAlign w:val="center"/>
          </w:tcPr>
          <w:p w14:paraId="0B33FB1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30</w:t>
            </w:r>
          </w:p>
        </w:tc>
        <w:tc>
          <w:tcPr>
            <w:tcW w:w="0" w:type="auto"/>
            <w:tcBorders>
              <w:tl2br w:val="nil"/>
              <w:tr2bl w:val="nil"/>
            </w:tcBorders>
            <w:shd w:val="clear" w:color="auto" w:fill="auto"/>
            <w:vAlign w:val="center"/>
          </w:tcPr>
          <w:p w14:paraId="424E07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1BE5E7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FFA052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574E7AD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0" w:type="auto"/>
            <w:tcBorders>
              <w:tl2br w:val="nil"/>
              <w:tr2bl w:val="nil"/>
            </w:tcBorders>
            <w:shd w:val="clear" w:color="auto" w:fill="auto"/>
            <w:vAlign w:val="center"/>
          </w:tcPr>
          <w:p w14:paraId="3C9AF8B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EFCE47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0.00017</w:t>
            </w:r>
          </w:p>
        </w:tc>
        <w:tc>
          <w:tcPr>
            <w:tcW w:w="0" w:type="auto"/>
            <w:tcBorders>
              <w:tl2br w:val="nil"/>
              <w:tr2bl w:val="nil"/>
            </w:tcBorders>
            <w:shd w:val="clear" w:color="auto" w:fill="auto"/>
            <w:vAlign w:val="center"/>
          </w:tcPr>
          <w:p w14:paraId="5C627D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69328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17D5A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2FFF33F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0" w:type="auto"/>
            <w:tcBorders>
              <w:tl2br w:val="nil"/>
              <w:tr2bl w:val="nil"/>
            </w:tcBorders>
            <w:shd w:val="clear" w:color="auto" w:fill="auto"/>
            <w:vAlign w:val="center"/>
          </w:tcPr>
          <w:p w14:paraId="37138CA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70978F2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0" w:type="auto"/>
            <w:tcBorders>
              <w:tl2br w:val="nil"/>
              <w:tr2bl w:val="nil"/>
            </w:tcBorders>
            <w:shd w:val="clear" w:color="auto" w:fill="auto"/>
            <w:vAlign w:val="center"/>
          </w:tcPr>
          <w:p w14:paraId="1D62E2C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≤0.02</w:t>
            </w:r>
          </w:p>
        </w:tc>
      </w:tr>
      <w:tr w14:paraId="1FAEE3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A7E240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69BD823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铜</w:t>
            </w:r>
          </w:p>
        </w:tc>
        <w:tc>
          <w:tcPr>
            <w:tcW w:w="0" w:type="auto"/>
            <w:tcBorders>
              <w:tl2br w:val="nil"/>
              <w:tr2bl w:val="nil"/>
            </w:tcBorders>
            <w:shd w:val="clear" w:color="auto" w:fill="auto"/>
            <w:vAlign w:val="center"/>
          </w:tcPr>
          <w:p w14:paraId="7D4A891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0212E7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0.00034</w:t>
            </w:r>
          </w:p>
        </w:tc>
        <w:tc>
          <w:tcPr>
            <w:tcW w:w="0" w:type="auto"/>
            <w:tcBorders>
              <w:tl2br w:val="nil"/>
              <w:tr2bl w:val="nil"/>
            </w:tcBorders>
            <w:shd w:val="clear" w:color="auto" w:fill="auto"/>
            <w:vAlign w:val="center"/>
          </w:tcPr>
          <w:p w14:paraId="5786845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0B82E7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0A2134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shd w:val="clear" w:color="auto" w:fill="auto"/>
            <w:vAlign w:val="center"/>
          </w:tcPr>
          <w:p w14:paraId="3E8E5BE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锌</w:t>
            </w:r>
          </w:p>
        </w:tc>
        <w:tc>
          <w:tcPr>
            <w:tcW w:w="0" w:type="auto"/>
            <w:tcBorders>
              <w:tl2br w:val="nil"/>
              <w:tr2bl w:val="nil"/>
            </w:tcBorders>
            <w:shd w:val="clear" w:color="auto" w:fill="auto"/>
            <w:vAlign w:val="center"/>
          </w:tcPr>
          <w:p w14:paraId="3C3C7D2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22DEC1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0.00700</w:t>
            </w:r>
          </w:p>
        </w:tc>
        <w:tc>
          <w:tcPr>
            <w:tcW w:w="0" w:type="auto"/>
            <w:tcBorders>
              <w:tl2br w:val="nil"/>
              <w:tr2bl w:val="nil"/>
            </w:tcBorders>
            <w:shd w:val="clear" w:color="auto" w:fill="auto"/>
            <w:vAlign w:val="center"/>
          </w:tcPr>
          <w:p w14:paraId="2E2F186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4C07AB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shd w:val="clear" w:color="auto" w:fill="auto"/>
            <w:vAlign w:val="center"/>
          </w:tcPr>
          <w:p w14:paraId="2750594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DD9175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钾</w:t>
            </w:r>
          </w:p>
        </w:tc>
        <w:tc>
          <w:tcPr>
            <w:tcW w:w="0" w:type="auto"/>
            <w:tcBorders>
              <w:tl2br w:val="nil"/>
              <w:tr2bl w:val="nil"/>
            </w:tcBorders>
            <w:shd w:val="clear" w:color="auto" w:fill="auto"/>
            <w:vAlign w:val="center"/>
          </w:tcPr>
          <w:p w14:paraId="48C64B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F6F9DB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7.86</w:t>
            </w:r>
          </w:p>
        </w:tc>
        <w:tc>
          <w:tcPr>
            <w:tcW w:w="0" w:type="auto"/>
            <w:tcBorders>
              <w:tl2br w:val="nil"/>
              <w:tr2bl w:val="nil"/>
            </w:tcBorders>
            <w:shd w:val="clear" w:color="auto" w:fill="auto"/>
            <w:vAlign w:val="center"/>
          </w:tcPr>
          <w:p w14:paraId="5AEDB17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2B4F84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shd w:val="clear" w:color="auto" w:fill="auto"/>
            <w:vAlign w:val="center"/>
          </w:tcPr>
          <w:p w14:paraId="6785A89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6359555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钠</w:t>
            </w:r>
          </w:p>
        </w:tc>
        <w:tc>
          <w:tcPr>
            <w:tcW w:w="0" w:type="auto"/>
            <w:tcBorders>
              <w:tl2br w:val="nil"/>
              <w:tr2bl w:val="nil"/>
            </w:tcBorders>
            <w:shd w:val="clear" w:color="auto" w:fill="auto"/>
            <w:vAlign w:val="center"/>
          </w:tcPr>
          <w:p w14:paraId="17CFF97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F8CA6E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65.3</w:t>
            </w:r>
          </w:p>
        </w:tc>
        <w:tc>
          <w:tcPr>
            <w:tcW w:w="0" w:type="auto"/>
            <w:tcBorders>
              <w:tl2br w:val="nil"/>
              <w:tr2bl w:val="nil"/>
            </w:tcBorders>
            <w:shd w:val="clear" w:color="auto" w:fill="auto"/>
            <w:vAlign w:val="center"/>
          </w:tcPr>
          <w:p w14:paraId="0BD720D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6B08E5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shd w:val="clear" w:color="auto" w:fill="auto"/>
            <w:vAlign w:val="center"/>
          </w:tcPr>
          <w:p w14:paraId="319D0E9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86B169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氯离子</w:t>
            </w:r>
          </w:p>
        </w:tc>
        <w:tc>
          <w:tcPr>
            <w:tcW w:w="0" w:type="auto"/>
            <w:tcBorders>
              <w:tl2br w:val="nil"/>
              <w:tr2bl w:val="nil"/>
            </w:tcBorders>
            <w:shd w:val="clear" w:color="auto" w:fill="auto"/>
            <w:vAlign w:val="center"/>
          </w:tcPr>
          <w:p w14:paraId="251613A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9D024A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5.77</w:t>
            </w:r>
          </w:p>
        </w:tc>
        <w:tc>
          <w:tcPr>
            <w:tcW w:w="0" w:type="auto"/>
            <w:tcBorders>
              <w:tl2br w:val="nil"/>
              <w:tr2bl w:val="nil"/>
            </w:tcBorders>
            <w:shd w:val="clear" w:color="auto" w:fill="auto"/>
            <w:vAlign w:val="center"/>
          </w:tcPr>
          <w:p w14:paraId="0C8B723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01A3B6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shd w:val="clear" w:color="auto" w:fill="auto"/>
            <w:vAlign w:val="center"/>
          </w:tcPr>
          <w:p w14:paraId="690175F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7B4B960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硫酸根离子</w:t>
            </w:r>
          </w:p>
        </w:tc>
        <w:tc>
          <w:tcPr>
            <w:tcW w:w="0" w:type="auto"/>
            <w:tcBorders>
              <w:tl2br w:val="nil"/>
              <w:tr2bl w:val="nil"/>
            </w:tcBorders>
            <w:shd w:val="clear" w:color="auto" w:fill="auto"/>
            <w:vAlign w:val="center"/>
          </w:tcPr>
          <w:p w14:paraId="702AE54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611B13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16.8</w:t>
            </w:r>
          </w:p>
        </w:tc>
        <w:tc>
          <w:tcPr>
            <w:tcW w:w="0" w:type="auto"/>
            <w:tcBorders>
              <w:tl2br w:val="nil"/>
              <w:tr2bl w:val="nil"/>
            </w:tcBorders>
            <w:shd w:val="clear" w:color="auto" w:fill="auto"/>
            <w:vAlign w:val="center"/>
          </w:tcPr>
          <w:p w14:paraId="265C9C5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7B2EB7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restart"/>
            <w:tcBorders>
              <w:tl2br w:val="nil"/>
              <w:tr2bl w:val="nil"/>
            </w:tcBorders>
            <w:shd w:val="clear" w:color="auto" w:fill="auto"/>
            <w:vAlign w:val="center"/>
          </w:tcPr>
          <w:p w14:paraId="561D31D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D3下新屋居民点</w:t>
            </w:r>
          </w:p>
        </w:tc>
        <w:tc>
          <w:tcPr>
            <w:tcW w:w="0" w:type="auto"/>
            <w:tcBorders>
              <w:tl2br w:val="nil"/>
              <w:tr2bl w:val="nil"/>
            </w:tcBorders>
            <w:shd w:val="clear" w:color="auto" w:fill="auto"/>
            <w:vAlign w:val="center"/>
          </w:tcPr>
          <w:p w14:paraId="715A0E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pH值</w:t>
            </w:r>
          </w:p>
        </w:tc>
        <w:tc>
          <w:tcPr>
            <w:tcW w:w="0" w:type="auto"/>
            <w:tcBorders>
              <w:tl2br w:val="nil"/>
              <w:tr2bl w:val="nil"/>
            </w:tcBorders>
            <w:shd w:val="clear" w:color="auto" w:fill="auto"/>
            <w:vAlign w:val="center"/>
          </w:tcPr>
          <w:p w14:paraId="23F127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无量纲</w:t>
            </w:r>
          </w:p>
        </w:tc>
        <w:tc>
          <w:tcPr>
            <w:tcW w:w="0" w:type="auto"/>
            <w:tcBorders>
              <w:tl2br w:val="nil"/>
              <w:tr2bl w:val="nil"/>
            </w:tcBorders>
            <w:shd w:val="clear" w:color="auto" w:fill="auto"/>
            <w:vAlign w:val="center"/>
          </w:tcPr>
          <w:p w14:paraId="478F073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7.1</w:t>
            </w:r>
          </w:p>
        </w:tc>
        <w:tc>
          <w:tcPr>
            <w:tcW w:w="0" w:type="auto"/>
            <w:tcBorders>
              <w:tl2br w:val="nil"/>
              <w:tr2bl w:val="nil"/>
            </w:tcBorders>
            <w:shd w:val="clear" w:color="auto" w:fill="auto"/>
            <w:vAlign w:val="center"/>
          </w:tcPr>
          <w:p w14:paraId="457C293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6.5~8.5</w:t>
            </w:r>
          </w:p>
        </w:tc>
      </w:tr>
      <w:tr w14:paraId="50AA9C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EA8169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0A15D2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水位</w:t>
            </w:r>
          </w:p>
        </w:tc>
        <w:tc>
          <w:tcPr>
            <w:tcW w:w="0" w:type="auto"/>
            <w:tcBorders>
              <w:tl2br w:val="nil"/>
              <w:tr2bl w:val="nil"/>
            </w:tcBorders>
            <w:shd w:val="clear" w:color="auto" w:fill="auto"/>
            <w:vAlign w:val="center"/>
          </w:tcPr>
          <w:p w14:paraId="1D2BDED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w:t>
            </w:r>
          </w:p>
        </w:tc>
        <w:tc>
          <w:tcPr>
            <w:tcW w:w="0" w:type="auto"/>
            <w:tcBorders>
              <w:tl2br w:val="nil"/>
              <w:tr2bl w:val="nil"/>
            </w:tcBorders>
            <w:shd w:val="clear" w:color="auto" w:fill="auto"/>
            <w:vAlign w:val="center"/>
          </w:tcPr>
          <w:p w14:paraId="21ABAB4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103.00</w:t>
            </w:r>
          </w:p>
        </w:tc>
        <w:tc>
          <w:tcPr>
            <w:tcW w:w="0" w:type="auto"/>
            <w:tcBorders>
              <w:tl2br w:val="nil"/>
              <w:tr2bl w:val="nil"/>
            </w:tcBorders>
            <w:shd w:val="clear" w:color="auto" w:fill="auto"/>
            <w:vAlign w:val="center"/>
          </w:tcPr>
          <w:p w14:paraId="6F6AC38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6D0DEC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E2D8BB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557A36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井深</w:t>
            </w:r>
          </w:p>
        </w:tc>
        <w:tc>
          <w:tcPr>
            <w:tcW w:w="0" w:type="auto"/>
            <w:tcBorders>
              <w:tl2br w:val="nil"/>
              <w:tr2bl w:val="nil"/>
            </w:tcBorders>
            <w:shd w:val="clear" w:color="auto" w:fill="auto"/>
            <w:vAlign w:val="center"/>
          </w:tcPr>
          <w:p w14:paraId="693A110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w:t>
            </w:r>
          </w:p>
        </w:tc>
        <w:tc>
          <w:tcPr>
            <w:tcW w:w="0" w:type="auto"/>
            <w:tcBorders>
              <w:tl2br w:val="nil"/>
              <w:tr2bl w:val="nil"/>
            </w:tcBorders>
            <w:shd w:val="clear" w:color="auto" w:fill="auto"/>
            <w:vAlign w:val="center"/>
          </w:tcPr>
          <w:p w14:paraId="401F045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0.50</w:t>
            </w:r>
          </w:p>
        </w:tc>
        <w:tc>
          <w:tcPr>
            <w:tcW w:w="0" w:type="auto"/>
            <w:tcBorders>
              <w:tl2br w:val="nil"/>
              <w:tr2bl w:val="nil"/>
            </w:tcBorders>
            <w:shd w:val="clear" w:color="auto" w:fill="auto"/>
            <w:vAlign w:val="center"/>
          </w:tcPr>
          <w:p w14:paraId="648A1B6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0ECB45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25E7BBE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9622D7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钙</w:t>
            </w:r>
          </w:p>
        </w:tc>
        <w:tc>
          <w:tcPr>
            <w:tcW w:w="0" w:type="auto"/>
            <w:tcBorders>
              <w:tl2br w:val="nil"/>
              <w:tr2bl w:val="nil"/>
            </w:tcBorders>
            <w:shd w:val="clear" w:color="auto" w:fill="auto"/>
            <w:vAlign w:val="center"/>
          </w:tcPr>
          <w:p w14:paraId="3F4712B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750A28F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52</w:t>
            </w:r>
          </w:p>
        </w:tc>
        <w:tc>
          <w:tcPr>
            <w:tcW w:w="0" w:type="auto"/>
            <w:tcBorders>
              <w:tl2br w:val="nil"/>
              <w:tr2bl w:val="nil"/>
            </w:tcBorders>
            <w:shd w:val="clear" w:color="auto" w:fill="auto"/>
            <w:vAlign w:val="center"/>
          </w:tcPr>
          <w:p w14:paraId="2095526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200A96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A3F767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9D44D6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镁</w:t>
            </w:r>
          </w:p>
        </w:tc>
        <w:tc>
          <w:tcPr>
            <w:tcW w:w="0" w:type="auto"/>
            <w:tcBorders>
              <w:tl2br w:val="nil"/>
              <w:tr2bl w:val="nil"/>
            </w:tcBorders>
            <w:shd w:val="clear" w:color="auto" w:fill="auto"/>
            <w:vAlign w:val="center"/>
          </w:tcPr>
          <w:p w14:paraId="03AFC8B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62740A5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3L</w:t>
            </w:r>
          </w:p>
        </w:tc>
        <w:tc>
          <w:tcPr>
            <w:tcW w:w="0" w:type="auto"/>
            <w:tcBorders>
              <w:tl2br w:val="nil"/>
              <w:tr2bl w:val="nil"/>
            </w:tcBorders>
            <w:shd w:val="clear" w:color="auto" w:fill="auto"/>
            <w:vAlign w:val="center"/>
          </w:tcPr>
          <w:p w14:paraId="627B956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20D83F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2521B8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E4C6D8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碳酸根</w:t>
            </w:r>
          </w:p>
        </w:tc>
        <w:tc>
          <w:tcPr>
            <w:tcW w:w="0" w:type="auto"/>
            <w:tcBorders>
              <w:tl2br w:val="nil"/>
              <w:tr2bl w:val="nil"/>
            </w:tcBorders>
            <w:shd w:val="clear" w:color="auto" w:fill="auto"/>
            <w:vAlign w:val="center"/>
          </w:tcPr>
          <w:p w14:paraId="6064FE3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464B67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5L</w:t>
            </w:r>
          </w:p>
        </w:tc>
        <w:tc>
          <w:tcPr>
            <w:tcW w:w="0" w:type="auto"/>
            <w:tcBorders>
              <w:tl2br w:val="nil"/>
              <w:tr2bl w:val="nil"/>
            </w:tcBorders>
            <w:shd w:val="clear" w:color="auto" w:fill="auto"/>
            <w:vAlign w:val="center"/>
          </w:tcPr>
          <w:p w14:paraId="0CD5512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7B126DE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200AFAD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86D038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碳酸氢根</w:t>
            </w:r>
          </w:p>
        </w:tc>
        <w:tc>
          <w:tcPr>
            <w:tcW w:w="0" w:type="auto"/>
            <w:tcBorders>
              <w:tl2br w:val="nil"/>
              <w:tr2bl w:val="nil"/>
            </w:tcBorders>
            <w:shd w:val="clear" w:color="auto" w:fill="auto"/>
            <w:vAlign w:val="center"/>
          </w:tcPr>
          <w:p w14:paraId="58E0EA2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406804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185</w:t>
            </w:r>
          </w:p>
        </w:tc>
        <w:tc>
          <w:tcPr>
            <w:tcW w:w="0" w:type="auto"/>
            <w:tcBorders>
              <w:tl2br w:val="nil"/>
              <w:tr2bl w:val="nil"/>
            </w:tcBorders>
            <w:shd w:val="clear" w:color="auto" w:fill="auto"/>
            <w:vAlign w:val="center"/>
          </w:tcPr>
          <w:p w14:paraId="3296502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60E15C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18A291E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48F02B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氨氮</w:t>
            </w:r>
          </w:p>
        </w:tc>
        <w:tc>
          <w:tcPr>
            <w:tcW w:w="0" w:type="auto"/>
            <w:tcBorders>
              <w:tl2br w:val="nil"/>
              <w:tr2bl w:val="nil"/>
            </w:tcBorders>
            <w:shd w:val="clear" w:color="auto" w:fill="auto"/>
            <w:vAlign w:val="center"/>
          </w:tcPr>
          <w:p w14:paraId="2CDCA30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5C226D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0.19</w:t>
            </w:r>
          </w:p>
        </w:tc>
        <w:tc>
          <w:tcPr>
            <w:tcW w:w="0" w:type="auto"/>
            <w:tcBorders>
              <w:tl2br w:val="nil"/>
              <w:tr2bl w:val="nil"/>
            </w:tcBorders>
            <w:shd w:val="clear" w:color="auto" w:fill="auto"/>
            <w:vAlign w:val="center"/>
          </w:tcPr>
          <w:p w14:paraId="638F0EE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≤0.50</w:t>
            </w:r>
          </w:p>
        </w:tc>
      </w:tr>
      <w:tr w14:paraId="622EE8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1A315DD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037A2E8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硝酸盐（以N计）</w:t>
            </w:r>
          </w:p>
        </w:tc>
        <w:tc>
          <w:tcPr>
            <w:tcW w:w="0" w:type="auto"/>
            <w:tcBorders>
              <w:tl2br w:val="nil"/>
              <w:tr2bl w:val="nil"/>
            </w:tcBorders>
            <w:shd w:val="clear" w:color="auto" w:fill="auto"/>
            <w:vAlign w:val="center"/>
          </w:tcPr>
          <w:p w14:paraId="3ABAEE8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12B989A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0.60</w:t>
            </w:r>
          </w:p>
        </w:tc>
        <w:tc>
          <w:tcPr>
            <w:tcW w:w="0" w:type="auto"/>
            <w:tcBorders>
              <w:tl2br w:val="nil"/>
              <w:tr2bl w:val="nil"/>
            </w:tcBorders>
            <w:shd w:val="clear" w:color="auto" w:fill="auto"/>
            <w:vAlign w:val="center"/>
          </w:tcPr>
          <w:p w14:paraId="2D7B398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72A5E1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11DF27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41DC96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亚硝酸盐（以N计）</w:t>
            </w:r>
          </w:p>
        </w:tc>
        <w:tc>
          <w:tcPr>
            <w:tcW w:w="0" w:type="auto"/>
            <w:tcBorders>
              <w:tl2br w:val="nil"/>
              <w:tr2bl w:val="nil"/>
            </w:tcBorders>
            <w:shd w:val="clear" w:color="auto" w:fill="auto"/>
            <w:vAlign w:val="center"/>
          </w:tcPr>
          <w:p w14:paraId="55BAAC6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5B3957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0.007</w:t>
            </w:r>
          </w:p>
        </w:tc>
        <w:tc>
          <w:tcPr>
            <w:tcW w:w="0" w:type="auto"/>
            <w:tcBorders>
              <w:tl2br w:val="nil"/>
              <w:tr2bl w:val="nil"/>
            </w:tcBorders>
            <w:shd w:val="clear" w:color="auto" w:fill="auto"/>
            <w:vAlign w:val="center"/>
          </w:tcPr>
          <w:p w14:paraId="458364A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46ADE5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148F6C6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4DEBE88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挥发酚</w:t>
            </w:r>
          </w:p>
        </w:tc>
        <w:tc>
          <w:tcPr>
            <w:tcW w:w="0" w:type="auto"/>
            <w:tcBorders>
              <w:tl2br w:val="nil"/>
              <w:tr2bl w:val="nil"/>
            </w:tcBorders>
            <w:shd w:val="clear" w:color="auto" w:fill="auto"/>
            <w:vAlign w:val="center"/>
          </w:tcPr>
          <w:p w14:paraId="1A6AE43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761558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0.0003L</w:t>
            </w:r>
          </w:p>
        </w:tc>
        <w:tc>
          <w:tcPr>
            <w:tcW w:w="0" w:type="auto"/>
            <w:tcBorders>
              <w:tl2br w:val="nil"/>
              <w:tr2bl w:val="nil"/>
            </w:tcBorders>
            <w:shd w:val="clear" w:color="auto" w:fill="auto"/>
            <w:vAlign w:val="center"/>
          </w:tcPr>
          <w:p w14:paraId="2BFD70F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≤0.002</w:t>
            </w:r>
          </w:p>
        </w:tc>
      </w:tr>
      <w:tr w14:paraId="793AAF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EB192E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46B3561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氰化物</w:t>
            </w:r>
          </w:p>
        </w:tc>
        <w:tc>
          <w:tcPr>
            <w:tcW w:w="0" w:type="auto"/>
            <w:tcBorders>
              <w:tl2br w:val="nil"/>
              <w:tr2bl w:val="nil"/>
            </w:tcBorders>
            <w:shd w:val="clear" w:color="auto" w:fill="auto"/>
            <w:vAlign w:val="center"/>
          </w:tcPr>
          <w:p w14:paraId="7BACB3D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39380D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0" w:type="auto"/>
            <w:tcBorders>
              <w:tl2br w:val="nil"/>
              <w:tr2bl w:val="nil"/>
            </w:tcBorders>
            <w:shd w:val="clear" w:color="auto" w:fill="auto"/>
            <w:vAlign w:val="center"/>
          </w:tcPr>
          <w:p w14:paraId="79FB42D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w:t>
            </w:r>
          </w:p>
        </w:tc>
      </w:tr>
      <w:tr w14:paraId="771F03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7383C8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152DD8E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砷</w:t>
            </w:r>
          </w:p>
        </w:tc>
        <w:tc>
          <w:tcPr>
            <w:tcW w:w="0" w:type="auto"/>
            <w:tcBorders>
              <w:tl2br w:val="nil"/>
              <w:tr2bl w:val="nil"/>
            </w:tcBorders>
            <w:shd w:val="clear" w:color="auto" w:fill="auto"/>
            <w:vAlign w:val="center"/>
          </w:tcPr>
          <w:p w14:paraId="4C08943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4CB7B9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0.00053</w:t>
            </w:r>
          </w:p>
        </w:tc>
        <w:tc>
          <w:tcPr>
            <w:tcW w:w="0" w:type="auto"/>
            <w:tcBorders>
              <w:tl2br w:val="nil"/>
              <w:tr2bl w:val="nil"/>
            </w:tcBorders>
            <w:shd w:val="clear" w:color="auto" w:fill="auto"/>
            <w:vAlign w:val="center"/>
          </w:tcPr>
          <w:p w14:paraId="523F02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w:t>
            </w:r>
          </w:p>
        </w:tc>
      </w:tr>
      <w:tr w14:paraId="5DCD9B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103C07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1174812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汞</w:t>
            </w:r>
          </w:p>
        </w:tc>
        <w:tc>
          <w:tcPr>
            <w:tcW w:w="0" w:type="auto"/>
            <w:tcBorders>
              <w:tl2br w:val="nil"/>
              <w:tr2bl w:val="nil"/>
            </w:tcBorders>
            <w:shd w:val="clear" w:color="auto" w:fill="auto"/>
            <w:vAlign w:val="center"/>
          </w:tcPr>
          <w:p w14:paraId="1EED2F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756CB08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0.00004L</w:t>
            </w:r>
          </w:p>
        </w:tc>
        <w:tc>
          <w:tcPr>
            <w:tcW w:w="0" w:type="auto"/>
            <w:tcBorders>
              <w:tl2br w:val="nil"/>
              <w:tr2bl w:val="nil"/>
            </w:tcBorders>
            <w:shd w:val="clear" w:color="auto" w:fill="auto"/>
            <w:vAlign w:val="center"/>
          </w:tcPr>
          <w:p w14:paraId="053EF72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≤0.001</w:t>
            </w:r>
          </w:p>
        </w:tc>
      </w:tr>
      <w:tr w14:paraId="7F3F57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BE8AD1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0F8405C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六价铬</w:t>
            </w:r>
          </w:p>
        </w:tc>
        <w:tc>
          <w:tcPr>
            <w:tcW w:w="0" w:type="auto"/>
            <w:tcBorders>
              <w:tl2br w:val="nil"/>
              <w:tr2bl w:val="nil"/>
            </w:tcBorders>
            <w:shd w:val="clear" w:color="auto" w:fill="auto"/>
            <w:vAlign w:val="center"/>
          </w:tcPr>
          <w:p w14:paraId="72D18A2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75C46C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0.004L</w:t>
            </w:r>
          </w:p>
        </w:tc>
        <w:tc>
          <w:tcPr>
            <w:tcW w:w="0" w:type="auto"/>
            <w:tcBorders>
              <w:tl2br w:val="nil"/>
              <w:tr2bl w:val="nil"/>
            </w:tcBorders>
            <w:shd w:val="clear" w:color="auto" w:fill="auto"/>
            <w:vAlign w:val="center"/>
          </w:tcPr>
          <w:p w14:paraId="6AD4781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≤0.05</w:t>
            </w:r>
          </w:p>
        </w:tc>
      </w:tr>
      <w:tr w14:paraId="57498F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8E4379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35E0C4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总硬度</w:t>
            </w:r>
          </w:p>
        </w:tc>
        <w:tc>
          <w:tcPr>
            <w:tcW w:w="0" w:type="auto"/>
            <w:tcBorders>
              <w:tl2br w:val="nil"/>
              <w:tr2bl w:val="nil"/>
            </w:tcBorders>
            <w:shd w:val="clear" w:color="auto" w:fill="auto"/>
            <w:vAlign w:val="center"/>
          </w:tcPr>
          <w:p w14:paraId="0C0400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3189EC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153</w:t>
            </w:r>
          </w:p>
        </w:tc>
        <w:tc>
          <w:tcPr>
            <w:tcW w:w="0" w:type="auto"/>
            <w:tcBorders>
              <w:tl2br w:val="nil"/>
              <w:tr2bl w:val="nil"/>
            </w:tcBorders>
            <w:shd w:val="clear" w:color="auto" w:fill="auto"/>
            <w:vAlign w:val="center"/>
          </w:tcPr>
          <w:p w14:paraId="37E1D58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≤450</w:t>
            </w:r>
          </w:p>
        </w:tc>
      </w:tr>
      <w:tr w14:paraId="5B55CA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E5B71F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785794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铅</w:t>
            </w:r>
          </w:p>
        </w:tc>
        <w:tc>
          <w:tcPr>
            <w:tcW w:w="0" w:type="auto"/>
            <w:tcBorders>
              <w:tl2br w:val="nil"/>
              <w:tr2bl w:val="nil"/>
            </w:tcBorders>
            <w:shd w:val="clear" w:color="auto" w:fill="auto"/>
            <w:vAlign w:val="center"/>
          </w:tcPr>
          <w:p w14:paraId="47A3342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6DD8A3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0.00009L</w:t>
            </w:r>
          </w:p>
        </w:tc>
        <w:tc>
          <w:tcPr>
            <w:tcW w:w="0" w:type="auto"/>
            <w:tcBorders>
              <w:tl2br w:val="nil"/>
              <w:tr2bl w:val="nil"/>
            </w:tcBorders>
            <w:shd w:val="clear" w:color="auto" w:fill="auto"/>
            <w:vAlign w:val="center"/>
          </w:tcPr>
          <w:p w14:paraId="45A8D49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≤0.01</w:t>
            </w:r>
          </w:p>
        </w:tc>
      </w:tr>
      <w:tr w14:paraId="508FA5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498861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A84BF5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氟化物</w:t>
            </w:r>
          </w:p>
        </w:tc>
        <w:tc>
          <w:tcPr>
            <w:tcW w:w="0" w:type="auto"/>
            <w:tcBorders>
              <w:tl2br w:val="nil"/>
              <w:tr2bl w:val="nil"/>
            </w:tcBorders>
            <w:shd w:val="clear" w:color="auto" w:fill="auto"/>
            <w:vAlign w:val="center"/>
          </w:tcPr>
          <w:p w14:paraId="0E108B2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3DFBE3A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0.08</w:t>
            </w:r>
          </w:p>
        </w:tc>
        <w:tc>
          <w:tcPr>
            <w:tcW w:w="0" w:type="auto"/>
            <w:tcBorders>
              <w:tl2br w:val="nil"/>
              <w:tr2bl w:val="nil"/>
            </w:tcBorders>
            <w:shd w:val="clear" w:color="auto" w:fill="auto"/>
            <w:vAlign w:val="center"/>
          </w:tcPr>
          <w:p w14:paraId="21044C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5DD3A0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A2790E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482FA8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镉</w:t>
            </w:r>
          </w:p>
        </w:tc>
        <w:tc>
          <w:tcPr>
            <w:tcW w:w="0" w:type="auto"/>
            <w:tcBorders>
              <w:tl2br w:val="nil"/>
              <w:tr2bl w:val="nil"/>
            </w:tcBorders>
            <w:shd w:val="clear" w:color="auto" w:fill="auto"/>
            <w:vAlign w:val="center"/>
          </w:tcPr>
          <w:p w14:paraId="626E8F3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26351AB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0.00005L</w:t>
            </w:r>
          </w:p>
        </w:tc>
        <w:tc>
          <w:tcPr>
            <w:tcW w:w="0" w:type="auto"/>
            <w:tcBorders>
              <w:tl2br w:val="nil"/>
              <w:tr2bl w:val="nil"/>
            </w:tcBorders>
            <w:shd w:val="clear" w:color="auto" w:fill="auto"/>
            <w:vAlign w:val="center"/>
          </w:tcPr>
          <w:p w14:paraId="2EA5B95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≤0.005</w:t>
            </w:r>
          </w:p>
        </w:tc>
      </w:tr>
      <w:tr w14:paraId="108442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110FA5B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1570F02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铁</w:t>
            </w:r>
          </w:p>
        </w:tc>
        <w:tc>
          <w:tcPr>
            <w:tcW w:w="0" w:type="auto"/>
            <w:tcBorders>
              <w:tl2br w:val="nil"/>
              <w:tr2bl w:val="nil"/>
            </w:tcBorders>
            <w:shd w:val="clear" w:color="auto" w:fill="auto"/>
            <w:vAlign w:val="center"/>
          </w:tcPr>
          <w:p w14:paraId="11892AF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0FA29EC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0.912</w:t>
            </w:r>
          </w:p>
        </w:tc>
        <w:tc>
          <w:tcPr>
            <w:tcW w:w="0" w:type="auto"/>
            <w:tcBorders>
              <w:tl2br w:val="nil"/>
              <w:tr2bl w:val="nil"/>
            </w:tcBorders>
            <w:shd w:val="clear" w:color="auto" w:fill="auto"/>
            <w:vAlign w:val="center"/>
          </w:tcPr>
          <w:p w14:paraId="652F2E9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≤0.3</w:t>
            </w:r>
          </w:p>
        </w:tc>
      </w:tr>
      <w:tr w14:paraId="4FBAA7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29BD3CC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8B58E6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锰</w:t>
            </w:r>
          </w:p>
        </w:tc>
        <w:tc>
          <w:tcPr>
            <w:tcW w:w="0" w:type="auto"/>
            <w:tcBorders>
              <w:tl2br w:val="nil"/>
              <w:tr2bl w:val="nil"/>
            </w:tcBorders>
            <w:shd w:val="clear" w:color="auto" w:fill="auto"/>
            <w:vAlign w:val="center"/>
          </w:tcPr>
          <w:p w14:paraId="793CC75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288AAC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0.554</w:t>
            </w:r>
          </w:p>
        </w:tc>
        <w:tc>
          <w:tcPr>
            <w:tcW w:w="0" w:type="auto"/>
            <w:tcBorders>
              <w:tl2br w:val="nil"/>
              <w:tr2bl w:val="nil"/>
            </w:tcBorders>
            <w:shd w:val="clear" w:color="auto" w:fill="auto"/>
            <w:vAlign w:val="center"/>
          </w:tcPr>
          <w:p w14:paraId="61F95AE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≤0.10</w:t>
            </w:r>
          </w:p>
        </w:tc>
      </w:tr>
      <w:tr w14:paraId="29926FF0">
        <w:tblPrEx>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6D7B97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1092C09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溶解性总固体</w:t>
            </w:r>
          </w:p>
        </w:tc>
        <w:tc>
          <w:tcPr>
            <w:tcW w:w="0" w:type="auto"/>
            <w:tcBorders>
              <w:tl2br w:val="nil"/>
              <w:tr2bl w:val="nil"/>
            </w:tcBorders>
            <w:shd w:val="clear" w:color="auto" w:fill="auto"/>
            <w:vAlign w:val="center"/>
          </w:tcPr>
          <w:p w14:paraId="037CCB9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60A353E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256</w:t>
            </w:r>
          </w:p>
        </w:tc>
        <w:tc>
          <w:tcPr>
            <w:tcW w:w="0" w:type="auto"/>
            <w:tcBorders>
              <w:tl2br w:val="nil"/>
              <w:tr2bl w:val="nil"/>
            </w:tcBorders>
            <w:shd w:val="clear" w:color="auto" w:fill="auto"/>
            <w:vAlign w:val="center"/>
          </w:tcPr>
          <w:p w14:paraId="50360BD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≤1000</w:t>
            </w:r>
          </w:p>
        </w:tc>
      </w:tr>
      <w:tr w14:paraId="75309F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60F67D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1D53506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耗氧量</w:t>
            </w:r>
          </w:p>
        </w:tc>
        <w:tc>
          <w:tcPr>
            <w:tcW w:w="0" w:type="auto"/>
            <w:tcBorders>
              <w:tl2br w:val="nil"/>
              <w:tr2bl w:val="nil"/>
            </w:tcBorders>
            <w:shd w:val="clear" w:color="auto" w:fill="auto"/>
            <w:vAlign w:val="center"/>
          </w:tcPr>
          <w:p w14:paraId="6187A9A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031E7C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w:t>
            </w:r>
          </w:p>
        </w:tc>
        <w:tc>
          <w:tcPr>
            <w:tcW w:w="0" w:type="auto"/>
            <w:tcBorders>
              <w:tl2br w:val="nil"/>
              <w:tr2bl w:val="nil"/>
            </w:tcBorders>
            <w:shd w:val="clear" w:color="auto" w:fill="auto"/>
            <w:vAlign w:val="center"/>
          </w:tcPr>
          <w:p w14:paraId="1D637C2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≤3.0</w:t>
            </w:r>
          </w:p>
        </w:tc>
      </w:tr>
      <w:tr w14:paraId="555846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F7BFD1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48EA88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硫酸盐</w:t>
            </w:r>
          </w:p>
        </w:tc>
        <w:tc>
          <w:tcPr>
            <w:tcW w:w="0" w:type="auto"/>
            <w:tcBorders>
              <w:tl2br w:val="nil"/>
              <w:tr2bl w:val="nil"/>
            </w:tcBorders>
            <w:shd w:val="clear" w:color="auto" w:fill="auto"/>
            <w:vAlign w:val="center"/>
          </w:tcPr>
          <w:p w14:paraId="514D8B9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2F66EFA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8L</w:t>
            </w:r>
          </w:p>
        </w:tc>
        <w:tc>
          <w:tcPr>
            <w:tcW w:w="0" w:type="auto"/>
            <w:tcBorders>
              <w:tl2br w:val="nil"/>
              <w:tr2bl w:val="nil"/>
            </w:tcBorders>
            <w:shd w:val="clear" w:color="auto" w:fill="auto"/>
            <w:vAlign w:val="center"/>
          </w:tcPr>
          <w:p w14:paraId="6396C8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2119F9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0A55447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5551BD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氯化物</w:t>
            </w:r>
          </w:p>
        </w:tc>
        <w:tc>
          <w:tcPr>
            <w:tcW w:w="0" w:type="auto"/>
            <w:tcBorders>
              <w:tl2br w:val="nil"/>
              <w:tr2bl w:val="nil"/>
            </w:tcBorders>
            <w:shd w:val="clear" w:color="auto" w:fill="auto"/>
            <w:vAlign w:val="center"/>
          </w:tcPr>
          <w:p w14:paraId="40CCD6C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7C93051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10L</w:t>
            </w:r>
          </w:p>
        </w:tc>
        <w:tc>
          <w:tcPr>
            <w:tcW w:w="0" w:type="auto"/>
            <w:tcBorders>
              <w:tl2br w:val="nil"/>
              <w:tr2bl w:val="nil"/>
            </w:tcBorders>
            <w:shd w:val="clear" w:color="auto" w:fill="auto"/>
            <w:vAlign w:val="center"/>
          </w:tcPr>
          <w:p w14:paraId="7823122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7FCF5C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B0C3FB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16288EC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总大肠菌群</w:t>
            </w:r>
          </w:p>
        </w:tc>
        <w:tc>
          <w:tcPr>
            <w:tcW w:w="0" w:type="auto"/>
            <w:tcBorders>
              <w:tl2br w:val="nil"/>
              <w:tr2bl w:val="nil"/>
            </w:tcBorders>
            <w:shd w:val="clear" w:color="auto" w:fill="auto"/>
            <w:vAlign w:val="center"/>
          </w:tcPr>
          <w:p w14:paraId="47FD5A0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MPN/100mL</w:t>
            </w:r>
          </w:p>
        </w:tc>
        <w:tc>
          <w:tcPr>
            <w:tcW w:w="0" w:type="auto"/>
            <w:tcBorders>
              <w:tl2br w:val="nil"/>
              <w:tr2bl w:val="nil"/>
            </w:tcBorders>
            <w:shd w:val="clear" w:color="auto" w:fill="auto"/>
            <w:vAlign w:val="center"/>
          </w:tcPr>
          <w:p w14:paraId="696BD65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未检出</w:t>
            </w:r>
          </w:p>
        </w:tc>
        <w:tc>
          <w:tcPr>
            <w:tcW w:w="0" w:type="auto"/>
            <w:tcBorders>
              <w:tl2br w:val="nil"/>
              <w:tr2bl w:val="nil"/>
            </w:tcBorders>
            <w:shd w:val="clear" w:color="auto" w:fill="auto"/>
            <w:vAlign w:val="center"/>
          </w:tcPr>
          <w:p w14:paraId="3B963EA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≤3.0</w:t>
            </w:r>
          </w:p>
        </w:tc>
      </w:tr>
      <w:tr w14:paraId="27960A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35D0746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2717360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菌落总数</w:t>
            </w:r>
          </w:p>
        </w:tc>
        <w:tc>
          <w:tcPr>
            <w:tcW w:w="0" w:type="auto"/>
            <w:tcBorders>
              <w:tl2br w:val="nil"/>
              <w:tr2bl w:val="nil"/>
            </w:tcBorders>
            <w:shd w:val="clear" w:color="auto" w:fill="auto"/>
            <w:vAlign w:val="center"/>
          </w:tcPr>
          <w:p w14:paraId="3735ECA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CFU/mL</w:t>
            </w:r>
          </w:p>
        </w:tc>
        <w:tc>
          <w:tcPr>
            <w:tcW w:w="0" w:type="auto"/>
            <w:tcBorders>
              <w:tl2br w:val="nil"/>
              <w:tr2bl w:val="nil"/>
            </w:tcBorders>
            <w:shd w:val="clear" w:color="auto" w:fill="auto"/>
            <w:vAlign w:val="center"/>
          </w:tcPr>
          <w:p w14:paraId="3FD606E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50</w:t>
            </w:r>
          </w:p>
        </w:tc>
        <w:tc>
          <w:tcPr>
            <w:tcW w:w="0" w:type="auto"/>
            <w:tcBorders>
              <w:tl2br w:val="nil"/>
              <w:tr2bl w:val="nil"/>
            </w:tcBorders>
            <w:shd w:val="clear" w:color="auto" w:fill="auto"/>
            <w:vAlign w:val="center"/>
          </w:tcPr>
          <w:p w14:paraId="2DDC269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6960F9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5F69390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6FF5F03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铬</w:t>
            </w:r>
          </w:p>
        </w:tc>
        <w:tc>
          <w:tcPr>
            <w:tcW w:w="0" w:type="auto"/>
            <w:tcBorders>
              <w:tl2br w:val="nil"/>
              <w:tr2bl w:val="nil"/>
            </w:tcBorders>
            <w:shd w:val="clear" w:color="auto" w:fill="auto"/>
            <w:vAlign w:val="center"/>
          </w:tcPr>
          <w:p w14:paraId="714B7DD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535CD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0.00011L</w:t>
            </w:r>
          </w:p>
        </w:tc>
        <w:tc>
          <w:tcPr>
            <w:tcW w:w="0" w:type="auto"/>
            <w:tcBorders>
              <w:tl2br w:val="nil"/>
              <w:tr2bl w:val="nil"/>
            </w:tcBorders>
            <w:shd w:val="clear" w:color="auto" w:fill="auto"/>
            <w:vAlign w:val="center"/>
          </w:tcPr>
          <w:p w14:paraId="6D2249F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05B4AF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37ED00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0F7A975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镍</w:t>
            </w:r>
          </w:p>
        </w:tc>
        <w:tc>
          <w:tcPr>
            <w:tcW w:w="0" w:type="auto"/>
            <w:tcBorders>
              <w:tl2br w:val="nil"/>
              <w:tr2bl w:val="nil"/>
            </w:tcBorders>
            <w:shd w:val="clear" w:color="auto" w:fill="auto"/>
            <w:vAlign w:val="center"/>
          </w:tcPr>
          <w:p w14:paraId="54790F6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5C3D6AC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0.00006L</w:t>
            </w:r>
          </w:p>
        </w:tc>
        <w:tc>
          <w:tcPr>
            <w:tcW w:w="0" w:type="auto"/>
            <w:tcBorders>
              <w:tl2br w:val="nil"/>
              <w:tr2bl w:val="nil"/>
            </w:tcBorders>
            <w:shd w:val="clear" w:color="auto" w:fill="auto"/>
            <w:vAlign w:val="center"/>
          </w:tcPr>
          <w:p w14:paraId="78FEE46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≤0.02</w:t>
            </w:r>
          </w:p>
        </w:tc>
      </w:tr>
      <w:tr w14:paraId="5563E8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4E6121A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63A953A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铜</w:t>
            </w:r>
          </w:p>
        </w:tc>
        <w:tc>
          <w:tcPr>
            <w:tcW w:w="0" w:type="auto"/>
            <w:tcBorders>
              <w:tl2br w:val="nil"/>
              <w:tr2bl w:val="nil"/>
            </w:tcBorders>
            <w:shd w:val="clear" w:color="auto" w:fill="auto"/>
            <w:vAlign w:val="center"/>
          </w:tcPr>
          <w:p w14:paraId="6FC209B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6467C7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0.00017</w:t>
            </w:r>
          </w:p>
        </w:tc>
        <w:tc>
          <w:tcPr>
            <w:tcW w:w="0" w:type="auto"/>
            <w:tcBorders>
              <w:tl2br w:val="nil"/>
              <w:tr2bl w:val="nil"/>
            </w:tcBorders>
            <w:shd w:val="clear" w:color="auto" w:fill="auto"/>
            <w:vAlign w:val="center"/>
          </w:tcPr>
          <w:p w14:paraId="3528BF5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2DAA26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751D502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61C8905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锌</w:t>
            </w:r>
          </w:p>
        </w:tc>
        <w:tc>
          <w:tcPr>
            <w:tcW w:w="0" w:type="auto"/>
            <w:tcBorders>
              <w:tl2br w:val="nil"/>
              <w:tr2bl w:val="nil"/>
            </w:tcBorders>
            <w:shd w:val="clear" w:color="auto" w:fill="auto"/>
            <w:vAlign w:val="center"/>
          </w:tcPr>
          <w:p w14:paraId="264106D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mg/L</w:t>
            </w:r>
          </w:p>
        </w:tc>
        <w:tc>
          <w:tcPr>
            <w:tcW w:w="0" w:type="auto"/>
            <w:tcBorders>
              <w:tl2br w:val="nil"/>
              <w:tr2bl w:val="nil"/>
            </w:tcBorders>
            <w:shd w:val="clear" w:color="auto" w:fill="auto"/>
            <w:vAlign w:val="center"/>
          </w:tcPr>
          <w:p w14:paraId="1317E3B7">
            <w:pPr>
              <w:spacing w:line="240" w:lineRule="auto"/>
              <w:ind w:firstLine="420" w:firstLineChars="200"/>
              <w:rPr>
                <w:rFonts w:ascii="Times New Roman" w:hAnsi="Times New Roman" w:eastAsia="宋体" w:cs="Times New Roman"/>
                <w:kern w:val="2"/>
                <w:sz w:val="21"/>
                <w:szCs w:val="21"/>
                <w:lang w:val="en-US" w:eastAsia="zh-CN" w:bidi="ar-SA"/>
              </w:rPr>
            </w:pPr>
            <w:r>
              <w:t>0.00494</w:t>
            </w:r>
          </w:p>
        </w:tc>
        <w:tc>
          <w:tcPr>
            <w:tcW w:w="0" w:type="auto"/>
            <w:tcBorders>
              <w:tl2br w:val="nil"/>
              <w:tr2bl w:val="nil"/>
            </w:tcBorders>
            <w:shd w:val="clear" w:color="auto" w:fill="auto"/>
            <w:vAlign w:val="center"/>
          </w:tcPr>
          <w:p w14:paraId="28A7D9A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≤1.00</w:t>
            </w:r>
          </w:p>
        </w:tc>
      </w:tr>
      <w:tr w14:paraId="00EA81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0D1E01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7534020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钾</w:t>
            </w:r>
          </w:p>
        </w:tc>
        <w:tc>
          <w:tcPr>
            <w:tcW w:w="0" w:type="auto"/>
            <w:tcBorders>
              <w:tl2br w:val="nil"/>
              <w:tr2bl w:val="nil"/>
            </w:tcBorders>
            <w:shd w:val="clear" w:color="auto" w:fill="auto"/>
            <w:vAlign w:val="center"/>
          </w:tcPr>
          <w:p w14:paraId="4E5B810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744EA7D7">
            <w:pPr>
              <w:spacing w:line="240" w:lineRule="auto"/>
              <w:ind w:firstLine="420" w:firstLineChars="200"/>
              <w:rPr>
                <w:rFonts w:ascii="Times New Roman" w:hAnsi="Times New Roman" w:eastAsia="宋体" w:cs="Times New Roman"/>
                <w:kern w:val="2"/>
                <w:sz w:val="21"/>
                <w:szCs w:val="21"/>
                <w:lang w:val="en-US" w:eastAsia="zh-CN" w:bidi="ar-SA"/>
              </w:rPr>
            </w:pPr>
            <w:r>
              <w:t>0.76</w:t>
            </w:r>
          </w:p>
        </w:tc>
        <w:tc>
          <w:tcPr>
            <w:tcW w:w="0" w:type="auto"/>
            <w:tcBorders>
              <w:tl2br w:val="nil"/>
              <w:tr2bl w:val="nil"/>
            </w:tcBorders>
            <w:shd w:val="clear" w:color="auto" w:fill="auto"/>
            <w:vAlign w:val="center"/>
          </w:tcPr>
          <w:p w14:paraId="5398D92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w:t>
            </w:r>
          </w:p>
        </w:tc>
      </w:tr>
      <w:tr w14:paraId="524A3D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585682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472F4D2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钠</w:t>
            </w:r>
          </w:p>
        </w:tc>
        <w:tc>
          <w:tcPr>
            <w:tcW w:w="0" w:type="auto"/>
            <w:tcBorders>
              <w:tl2br w:val="nil"/>
              <w:tr2bl w:val="nil"/>
            </w:tcBorders>
            <w:shd w:val="clear" w:color="auto" w:fill="auto"/>
            <w:vAlign w:val="center"/>
          </w:tcPr>
          <w:p w14:paraId="2D369E9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F6338D2">
            <w:pPr>
              <w:spacing w:line="240" w:lineRule="auto"/>
              <w:ind w:firstLine="420" w:firstLineChars="200"/>
              <w:rPr>
                <w:rFonts w:ascii="Times New Roman" w:hAnsi="Times New Roman" w:eastAsia="宋体" w:cs="Times New Roman"/>
                <w:kern w:val="2"/>
                <w:sz w:val="21"/>
                <w:szCs w:val="21"/>
                <w:lang w:val="en-US" w:eastAsia="zh-CN" w:bidi="ar-SA"/>
              </w:rPr>
            </w:pPr>
            <w:r>
              <w:t>2.61</w:t>
            </w:r>
          </w:p>
        </w:tc>
        <w:tc>
          <w:tcPr>
            <w:tcW w:w="0" w:type="auto"/>
            <w:tcBorders>
              <w:tl2br w:val="nil"/>
              <w:tr2bl w:val="nil"/>
            </w:tcBorders>
            <w:shd w:val="clear" w:color="auto" w:fill="auto"/>
            <w:vAlign w:val="center"/>
          </w:tcPr>
          <w:p w14:paraId="146571B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≤200</w:t>
            </w:r>
          </w:p>
        </w:tc>
      </w:tr>
      <w:tr w14:paraId="4CA8CF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AD4AE5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6AABB9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氯离子</w:t>
            </w:r>
          </w:p>
        </w:tc>
        <w:tc>
          <w:tcPr>
            <w:tcW w:w="0" w:type="auto"/>
            <w:tcBorders>
              <w:tl2br w:val="nil"/>
              <w:tr2bl w:val="nil"/>
            </w:tcBorders>
            <w:shd w:val="clear" w:color="auto" w:fill="auto"/>
            <w:vAlign w:val="center"/>
          </w:tcPr>
          <w:p w14:paraId="0B056A2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1FD7A879">
            <w:pPr>
              <w:spacing w:line="240" w:lineRule="auto"/>
              <w:ind w:firstLine="420" w:firstLineChars="200"/>
              <w:rPr>
                <w:rFonts w:ascii="Times New Roman" w:hAnsi="Times New Roman" w:eastAsia="宋体" w:cs="Times New Roman"/>
                <w:kern w:val="2"/>
                <w:sz w:val="21"/>
                <w:szCs w:val="21"/>
                <w:lang w:val="en-US" w:eastAsia="zh-CN" w:bidi="ar-SA"/>
              </w:rPr>
            </w:pPr>
            <w:r>
              <w:t>1.85</w:t>
            </w:r>
          </w:p>
        </w:tc>
        <w:tc>
          <w:tcPr>
            <w:tcW w:w="0" w:type="auto"/>
            <w:tcBorders>
              <w:tl2br w:val="nil"/>
              <w:tr2bl w:val="nil"/>
            </w:tcBorders>
            <w:shd w:val="clear" w:color="auto" w:fill="auto"/>
            <w:vAlign w:val="center"/>
          </w:tcPr>
          <w:p w14:paraId="43931F8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096E7F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14:paraId="633E739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p>
        </w:tc>
        <w:tc>
          <w:tcPr>
            <w:tcW w:w="0" w:type="auto"/>
            <w:tcBorders>
              <w:tl2br w:val="nil"/>
              <w:tr2bl w:val="nil"/>
            </w:tcBorders>
            <w:shd w:val="clear" w:color="auto" w:fill="auto"/>
            <w:vAlign w:val="center"/>
          </w:tcPr>
          <w:p w14:paraId="3A7E0E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heme="minorBidi"/>
                <w:color w:val="auto"/>
                <w:kern w:val="2"/>
                <w:sz w:val="24"/>
                <w:szCs w:val="24"/>
                <w:lang w:val="en-US" w:eastAsia="zh-CN" w:bidi="ar-SA"/>
              </w:rPr>
            </w:pPr>
            <w:r>
              <w:t>硫酸根离子</w:t>
            </w:r>
          </w:p>
        </w:tc>
        <w:tc>
          <w:tcPr>
            <w:tcW w:w="0" w:type="auto"/>
            <w:tcBorders>
              <w:tl2br w:val="nil"/>
              <w:tr2bl w:val="nil"/>
            </w:tcBorders>
            <w:shd w:val="clear" w:color="auto" w:fill="auto"/>
            <w:vAlign w:val="center"/>
          </w:tcPr>
          <w:p w14:paraId="7C86DD4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mg/L</w:t>
            </w:r>
          </w:p>
        </w:tc>
        <w:tc>
          <w:tcPr>
            <w:tcW w:w="0" w:type="auto"/>
            <w:tcBorders>
              <w:tl2br w:val="nil"/>
              <w:tr2bl w:val="nil"/>
            </w:tcBorders>
            <w:shd w:val="clear" w:color="auto" w:fill="auto"/>
            <w:vAlign w:val="center"/>
          </w:tcPr>
          <w:p w14:paraId="4D51A359">
            <w:pPr>
              <w:spacing w:line="240" w:lineRule="auto"/>
              <w:ind w:firstLine="420" w:firstLineChars="200"/>
              <w:rPr>
                <w:rFonts w:ascii="Times New Roman" w:hAnsi="Times New Roman" w:eastAsia="宋体" w:cs="Times New Roman"/>
                <w:kern w:val="2"/>
                <w:sz w:val="21"/>
                <w:szCs w:val="21"/>
                <w:lang w:val="en-US" w:eastAsia="zh-CN" w:bidi="ar-SA"/>
              </w:rPr>
            </w:pPr>
            <w:r>
              <w:t>1.85</w:t>
            </w:r>
          </w:p>
        </w:tc>
        <w:tc>
          <w:tcPr>
            <w:tcW w:w="0" w:type="auto"/>
            <w:tcBorders>
              <w:tl2br w:val="nil"/>
              <w:tr2bl w:val="nil"/>
            </w:tcBorders>
            <w:shd w:val="clear" w:color="auto" w:fill="auto"/>
            <w:vAlign w:val="center"/>
          </w:tcPr>
          <w:p w14:paraId="4E9A5FB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Theme="minorEastAsia" w:cstheme="minorBidi"/>
                <w:color w:val="auto"/>
                <w:kern w:val="2"/>
                <w:sz w:val="24"/>
                <w:szCs w:val="24"/>
                <w:lang w:val="en-US" w:eastAsia="zh-CN" w:bidi="ar-SA"/>
              </w:rPr>
            </w:pPr>
            <w:r>
              <w:t>≤250</w:t>
            </w:r>
          </w:p>
        </w:tc>
      </w:tr>
      <w:tr w14:paraId="15A729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gridSpan w:val="5"/>
            <w:tcBorders>
              <w:tl2br w:val="nil"/>
              <w:tr2bl w:val="nil"/>
            </w:tcBorders>
            <w:vAlign w:val="center"/>
          </w:tcPr>
          <w:p w14:paraId="0BAC209E">
            <w:pPr>
              <w:pStyle w:val="197"/>
              <w:spacing w:before="83" w:line="240" w:lineRule="auto"/>
              <w:ind w:left="0" w:leftChars="0" w:firstLine="0" w:firstLineChars="0"/>
              <w:rPr>
                <w:spacing w:val="7"/>
              </w:rPr>
            </w:pPr>
            <w:r>
              <w:rPr>
                <w:spacing w:val="8"/>
              </w:rPr>
              <w:t>备注：</w:t>
            </w:r>
            <w:r>
              <w:rPr>
                <w:rFonts w:ascii="Times New Roman" w:hAnsi="Times New Roman" w:eastAsia="Times New Roman" w:cs="Times New Roman"/>
                <w:spacing w:val="8"/>
              </w:rPr>
              <w:t>1</w:t>
            </w:r>
            <w:r>
              <w:rPr>
                <w:spacing w:val="8"/>
              </w:rPr>
              <w:t>、</w:t>
            </w:r>
            <w:r>
              <w:rPr>
                <w:rFonts w:ascii="Times New Roman" w:hAnsi="Times New Roman" w:eastAsia="Times New Roman" w:cs="Times New Roman"/>
                <w:spacing w:val="8"/>
              </w:rPr>
              <w:t>“</w:t>
            </w:r>
            <w:r>
              <w:rPr>
                <w:spacing w:val="8"/>
              </w:rPr>
              <w:t>检出限</w:t>
            </w:r>
            <w:r>
              <w:rPr>
                <w:rFonts w:ascii="Times New Roman" w:hAnsi="Times New Roman" w:eastAsia="Times New Roman" w:cs="Times New Roman"/>
                <w:spacing w:val="8"/>
              </w:rPr>
              <w:t>+L”</w:t>
            </w:r>
            <w:r>
              <w:rPr>
                <w:spacing w:val="8"/>
              </w:rPr>
              <w:t>表示检测结果低于本</w:t>
            </w:r>
            <w:r>
              <w:rPr>
                <w:spacing w:val="7"/>
              </w:rPr>
              <w:t>方法检出限，未检出；</w:t>
            </w:r>
          </w:p>
          <w:p w14:paraId="3F9A754B">
            <w:pPr>
              <w:pStyle w:val="197"/>
              <w:spacing w:before="83" w:line="240" w:lineRule="auto"/>
              <w:ind w:left="0" w:leftChars="0" w:firstLine="660" w:firstLineChars="300"/>
            </w:pPr>
            <w:r>
              <w:rPr>
                <w:rFonts w:ascii="Times New Roman" w:hAnsi="Times New Roman" w:eastAsia="Times New Roman" w:cs="Times New Roman"/>
                <w:spacing w:val="5"/>
              </w:rPr>
              <w:t>2</w:t>
            </w:r>
            <w:r>
              <w:rPr>
                <w:spacing w:val="5"/>
              </w:rPr>
              <w:t>、执行《地下水质量标准》（</w:t>
            </w:r>
            <w:r>
              <w:rPr>
                <w:rFonts w:ascii="Times New Roman" w:hAnsi="Times New Roman" w:eastAsia="Times New Roman" w:cs="Times New Roman"/>
              </w:rPr>
              <w:t>GB</w:t>
            </w:r>
            <w:r>
              <w:rPr>
                <w:rFonts w:ascii="Times New Roman" w:hAnsi="Times New Roman" w:eastAsia="Times New Roman" w:cs="Times New Roman"/>
                <w:spacing w:val="5"/>
              </w:rPr>
              <w:t>/T</w:t>
            </w:r>
            <w:r>
              <w:rPr>
                <w:rFonts w:ascii="Times New Roman" w:hAnsi="Times New Roman" w:eastAsia="Times New Roman" w:cs="Times New Roman"/>
                <w:spacing w:val="27"/>
              </w:rPr>
              <w:t xml:space="preserve"> </w:t>
            </w:r>
            <w:r>
              <w:rPr>
                <w:rFonts w:ascii="Times New Roman" w:hAnsi="Times New Roman" w:eastAsia="Times New Roman" w:cs="Times New Roman"/>
                <w:spacing w:val="5"/>
              </w:rPr>
              <w:t>14848-20</w:t>
            </w:r>
            <w:r>
              <w:rPr>
                <w:rFonts w:ascii="Times New Roman" w:hAnsi="Times New Roman" w:eastAsia="Times New Roman" w:cs="Times New Roman"/>
                <w:spacing w:val="4"/>
              </w:rPr>
              <w:t>17</w:t>
            </w:r>
            <w:r>
              <w:rPr>
                <w:spacing w:val="4"/>
              </w:rPr>
              <w:t>）表</w:t>
            </w:r>
            <w:r>
              <w:rPr>
                <w:rFonts w:ascii="Times New Roman" w:hAnsi="Times New Roman" w:eastAsia="Times New Roman" w:cs="Times New Roman"/>
                <w:spacing w:val="4"/>
              </w:rPr>
              <w:t>1</w:t>
            </w:r>
            <w:r>
              <w:rPr>
                <w:spacing w:val="4"/>
              </w:rPr>
              <w:t>中</w:t>
            </w:r>
            <w:r>
              <w:rPr>
                <w:rFonts w:ascii="Times New Roman" w:hAnsi="Times New Roman" w:eastAsia="Times New Roman" w:cs="Times New Roman"/>
                <w:spacing w:val="4"/>
              </w:rPr>
              <w:t>Ⅲ</w:t>
            </w:r>
            <w:r>
              <w:rPr>
                <w:spacing w:val="4"/>
              </w:rPr>
              <w:t>类标准。</w:t>
            </w:r>
          </w:p>
        </w:tc>
      </w:tr>
    </w:tbl>
    <w:p w14:paraId="1B0F5A91">
      <w:pPr>
        <w:spacing w:before="47" w:line="212" w:lineRule="auto"/>
        <w:ind w:left="2006"/>
        <w:rPr>
          <w:rFonts w:ascii="Times New Roman" w:hAnsi="Times New Roman" w:eastAsia="Times New Roman" w:cs="Times New Roman"/>
          <w:sz w:val="21"/>
          <w:szCs w:val="21"/>
        </w:rPr>
      </w:pPr>
      <w:r>
        <w:rPr>
          <w:rFonts w:ascii="宋体" w:hAnsi="宋体" w:eastAsia="宋体" w:cs="宋体"/>
          <w:b/>
          <w:bCs/>
          <w:spacing w:val="-1"/>
          <w:sz w:val="21"/>
          <w:szCs w:val="21"/>
        </w:rPr>
        <w:t>表</w:t>
      </w:r>
      <w:r>
        <w:rPr>
          <w:rFonts w:ascii="Times New Roman" w:hAnsi="Times New Roman" w:eastAsia="Times New Roman" w:cs="Times New Roman"/>
          <w:b/>
          <w:bCs/>
          <w:spacing w:val="-1"/>
          <w:sz w:val="21"/>
          <w:szCs w:val="21"/>
        </w:rPr>
        <w:t xml:space="preserve">4.2-7  </w:t>
      </w:r>
      <w:r>
        <w:rPr>
          <w:rFonts w:ascii="宋体" w:hAnsi="宋体" w:eastAsia="宋体" w:cs="宋体"/>
          <w:b/>
          <w:bCs/>
          <w:spacing w:val="-1"/>
          <w:sz w:val="21"/>
          <w:szCs w:val="21"/>
        </w:rPr>
        <w:t>地下水环境质量监测结果</w:t>
      </w:r>
      <w:r>
        <w:rPr>
          <w:rFonts w:ascii="宋体" w:hAnsi="宋体" w:eastAsia="宋体" w:cs="宋体"/>
          <w:spacing w:val="-1"/>
          <w:sz w:val="21"/>
          <w:szCs w:val="21"/>
        </w:rPr>
        <w:t xml:space="preserve"> </w:t>
      </w:r>
      <w:r>
        <w:rPr>
          <w:rFonts w:ascii="宋体" w:hAnsi="宋体" w:eastAsia="宋体" w:cs="宋体"/>
          <w:spacing w:val="-2"/>
          <w:sz w:val="21"/>
          <w:szCs w:val="21"/>
        </w:rPr>
        <w:t xml:space="preserve">  </w:t>
      </w:r>
      <w:r>
        <w:rPr>
          <w:rFonts w:ascii="宋体" w:hAnsi="宋体" w:eastAsia="宋体" w:cs="宋体"/>
          <w:b/>
          <w:bCs/>
          <w:spacing w:val="-2"/>
          <w:sz w:val="21"/>
          <w:szCs w:val="21"/>
        </w:rPr>
        <w:t>单位：</w:t>
      </w:r>
      <w:r>
        <w:rPr>
          <w:rFonts w:ascii="Times New Roman" w:hAnsi="Times New Roman" w:eastAsia="Times New Roman" w:cs="Times New Roman"/>
          <w:b/>
          <w:bCs/>
          <w:spacing w:val="-2"/>
          <w:sz w:val="21"/>
          <w:szCs w:val="21"/>
        </w:rPr>
        <w:t>mg/L</w:t>
      </w:r>
    </w:p>
    <w:tbl>
      <w:tblPr>
        <w:tblStyle w:val="46"/>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53"/>
        <w:gridCol w:w="1634"/>
        <w:gridCol w:w="1635"/>
        <w:gridCol w:w="1635"/>
        <w:gridCol w:w="1635"/>
      </w:tblGrid>
      <w:tr w14:paraId="4DA7C1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tcBorders>
              <w:tl2br w:val="nil"/>
              <w:tr2bl w:val="nil"/>
            </w:tcBorders>
            <w:tcMar>
              <w:left w:w="108" w:type="dxa"/>
              <w:right w:w="108" w:type="dxa"/>
            </w:tcMar>
            <w:vAlign w:val="center"/>
          </w:tcPr>
          <w:p w14:paraId="5D5786B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采样点位</w:t>
            </w:r>
          </w:p>
        </w:tc>
        <w:tc>
          <w:tcPr>
            <w:tcW w:w="0" w:type="auto"/>
            <w:tcBorders>
              <w:tl2br w:val="nil"/>
              <w:tr2bl w:val="nil"/>
            </w:tcBorders>
            <w:tcMar>
              <w:left w:w="108" w:type="dxa"/>
              <w:right w:w="108" w:type="dxa"/>
            </w:tcMar>
            <w:vAlign w:val="center"/>
          </w:tcPr>
          <w:p w14:paraId="1B75EE2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检测项目</w:t>
            </w:r>
          </w:p>
        </w:tc>
        <w:tc>
          <w:tcPr>
            <w:tcW w:w="0" w:type="auto"/>
            <w:tcBorders>
              <w:tl2br w:val="nil"/>
              <w:tr2bl w:val="nil"/>
            </w:tcBorders>
            <w:tcMar>
              <w:left w:w="108" w:type="dxa"/>
              <w:right w:w="108" w:type="dxa"/>
            </w:tcMar>
            <w:vAlign w:val="center"/>
          </w:tcPr>
          <w:p w14:paraId="47C9A0B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计量单位</w:t>
            </w:r>
          </w:p>
        </w:tc>
        <w:tc>
          <w:tcPr>
            <w:tcW w:w="0" w:type="auto"/>
            <w:tcBorders>
              <w:tl2br w:val="nil"/>
              <w:tr2bl w:val="nil"/>
            </w:tcBorders>
            <w:tcMar>
              <w:left w:w="108" w:type="dxa"/>
              <w:right w:w="108" w:type="dxa"/>
            </w:tcMar>
            <w:vAlign w:val="center"/>
          </w:tcPr>
          <w:p w14:paraId="71C7C5D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检测结果</w:t>
            </w:r>
          </w:p>
        </w:tc>
        <w:tc>
          <w:tcPr>
            <w:tcW w:w="0" w:type="auto"/>
            <w:tcBorders>
              <w:tl2br w:val="nil"/>
              <w:tr2bl w:val="nil"/>
            </w:tcBorders>
            <w:tcMar>
              <w:left w:w="108" w:type="dxa"/>
              <w:right w:w="108" w:type="dxa"/>
            </w:tcMar>
            <w:vAlign w:val="center"/>
          </w:tcPr>
          <w:p w14:paraId="6C448A9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标准限值</w:t>
            </w:r>
          </w:p>
        </w:tc>
      </w:tr>
      <w:tr w14:paraId="4850B2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vMerge w:val="restart"/>
            <w:tcBorders>
              <w:tl2br w:val="nil"/>
              <w:tr2bl w:val="nil"/>
            </w:tcBorders>
            <w:tcMar>
              <w:left w:w="108" w:type="dxa"/>
              <w:right w:w="108" w:type="dxa"/>
            </w:tcMar>
            <w:vAlign w:val="center"/>
          </w:tcPr>
          <w:p w14:paraId="250E639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D4黄鹤坡居民点</w:t>
            </w:r>
          </w:p>
        </w:tc>
        <w:tc>
          <w:tcPr>
            <w:tcW w:w="0" w:type="auto"/>
            <w:tcBorders>
              <w:tl2br w:val="nil"/>
              <w:tr2bl w:val="nil"/>
            </w:tcBorders>
            <w:tcMar>
              <w:left w:w="108" w:type="dxa"/>
              <w:right w:w="108" w:type="dxa"/>
            </w:tcMar>
            <w:vAlign w:val="center"/>
          </w:tcPr>
          <w:p w14:paraId="335E4DF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水位</w:t>
            </w:r>
          </w:p>
        </w:tc>
        <w:tc>
          <w:tcPr>
            <w:tcW w:w="0" w:type="auto"/>
            <w:tcBorders>
              <w:tl2br w:val="nil"/>
              <w:tr2bl w:val="nil"/>
            </w:tcBorders>
            <w:tcMar>
              <w:left w:w="108" w:type="dxa"/>
              <w:right w:w="108" w:type="dxa"/>
            </w:tcMar>
            <w:vAlign w:val="center"/>
          </w:tcPr>
          <w:p w14:paraId="411C4D5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2E49091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118.00</w:t>
            </w:r>
          </w:p>
        </w:tc>
        <w:tc>
          <w:tcPr>
            <w:tcW w:w="0" w:type="auto"/>
            <w:tcBorders>
              <w:tl2br w:val="nil"/>
              <w:tr2bl w:val="nil"/>
            </w:tcBorders>
            <w:tcMar>
              <w:left w:w="108" w:type="dxa"/>
              <w:right w:w="108" w:type="dxa"/>
            </w:tcMar>
            <w:vAlign w:val="center"/>
          </w:tcPr>
          <w:p w14:paraId="438E84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007166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vMerge w:val="continue"/>
            <w:tcBorders>
              <w:tl2br w:val="nil"/>
              <w:tr2bl w:val="nil"/>
            </w:tcBorders>
            <w:tcMar>
              <w:left w:w="108" w:type="dxa"/>
              <w:right w:w="108" w:type="dxa"/>
            </w:tcMar>
            <w:vAlign w:val="center"/>
          </w:tcPr>
          <w:p w14:paraId="4674508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7490A16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井深</w:t>
            </w:r>
          </w:p>
        </w:tc>
        <w:tc>
          <w:tcPr>
            <w:tcW w:w="0" w:type="auto"/>
            <w:tcBorders>
              <w:tl2br w:val="nil"/>
              <w:tr2bl w:val="nil"/>
            </w:tcBorders>
            <w:tcMar>
              <w:left w:w="108" w:type="dxa"/>
              <w:right w:w="108" w:type="dxa"/>
            </w:tcMar>
            <w:vAlign w:val="center"/>
          </w:tcPr>
          <w:p w14:paraId="0B8827B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3D8656B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8.00</w:t>
            </w:r>
          </w:p>
        </w:tc>
        <w:tc>
          <w:tcPr>
            <w:tcW w:w="0" w:type="auto"/>
            <w:tcBorders>
              <w:tl2br w:val="nil"/>
              <w:tr2bl w:val="nil"/>
            </w:tcBorders>
            <w:tcMar>
              <w:left w:w="108" w:type="dxa"/>
              <w:right w:w="108" w:type="dxa"/>
            </w:tcMar>
            <w:vAlign w:val="center"/>
          </w:tcPr>
          <w:p w14:paraId="4622314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5D0576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vMerge w:val="restart"/>
            <w:tcBorders>
              <w:tl2br w:val="nil"/>
              <w:tr2bl w:val="nil"/>
            </w:tcBorders>
            <w:tcMar>
              <w:left w:w="108" w:type="dxa"/>
              <w:right w:w="108" w:type="dxa"/>
            </w:tcMar>
            <w:vAlign w:val="center"/>
          </w:tcPr>
          <w:p w14:paraId="2490654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D5中新屋居民点</w:t>
            </w:r>
          </w:p>
        </w:tc>
        <w:tc>
          <w:tcPr>
            <w:tcW w:w="0" w:type="auto"/>
            <w:tcBorders>
              <w:tl2br w:val="nil"/>
              <w:tr2bl w:val="nil"/>
            </w:tcBorders>
            <w:tcMar>
              <w:left w:w="108" w:type="dxa"/>
              <w:right w:w="108" w:type="dxa"/>
            </w:tcMar>
            <w:vAlign w:val="center"/>
          </w:tcPr>
          <w:p w14:paraId="1AD3FCD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水位</w:t>
            </w:r>
          </w:p>
        </w:tc>
        <w:tc>
          <w:tcPr>
            <w:tcW w:w="0" w:type="auto"/>
            <w:tcBorders>
              <w:tl2br w:val="nil"/>
              <w:tr2bl w:val="nil"/>
            </w:tcBorders>
            <w:tcMar>
              <w:left w:w="108" w:type="dxa"/>
              <w:right w:w="108" w:type="dxa"/>
            </w:tcMar>
            <w:vAlign w:val="center"/>
          </w:tcPr>
          <w:p w14:paraId="306977D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6C34A4B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106.00</w:t>
            </w:r>
          </w:p>
        </w:tc>
        <w:tc>
          <w:tcPr>
            <w:tcW w:w="0" w:type="auto"/>
            <w:tcBorders>
              <w:tl2br w:val="nil"/>
              <w:tr2bl w:val="nil"/>
            </w:tcBorders>
            <w:tcMar>
              <w:left w:w="108" w:type="dxa"/>
              <w:right w:w="108" w:type="dxa"/>
            </w:tcMar>
            <w:vAlign w:val="center"/>
          </w:tcPr>
          <w:p w14:paraId="45066C4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7062F8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vMerge w:val="continue"/>
            <w:tcBorders>
              <w:tl2br w:val="nil"/>
              <w:tr2bl w:val="nil"/>
            </w:tcBorders>
            <w:tcMar>
              <w:left w:w="108" w:type="dxa"/>
              <w:right w:w="108" w:type="dxa"/>
            </w:tcMar>
            <w:vAlign w:val="center"/>
          </w:tcPr>
          <w:p w14:paraId="470867D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76C5FC7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井深</w:t>
            </w:r>
          </w:p>
        </w:tc>
        <w:tc>
          <w:tcPr>
            <w:tcW w:w="0" w:type="auto"/>
            <w:tcBorders>
              <w:tl2br w:val="nil"/>
              <w:tr2bl w:val="nil"/>
            </w:tcBorders>
            <w:tcMar>
              <w:left w:w="108" w:type="dxa"/>
              <w:right w:w="108" w:type="dxa"/>
            </w:tcMar>
            <w:vAlign w:val="center"/>
          </w:tcPr>
          <w:p w14:paraId="7AFC7DA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26155E6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14.00</w:t>
            </w:r>
          </w:p>
        </w:tc>
        <w:tc>
          <w:tcPr>
            <w:tcW w:w="0" w:type="auto"/>
            <w:tcBorders>
              <w:tl2br w:val="nil"/>
              <w:tr2bl w:val="nil"/>
            </w:tcBorders>
            <w:tcMar>
              <w:left w:w="108" w:type="dxa"/>
              <w:right w:w="108" w:type="dxa"/>
            </w:tcMar>
            <w:vAlign w:val="center"/>
          </w:tcPr>
          <w:p w14:paraId="0ABD9EB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2E7265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vMerge w:val="restart"/>
            <w:tcBorders>
              <w:tl2br w:val="nil"/>
              <w:tr2bl w:val="nil"/>
            </w:tcBorders>
            <w:tcMar>
              <w:left w:w="108" w:type="dxa"/>
              <w:right w:w="108" w:type="dxa"/>
            </w:tcMar>
            <w:vAlign w:val="center"/>
          </w:tcPr>
          <w:p w14:paraId="274E80A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D6万古村居民点</w:t>
            </w:r>
          </w:p>
        </w:tc>
        <w:tc>
          <w:tcPr>
            <w:tcW w:w="0" w:type="auto"/>
            <w:tcBorders>
              <w:tl2br w:val="nil"/>
              <w:tr2bl w:val="nil"/>
            </w:tcBorders>
            <w:tcMar>
              <w:left w:w="108" w:type="dxa"/>
              <w:right w:w="108" w:type="dxa"/>
            </w:tcMar>
            <w:vAlign w:val="center"/>
          </w:tcPr>
          <w:p w14:paraId="69B0C8F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水位</w:t>
            </w:r>
          </w:p>
        </w:tc>
        <w:tc>
          <w:tcPr>
            <w:tcW w:w="0" w:type="auto"/>
            <w:tcBorders>
              <w:tl2br w:val="nil"/>
              <w:tr2bl w:val="nil"/>
            </w:tcBorders>
            <w:tcMar>
              <w:left w:w="108" w:type="dxa"/>
              <w:right w:w="108" w:type="dxa"/>
            </w:tcMar>
            <w:vAlign w:val="center"/>
          </w:tcPr>
          <w:p w14:paraId="0E81D33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1F0BBAC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104.00</w:t>
            </w:r>
          </w:p>
        </w:tc>
        <w:tc>
          <w:tcPr>
            <w:tcW w:w="0" w:type="auto"/>
            <w:tcBorders>
              <w:tl2br w:val="nil"/>
              <w:tr2bl w:val="nil"/>
            </w:tcBorders>
            <w:tcMar>
              <w:left w:w="108" w:type="dxa"/>
              <w:right w:w="108" w:type="dxa"/>
            </w:tcMar>
            <w:vAlign w:val="center"/>
          </w:tcPr>
          <w:p w14:paraId="5C32E88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640428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0" w:type="auto"/>
            <w:vMerge w:val="continue"/>
            <w:tcBorders>
              <w:tl2br w:val="nil"/>
              <w:tr2bl w:val="nil"/>
            </w:tcBorders>
            <w:tcMar>
              <w:left w:w="108" w:type="dxa"/>
              <w:right w:w="108" w:type="dxa"/>
            </w:tcMar>
            <w:vAlign w:val="center"/>
          </w:tcPr>
          <w:p w14:paraId="5230834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0" w:type="auto"/>
            <w:tcBorders>
              <w:tl2br w:val="nil"/>
              <w:tr2bl w:val="nil"/>
            </w:tcBorders>
            <w:tcMar>
              <w:left w:w="108" w:type="dxa"/>
              <w:right w:w="108" w:type="dxa"/>
            </w:tcMar>
            <w:vAlign w:val="center"/>
          </w:tcPr>
          <w:p w14:paraId="657948A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井深</w:t>
            </w:r>
          </w:p>
        </w:tc>
        <w:tc>
          <w:tcPr>
            <w:tcW w:w="0" w:type="auto"/>
            <w:tcBorders>
              <w:tl2br w:val="nil"/>
              <w:tr2bl w:val="nil"/>
            </w:tcBorders>
            <w:tcMar>
              <w:left w:w="108" w:type="dxa"/>
              <w:right w:w="108" w:type="dxa"/>
            </w:tcMar>
            <w:vAlign w:val="center"/>
          </w:tcPr>
          <w:p w14:paraId="3BB23A8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w:t>
            </w:r>
          </w:p>
        </w:tc>
        <w:tc>
          <w:tcPr>
            <w:tcW w:w="0" w:type="auto"/>
            <w:tcBorders>
              <w:tl2br w:val="nil"/>
              <w:tr2bl w:val="nil"/>
            </w:tcBorders>
            <w:tcMar>
              <w:left w:w="108" w:type="dxa"/>
              <w:right w:w="108" w:type="dxa"/>
            </w:tcMar>
            <w:vAlign w:val="center"/>
          </w:tcPr>
          <w:p w14:paraId="74057CB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6.00</w:t>
            </w:r>
          </w:p>
        </w:tc>
        <w:tc>
          <w:tcPr>
            <w:tcW w:w="0" w:type="auto"/>
            <w:tcBorders>
              <w:tl2br w:val="nil"/>
              <w:tr2bl w:val="nil"/>
            </w:tcBorders>
            <w:tcMar>
              <w:left w:w="108" w:type="dxa"/>
              <w:right w:w="108" w:type="dxa"/>
            </w:tcMar>
            <w:vAlign w:val="center"/>
          </w:tcPr>
          <w:p w14:paraId="72EA584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bl>
    <w:p w14:paraId="709F48BE">
      <w:pPr>
        <w:keepNext w:val="0"/>
        <w:keepLines w:val="0"/>
        <w:pageBreakBefore w:val="0"/>
        <w:widowControl/>
        <w:kinsoku/>
        <w:wordWrap/>
        <w:overflowPunct/>
        <w:topLinePunct/>
        <w:autoSpaceDE/>
        <w:autoSpaceDN/>
        <w:bidi w:val="0"/>
        <w:adjustRightInd/>
        <w:snapToGrid/>
        <w:spacing w:line="360" w:lineRule="auto"/>
        <w:ind w:left="0"/>
        <w:textAlignment w:val="auto"/>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lang w:val="en-US" w:eastAsia="zh-CN"/>
        </w:rPr>
        <w:t>根据监测结果可知</w:t>
      </w:r>
      <w:r>
        <w:rPr>
          <w:rFonts w:hint="default" w:ascii="Times New Roman" w:hAnsi="Times New Roman" w:eastAsia="宋体" w:cs="Times New Roman"/>
          <w:spacing w:val="-2"/>
          <w:sz w:val="24"/>
          <w:szCs w:val="24"/>
        </w:rPr>
        <w:t>，本次评价区域内各监测点各因子除铁、锰外均能达到《地下水质量标准》（GB/T14848-2017）Ⅲ类标准，</w:t>
      </w:r>
      <w:r>
        <w:rPr>
          <w:rFonts w:hint="eastAsia" w:cs="Times New Roman"/>
          <w:spacing w:val="-2"/>
          <w:sz w:val="24"/>
          <w:szCs w:val="24"/>
          <w:lang w:val="en-US" w:eastAsia="zh-CN"/>
        </w:rPr>
        <w:t>其中铁、锰超标原因为：</w:t>
      </w:r>
      <w:r>
        <w:rPr>
          <w:rFonts w:hint="default" w:ascii="Times New Roman" w:hAnsi="Times New Roman" w:eastAsia="宋体" w:cs="Times New Roman"/>
          <w:spacing w:val="-2"/>
          <w:sz w:val="24"/>
          <w:szCs w:val="24"/>
        </w:rPr>
        <w:t>岳阳位于洞庭湖区，地区岩层</w:t>
      </w:r>
      <w:r>
        <w:rPr>
          <w:rFonts w:hint="eastAsia" w:cs="Times New Roman"/>
          <w:spacing w:val="-2"/>
          <w:sz w:val="24"/>
          <w:szCs w:val="24"/>
          <w:lang w:val="en-US" w:eastAsia="zh-CN"/>
        </w:rPr>
        <w:t>铁、</w:t>
      </w:r>
      <w:r>
        <w:rPr>
          <w:rFonts w:hint="default" w:ascii="Times New Roman" w:hAnsi="Times New Roman" w:eastAsia="宋体" w:cs="Times New Roman"/>
          <w:spacing w:val="-2"/>
          <w:sz w:val="24"/>
          <w:szCs w:val="24"/>
        </w:rPr>
        <w:t>锰</w:t>
      </w:r>
      <w:r>
        <w:rPr>
          <w:rFonts w:hint="eastAsia" w:cs="Times New Roman"/>
          <w:spacing w:val="-2"/>
          <w:sz w:val="24"/>
          <w:szCs w:val="24"/>
          <w:lang w:val="en-US" w:eastAsia="zh-CN"/>
        </w:rPr>
        <w:t>含</w:t>
      </w:r>
      <w:r>
        <w:rPr>
          <w:rFonts w:hint="default" w:ascii="Times New Roman" w:hAnsi="Times New Roman" w:eastAsia="宋体" w:cs="Times New Roman"/>
          <w:spacing w:val="-2"/>
          <w:sz w:val="24"/>
          <w:szCs w:val="24"/>
        </w:rPr>
        <w:t>量较高，可能通过溶滤作用进入包气带水中，所以导致超标。</w:t>
      </w:r>
    </w:p>
    <w:p w14:paraId="5C8ABEA7">
      <w:pPr>
        <w:keepNext w:val="0"/>
        <w:keepLines w:val="0"/>
        <w:pageBreakBefore w:val="0"/>
        <w:widowControl/>
        <w:kinsoku/>
        <w:wordWrap/>
        <w:overflowPunct/>
        <w:topLinePunct/>
        <w:autoSpaceDE/>
        <w:autoSpaceDN/>
        <w:bidi w:val="0"/>
        <w:adjustRightInd/>
        <w:snapToGrid/>
        <w:spacing w:line="360" w:lineRule="auto"/>
        <w:ind w:left="0"/>
        <w:textAlignment w:val="auto"/>
        <w:rPr>
          <w:rFonts w:hint="default" w:ascii="Times New Roman" w:hAnsi="Times New Roman" w:eastAsia="宋体" w:cs="Times New Roman"/>
          <w:spacing w:val="-2"/>
          <w:sz w:val="24"/>
          <w:szCs w:val="24"/>
        </w:rPr>
      </w:pPr>
      <w:r>
        <w:rPr>
          <w:rFonts w:hint="eastAsia" w:ascii="Times New Roman" w:hAnsi="Times New Roman" w:eastAsia="宋体" w:cs="Times New Roman"/>
          <w:spacing w:val="-2"/>
          <w:sz w:val="24"/>
          <w:szCs w:val="24"/>
          <w:lang w:val="en-US" w:eastAsia="zh-CN"/>
        </w:rPr>
        <w:t>根据水位结果可知，</w:t>
      </w:r>
      <w:r>
        <w:rPr>
          <w:rFonts w:hint="default" w:ascii="Times New Roman" w:hAnsi="Times New Roman" w:eastAsia="宋体" w:cs="Times New Roman"/>
          <w:spacing w:val="-2"/>
          <w:sz w:val="24"/>
          <w:szCs w:val="24"/>
        </w:rPr>
        <w:t>本项目区域地下水基本流向由西北向东南走向。</w:t>
      </w:r>
    </w:p>
    <w:p w14:paraId="4AA26CA7">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418" w:name="_Toc6010"/>
      <w:bookmarkStart w:id="419" w:name="_Toc19978"/>
      <w:bookmarkStart w:id="420" w:name="_Toc1102"/>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w:t>
      </w:r>
      <w:r>
        <w:rPr>
          <w:rFonts w:hint="eastAsia" w:cs="Times New Roman"/>
          <w:color w:val="auto"/>
          <w:sz w:val="28"/>
          <w:szCs w:val="28"/>
          <w:highlight w:val="none"/>
          <w:u w:val="none" w:color="auto"/>
          <w:lang w:val="en-US" w:eastAsia="zh-CN"/>
        </w:rPr>
        <w:t>2</w:t>
      </w:r>
      <w:r>
        <w:rPr>
          <w:rFonts w:hint="default" w:ascii="Times New Roman" w:hAnsi="Times New Roman" w:cs="Times New Roman"/>
          <w:color w:val="auto"/>
          <w:sz w:val="28"/>
          <w:szCs w:val="28"/>
          <w:highlight w:val="none"/>
          <w:u w:val="none" w:color="auto"/>
        </w:rPr>
        <w:t>.4土壤环境现状监测与评价</w:t>
      </w:r>
      <w:bookmarkEnd w:id="418"/>
      <w:bookmarkEnd w:id="419"/>
      <w:bookmarkEnd w:id="420"/>
    </w:p>
    <w:p w14:paraId="4EF9259D">
      <w:pPr>
        <w:keepNext w:val="0"/>
        <w:keepLines w:val="0"/>
        <w:pageBreakBefore w:val="0"/>
        <w:widowControl/>
        <w:kinsoku/>
        <w:wordWrap/>
        <w:overflowPunct/>
        <w:topLinePunct/>
        <w:autoSpaceDE/>
        <w:autoSpaceDN/>
        <w:bidi w:val="0"/>
        <w:adjustRightInd/>
        <w:snapToGrid/>
        <w:spacing w:line="360" w:lineRule="auto"/>
        <w:ind w:left="0" w:right="0" w:firstLine="479"/>
        <w:textAlignment w:val="auto"/>
        <w:rPr>
          <w:rFonts w:hint="default" w:ascii="Times New Roman" w:hAnsi="Times New Roman" w:eastAsia="宋体" w:cs="Times New Roman"/>
          <w:sz w:val="24"/>
          <w:szCs w:val="24"/>
          <w:lang w:val="en-US" w:eastAsia="zh-CN"/>
        </w:rPr>
      </w:pPr>
      <w:r>
        <w:rPr>
          <w:rFonts w:ascii="Times New Roman" w:hAnsi="Times New Roman" w:eastAsia="宋体" w:cs="Times New Roman"/>
          <w:spacing w:val="-2"/>
          <w:sz w:val="24"/>
          <w:szCs w:val="24"/>
        </w:rPr>
        <w:t>根据《环境影响评价技术导则土壤环境（试行）》</w:t>
      </w:r>
      <w:r>
        <w:rPr>
          <w:rFonts w:ascii="Times New Roman" w:hAnsi="Times New Roman" w:eastAsia="宋体" w:cs="Times New Roman"/>
          <w:spacing w:val="-3"/>
          <w:sz w:val="24"/>
          <w:szCs w:val="24"/>
        </w:rPr>
        <w:t>（</w:t>
      </w:r>
      <w:r>
        <w:rPr>
          <w:rFonts w:ascii="Times New Roman" w:hAnsi="Times New Roman" w:eastAsia="Times New Roman" w:cs="Times New Roman"/>
          <w:spacing w:val="-3"/>
          <w:sz w:val="24"/>
          <w:szCs w:val="24"/>
        </w:rPr>
        <w:t>HJ/T964-2018</w:t>
      </w:r>
      <w:r>
        <w:rPr>
          <w:rFonts w:ascii="Times New Roman" w:hAnsi="Times New Roman" w:eastAsia="宋体" w:cs="Times New Roman"/>
          <w:spacing w:val="-3"/>
          <w:sz w:val="24"/>
          <w:szCs w:val="24"/>
        </w:rPr>
        <w:t>）中</w:t>
      </w:r>
      <w:r>
        <w:rPr>
          <w:rFonts w:ascii="Times New Roman" w:hAnsi="Times New Roman" w:eastAsia="Times New Roman" w:cs="Times New Roman"/>
          <w:spacing w:val="-3"/>
          <w:sz w:val="24"/>
          <w:szCs w:val="24"/>
        </w:rPr>
        <w:t>“7.4.3</w:t>
      </w:r>
      <w:r>
        <w:rPr>
          <w:rFonts w:ascii="Times New Roman" w:hAnsi="Times New Roman" w:eastAsia="宋体" w:cs="Times New Roman"/>
          <w:spacing w:val="-3"/>
          <w:sz w:val="24"/>
          <w:szCs w:val="24"/>
        </w:rPr>
        <w:t>现状</w:t>
      </w:r>
      <w:r>
        <w:rPr>
          <w:rFonts w:ascii="Times New Roman" w:hAnsi="Times New Roman" w:eastAsia="宋体" w:cs="Times New Roman"/>
          <w:sz w:val="24"/>
          <w:szCs w:val="24"/>
        </w:rPr>
        <w:t>监测点数量要求</w:t>
      </w:r>
      <w:r>
        <w:rPr>
          <w:rFonts w:ascii="Times New Roman" w:hAnsi="Times New Roman" w:eastAsia="Times New Roman" w:cs="Times New Roman"/>
          <w:sz w:val="24"/>
          <w:szCs w:val="24"/>
        </w:rPr>
        <w:t>”</w:t>
      </w:r>
      <w:r>
        <w:rPr>
          <w:rFonts w:ascii="Times New Roman" w:hAnsi="Times New Roman" w:eastAsia="宋体" w:cs="Times New Roman"/>
          <w:sz w:val="24"/>
          <w:szCs w:val="24"/>
        </w:rPr>
        <w:t>可知，污染影响型项目三</w:t>
      </w:r>
      <w:r>
        <w:rPr>
          <w:rFonts w:ascii="Times New Roman" w:hAnsi="Times New Roman" w:eastAsia="宋体" w:cs="Times New Roman"/>
          <w:spacing w:val="-1"/>
          <w:sz w:val="24"/>
          <w:szCs w:val="24"/>
        </w:rPr>
        <w:t>级评价需在占地范围内设置</w:t>
      </w:r>
      <w:r>
        <w:rPr>
          <w:rFonts w:ascii="Times New Roman" w:hAnsi="Times New Roman" w:eastAsia="Times New Roman" w:cs="Times New Roman"/>
          <w:spacing w:val="-1"/>
          <w:sz w:val="24"/>
          <w:szCs w:val="24"/>
        </w:rPr>
        <w:t>3</w:t>
      </w:r>
      <w:r>
        <w:rPr>
          <w:rFonts w:ascii="Times New Roman" w:hAnsi="Times New Roman" w:eastAsia="宋体" w:cs="Times New Roman"/>
          <w:spacing w:val="-1"/>
          <w:sz w:val="24"/>
          <w:szCs w:val="24"/>
        </w:rPr>
        <w:t>个表层样点。</w:t>
      </w:r>
      <w:r>
        <w:rPr>
          <w:rFonts w:hint="default" w:ascii="Times New Roman" w:hAnsi="Times New Roman" w:cs="Times New Roman"/>
          <w:spacing w:val="-1"/>
          <w:sz w:val="24"/>
          <w:szCs w:val="24"/>
          <w:lang w:val="en-US" w:eastAsia="zh-CN"/>
        </w:rPr>
        <w:t>因为本项目取土场为填埋场覆土取土场，不涉及矿石类取土，对土壤不存在污染影响，本次将在填埋工程占地范围内布设3个表层样点。</w:t>
      </w:r>
    </w:p>
    <w:p w14:paraId="6DB1F324">
      <w:pPr>
        <w:keepNext w:val="0"/>
        <w:keepLines w:val="0"/>
        <w:pageBreakBefore w:val="0"/>
        <w:widowControl/>
        <w:kinsoku/>
        <w:wordWrap/>
        <w:overflowPunct/>
        <w:topLinePunct/>
        <w:autoSpaceDE/>
        <w:autoSpaceDN/>
        <w:bidi w:val="0"/>
        <w:adjustRightInd/>
        <w:snapToGrid/>
        <w:spacing w:line="360" w:lineRule="auto"/>
        <w:ind w:left="0" w:right="0" w:firstLine="441"/>
        <w:textAlignment w:val="auto"/>
        <w:rPr>
          <w:rFonts w:ascii="宋体" w:hAnsi="宋体" w:eastAsia="宋体" w:cs="宋体"/>
          <w:sz w:val="24"/>
          <w:szCs w:val="24"/>
        </w:rPr>
      </w:pPr>
      <w:r>
        <w:rPr>
          <w:rFonts w:ascii="Times New Roman" w:hAnsi="Times New Roman" w:eastAsia="宋体" w:cs="Times New Roman"/>
          <w:spacing w:val="-2"/>
          <w:sz w:val="24"/>
          <w:szCs w:val="24"/>
        </w:rPr>
        <w:t>为了解区域土壤环境质量，建设单位委托湖南恩尼检</w:t>
      </w:r>
      <w:r>
        <w:rPr>
          <w:rFonts w:ascii="宋体" w:hAnsi="宋体" w:eastAsia="宋体" w:cs="宋体"/>
          <w:spacing w:val="-2"/>
          <w:sz w:val="24"/>
          <w:szCs w:val="24"/>
        </w:rPr>
        <w:t>测有限公司于</w:t>
      </w:r>
      <w:r>
        <w:rPr>
          <w:rFonts w:ascii="Times New Roman" w:hAnsi="Times New Roman" w:eastAsia="Times New Roman" w:cs="Times New Roman"/>
          <w:spacing w:val="-2"/>
          <w:sz w:val="24"/>
          <w:szCs w:val="24"/>
        </w:rPr>
        <w:t>2026</w:t>
      </w:r>
      <w:r>
        <w:rPr>
          <w:rFonts w:ascii="宋体" w:hAnsi="宋体" w:eastAsia="宋体" w:cs="宋体"/>
          <w:spacing w:val="-2"/>
          <w:sz w:val="24"/>
          <w:szCs w:val="24"/>
        </w:rPr>
        <w:t>年</w:t>
      </w:r>
      <w:r>
        <w:rPr>
          <w:rFonts w:ascii="Times New Roman" w:hAnsi="Times New Roman" w:eastAsia="Times New Roman" w:cs="Times New Roman"/>
          <w:spacing w:val="-2"/>
          <w:sz w:val="24"/>
          <w:szCs w:val="24"/>
        </w:rPr>
        <w:t>1</w:t>
      </w:r>
      <w:r>
        <w:rPr>
          <w:rFonts w:ascii="宋体" w:hAnsi="宋体" w:eastAsia="宋体" w:cs="宋体"/>
          <w:spacing w:val="-2"/>
          <w:sz w:val="24"/>
          <w:szCs w:val="24"/>
        </w:rPr>
        <w:t>月</w:t>
      </w:r>
      <w:r>
        <w:rPr>
          <w:rFonts w:ascii="Times New Roman" w:hAnsi="Times New Roman" w:eastAsia="Times New Roman" w:cs="Times New Roman"/>
          <w:spacing w:val="-2"/>
          <w:sz w:val="24"/>
          <w:szCs w:val="24"/>
        </w:rPr>
        <w:t>31</w:t>
      </w:r>
      <w:r>
        <w:rPr>
          <w:rFonts w:ascii="宋体" w:hAnsi="宋体" w:eastAsia="宋体" w:cs="宋体"/>
          <w:spacing w:val="-2"/>
          <w:sz w:val="24"/>
          <w:szCs w:val="24"/>
        </w:rPr>
        <w:t>日对项目地土壤环境质量现状进行监测，监测点位及监测因子见表</w:t>
      </w:r>
      <w:r>
        <w:rPr>
          <w:rFonts w:ascii="Times New Roman" w:hAnsi="Times New Roman" w:eastAsia="Times New Roman" w:cs="Times New Roman"/>
          <w:spacing w:val="-2"/>
          <w:sz w:val="24"/>
          <w:szCs w:val="24"/>
        </w:rPr>
        <w:t>4.5-8</w:t>
      </w:r>
      <w:r>
        <w:rPr>
          <w:rFonts w:ascii="宋体" w:hAnsi="宋体" w:eastAsia="宋体" w:cs="宋体"/>
          <w:spacing w:val="-2"/>
          <w:sz w:val="24"/>
          <w:szCs w:val="24"/>
        </w:rPr>
        <w:t>。</w:t>
      </w:r>
    </w:p>
    <w:p w14:paraId="02F138FF">
      <w:pPr>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4.2-8</w:t>
      </w:r>
      <w:r>
        <w:rPr>
          <w:rFonts w:ascii="宋体" w:hAnsi="宋体" w:eastAsia="宋体" w:cs="宋体"/>
          <w:b/>
          <w:bCs/>
          <w:spacing w:val="-2"/>
          <w:sz w:val="21"/>
          <w:szCs w:val="21"/>
        </w:rPr>
        <w:t>土壤监测点位布置情况一览表</w:t>
      </w:r>
    </w:p>
    <w:tbl>
      <w:tblPr>
        <w:tblStyle w:val="111"/>
        <w:tblW w:w="9470" w:type="dxa"/>
        <w:tblInd w:w="12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98"/>
        <w:gridCol w:w="3133"/>
        <w:gridCol w:w="3677"/>
        <w:gridCol w:w="952"/>
        <w:gridCol w:w="1210"/>
      </w:tblGrid>
      <w:tr w14:paraId="7FDC45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2" w:hRule="atLeast"/>
        </w:trPr>
        <w:tc>
          <w:tcPr>
            <w:tcW w:w="498" w:type="dxa"/>
            <w:tcBorders>
              <w:top w:val="single" w:color="000000" w:sz="10" w:space="0"/>
              <w:left w:val="single" w:color="000000" w:sz="10" w:space="0"/>
            </w:tcBorders>
            <w:vAlign w:val="center"/>
          </w:tcPr>
          <w:p w14:paraId="6E02D77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编号</w:t>
            </w:r>
          </w:p>
        </w:tc>
        <w:tc>
          <w:tcPr>
            <w:tcW w:w="3133" w:type="dxa"/>
            <w:tcBorders>
              <w:top w:val="single" w:color="000000" w:sz="10" w:space="0"/>
            </w:tcBorders>
            <w:vAlign w:val="center"/>
          </w:tcPr>
          <w:p w14:paraId="0FC85A5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采样点位</w:t>
            </w:r>
          </w:p>
        </w:tc>
        <w:tc>
          <w:tcPr>
            <w:tcW w:w="3677" w:type="dxa"/>
            <w:tcBorders>
              <w:top w:val="single" w:color="000000" w:sz="10" w:space="0"/>
            </w:tcBorders>
            <w:vAlign w:val="center"/>
          </w:tcPr>
          <w:p w14:paraId="772E1CB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监测项目</w:t>
            </w:r>
          </w:p>
        </w:tc>
        <w:tc>
          <w:tcPr>
            <w:tcW w:w="952" w:type="dxa"/>
            <w:tcBorders>
              <w:top w:val="single" w:color="000000" w:sz="10" w:space="0"/>
            </w:tcBorders>
            <w:vAlign w:val="center"/>
          </w:tcPr>
          <w:p w14:paraId="094E840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监测频次</w:t>
            </w:r>
          </w:p>
        </w:tc>
        <w:tc>
          <w:tcPr>
            <w:tcW w:w="1210" w:type="dxa"/>
            <w:tcBorders>
              <w:top w:val="single" w:color="000000" w:sz="10" w:space="0"/>
              <w:right w:val="single" w:color="000000" w:sz="10" w:space="0"/>
            </w:tcBorders>
            <w:vAlign w:val="center"/>
          </w:tcPr>
          <w:p w14:paraId="43176B0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备注</w:t>
            </w:r>
          </w:p>
        </w:tc>
      </w:tr>
      <w:tr w14:paraId="4D2021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4" w:hRule="atLeast"/>
        </w:trPr>
        <w:tc>
          <w:tcPr>
            <w:tcW w:w="498" w:type="dxa"/>
            <w:tcBorders>
              <w:left w:val="single" w:color="000000" w:sz="10" w:space="0"/>
            </w:tcBorders>
            <w:vAlign w:val="center"/>
          </w:tcPr>
          <w:p w14:paraId="4C995EC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T1</w:t>
            </w:r>
          </w:p>
        </w:tc>
        <w:tc>
          <w:tcPr>
            <w:tcW w:w="3133" w:type="dxa"/>
            <w:vAlign w:val="center"/>
          </w:tcPr>
          <w:p w14:paraId="5774283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项目场地内</w:t>
            </w:r>
            <w:r>
              <w:rPr>
                <w:rFonts w:ascii="Times New Roman" w:hAnsi="Times New Roman" w:eastAsia="Times New Roman" w:cs="Times New Roman"/>
                <w:spacing w:val="3"/>
              </w:rPr>
              <w:t>1</w:t>
            </w:r>
            <w:r>
              <w:rPr>
                <w:rFonts w:ascii="Times New Roman" w:hAnsi="Times New Roman" w:eastAsia="Times New Roman" w:cs="Times New Roman"/>
                <w:spacing w:val="3"/>
                <w:position w:val="6"/>
                <w:sz w:val="13"/>
                <w:szCs w:val="13"/>
              </w:rPr>
              <w:t>#</w:t>
            </w:r>
            <w:r>
              <w:rPr>
                <w:spacing w:val="3"/>
              </w:rPr>
              <w:t>点表层样（</w:t>
            </w:r>
            <w:r>
              <w:rPr>
                <w:rFonts w:ascii="Times New Roman" w:hAnsi="Times New Roman" w:eastAsia="Times New Roman" w:cs="Times New Roman"/>
                <w:spacing w:val="3"/>
              </w:rPr>
              <w:t>0~0.2m</w:t>
            </w:r>
            <w:r>
              <w:rPr>
                <w:spacing w:val="3"/>
              </w:rPr>
              <w:t>）</w:t>
            </w:r>
          </w:p>
        </w:tc>
        <w:tc>
          <w:tcPr>
            <w:tcW w:w="3677" w:type="dxa"/>
            <w:vAlign w:val="center"/>
          </w:tcPr>
          <w:p w14:paraId="3102522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《土壤环境质量</w:t>
            </w:r>
            <w:r>
              <w:rPr>
                <w:rFonts w:ascii="Times New Roman" w:hAnsi="Times New Roman" w:eastAsia="Times New Roman" w:cs="Times New Roman"/>
                <w:spacing w:val="8"/>
              </w:rPr>
              <w:t>-</w:t>
            </w:r>
            <w:r>
              <w:rPr>
                <w:spacing w:val="8"/>
              </w:rPr>
              <w:t>建设用地土壤污染风</w:t>
            </w:r>
            <w:r>
              <w:rPr>
                <w:spacing w:val="2"/>
              </w:rPr>
              <w:t>险管控标准》（</w:t>
            </w:r>
            <w:r>
              <w:rPr>
                <w:rFonts w:ascii="Times New Roman" w:hAnsi="Times New Roman" w:eastAsia="Times New Roman" w:cs="Times New Roman"/>
              </w:rPr>
              <w:t>GB</w:t>
            </w:r>
            <w:r>
              <w:rPr>
                <w:rFonts w:ascii="Times New Roman" w:hAnsi="Times New Roman" w:eastAsia="Times New Roman" w:cs="Times New Roman"/>
                <w:spacing w:val="2"/>
              </w:rPr>
              <w:t>36600-2018</w:t>
            </w:r>
            <w:r>
              <w:rPr>
                <w:spacing w:val="2"/>
              </w:rPr>
              <w:t>）表</w:t>
            </w:r>
            <w:r>
              <w:rPr>
                <w:rFonts w:ascii="Times New Roman" w:hAnsi="Times New Roman" w:eastAsia="Times New Roman" w:cs="Times New Roman"/>
                <w:spacing w:val="2"/>
              </w:rPr>
              <w:t>1</w:t>
            </w:r>
            <w:r>
              <w:rPr>
                <w:spacing w:val="2"/>
              </w:rPr>
              <w:t>基</w:t>
            </w:r>
            <w:r>
              <w:rPr>
                <w:spacing w:val="-5"/>
              </w:rPr>
              <w:t>本项目全部</w:t>
            </w:r>
            <w:r>
              <w:rPr>
                <w:rFonts w:ascii="Times New Roman" w:hAnsi="Times New Roman" w:eastAsia="Times New Roman" w:cs="Times New Roman"/>
                <w:spacing w:val="-5"/>
              </w:rPr>
              <w:t>45</w:t>
            </w:r>
            <w:r>
              <w:rPr>
                <w:spacing w:val="-5"/>
              </w:rPr>
              <w:t>项因子以及</w:t>
            </w:r>
            <w:r>
              <w:rPr>
                <w:rFonts w:ascii="Times New Roman" w:hAnsi="Times New Roman" w:eastAsia="Times New Roman" w:cs="Times New Roman"/>
                <w:spacing w:val="-5"/>
              </w:rPr>
              <w:t>pH</w:t>
            </w:r>
            <w:r>
              <w:rPr>
                <w:spacing w:val="-5"/>
              </w:rPr>
              <w:t>、铬、锌、</w:t>
            </w:r>
            <w:r>
              <w:rPr>
                <w:spacing w:val="7"/>
              </w:rPr>
              <w:t>氰化物</w:t>
            </w:r>
          </w:p>
        </w:tc>
        <w:tc>
          <w:tcPr>
            <w:tcW w:w="952" w:type="dxa"/>
            <w:vMerge w:val="restart"/>
            <w:tcBorders>
              <w:bottom w:val="nil"/>
            </w:tcBorders>
            <w:vAlign w:val="center"/>
          </w:tcPr>
          <w:p w14:paraId="1EA7E50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监测</w:t>
            </w:r>
            <w:r>
              <w:rPr>
                <w:rFonts w:ascii="Times New Roman" w:hAnsi="Times New Roman" w:eastAsia="Times New Roman" w:cs="Times New Roman"/>
                <w:spacing w:val="-3"/>
              </w:rPr>
              <w:t>1</w:t>
            </w:r>
            <w:r>
              <w:rPr>
                <w:spacing w:val="-3"/>
              </w:rPr>
              <w:t>次</w:t>
            </w:r>
          </w:p>
        </w:tc>
        <w:tc>
          <w:tcPr>
            <w:tcW w:w="1210" w:type="dxa"/>
            <w:vMerge w:val="restart"/>
            <w:tcBorders>
              <w:bottom w:val="nil"/>
              <w:right w:val="single" w:color="000000" w:sz="10" w:space="0"/>
            </w:tcBorders>
            <w:vAlign w:val="center"/>
          </w:tcPr>
          <w:p w14:paraId="187F784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占地范围内</w:t>
            </w:r>
          </w:p>
        </w:tc>
      </w:tr>
      <w:tr w14:paraId="171B4B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trPr>
        <w:tc>
          <w:tcPr>
            <w:tcW w:w="498" w:type="dxa"/>
            <w:tcBorders>
              <w:left w:val="single" w:color="000000" w:sz="10" w:space="0"/>
            </w:tcBorders>
            <w:vAlign w:val="center"/>
          </w:tcPr>
          <w:p w14:paraId="08BC9D3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T2</w:t>
            </w:r>
          </w:p>
        </w:tc>
        <w:tc>
          <w:tcPr>
            <w:tcW w:w="3133" w:type="dxa"/>
            <w:vAlign w:val="center"/>
          </w:tcPr>
          <w:p w14:paraId="37ED52D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项目场地内</w:t>
            </w:r>
            <w:r>
              <w:rPr>
                <w:rFonts w:ascii="Times New Roman" w:hAnsi="Times New Roman" w:eastAsia="Times New Roman" w:cs="Times New Roman"/>
                <w:spacing w:val="4"/>
              </w:rPr>
              <w:t>2</w:t>
            </w:r>
            <w:r>
              <w:rPr>
                <w:rFonts w:ascii="Times New Roman" w:hAnsi="Times New Roman" w:eastAsia="Times New Roman" w:cs="Times New Roman"/>
                <w:spacing w:val="4"/>
                <w:position w:val="6"/>
                <w:sz w:val="13"/>
                <w:szCs w:val="13"/>
              </w:rPr>
              <w:t>#</w:t>
            </w:r>
            <w:r>
              <w:rPr>
                <w:spacing w:val="4"/>
              </w:rPr>
              <w:t>点表层样（</w:t>
            </w:r>
            <w:r>
              <w:rPr>
                <w:rFonts w:ascii="Times New Roman" w:hAnsi="Times New Roman" w:eastAsia="Times New Roman" w:cs="Times New Roman"/>
                <w:spacing w:val="4"/>
              </w:rPr>
              <w:t>0~0.2m</w:t>
            </w:r>
            <w:r>
              <w:rPr>
                <w:spacing w:val="4"/>
              </w:rPr>
              <w:t>）</w:t>
            </w:r>
          </w:p>
        </w:tc>
        <w:tc>
          <w:tcPr>
            <w:tcW w:w="3677" w:type="dxa"/>
            <w:vMerge w:val="restart"/>
            <w:tcBorders>
              <w:bottom w:val="nil"/>
            </w:tcBorders>
            <w:vAlign w:val="center"/>
          </w:tcPr>
          <w:p w14:paraId="5FD26AC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spacing w:val="-6"/>
              </w:rPr>
              <w:t>pH</w:t>
            </w:r>
            <w:r>
              <w:rPr>
                <w:spacing w:val="-6"/>
              </w:rPr>
              <w:t>、砷、镉、铬（六价）、铜、锌、铅、</w:t>
            </w:r>
          </w:p>
          <w:p w14:paraId="0614471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汞、镍、铬、氰化物</w:t>
            </w:r>
          </w:p>
        </w:tc>
        <w:tc>
          <w:tcPr>
            <w:tcW w:w="952" w:type="dxa"/>
            <w:vMerge w:val="continue"/>
            <w:tcBorders>
              <w:top w:val="nil"/>
              <w:bottom w:val="nil"/>
            </w:tcBorders>
            <w:vAlign w:val="center"/>
          </w:tcPr>
          <w:p w14:paraId="48B57C8B">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210" w:type="dxa"/>
            <w:vMerge w:val="continue"/>
            <w:tcBorders>
              <w:top w:val="nil"/>
              <w:bottom w:val="nil"/>
              <w:right w:val="single" w:color="000000" w:sz="10" w:space="0"/>
            </w:tcBorders>
            <w:vAlign w:val="center"/>
          </w:tcPr>
          <w:p w14:paraId="3D45F22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r w14:paraId="73F9FA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498" w:type="dxa"/>
            <w:tcBorders>
              <w:left w:val="single" w:color="000000" w:sz="10" w:space="0"/>
              <w:bottom w:val="single" w:color="000000" w:sz="10" w:space="0"/>
            </w:tcBorders>
            <w:vAlign w:val="center"/>
          </w:tcPr>
          <w:p w14:paraId="2EB5A8D5">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T3</w:t>
            </w:r>
          </w:p>
        </w:tc>
        <w:tc>
          <w:tcPr>
            <w:tcW w:w="3133" w:type="dxa"/>
            <w:tcBorders>
              <w:bottom w:val="single" w:color="000000" w:sz="10" w:space="0"/>
            </w:tcBorders>
            <w:vAlign w:val="center"/>
          </w:tcPr>
          <w:p w14:paraId="41FA5AE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项目场地内</w:t>
            </w:r>
            <w:r>
              <w:rPr>
                <w:rFonts w:ascii="Times New Roman" w:hAnsi="Times New Roman" w:eastAsia="Times New Roman" w:cs="Times New Roman"/>
                <w:spacing w:val="4"/>
              </w:rPr>
              <w:t>3</w:t>
            </w:r>
            <w:r>
              <w:rPr>
                <w:rFonts w:ascii="Times New Roman" w:hAnsi="Times New Roman" w:eastAsia="Times New Roman" w:cs="Times New Roman"/>
                <w:spacing w:val="4"/>
                <w:position w:val="6"/>
                <w:sz w:val="13"/>
                <w:szCs w:val="13"/>
              </w:rPr>
              <w:t>#</w:t>
            </w:r>
            <w:r>
              <w:rPr>
                <w:spacing w:val="4"/>
              </w:rPr>
              <w:t>点表层样（</w:t>
            </w:r>
            <w:r>
              <w:rPr>
                <w:rFonts w:ascii="Times New Roman" w:hAnsi="Times New Roman" w:eastAsia="Times New Roman" w:cs="Times New Roman"/>
                <w:spacing w:val="4"/>
              </w:rPr>
              <w:t>0~0.2m</w:t>
            </w:r>
            <w:r>
              <w:rPr>
                <w:spacing w:val="4"/>
              </w:rPr>
              <w:t>）</w:t>
            </w:r>
          </w:p>
        </w:tc>
        <w:tc>
          <w:tcPr>
            <w:tcW w:w="3677" w:type="dxa"/>
            <w:vMerge w:val="continue"/>
            <w:tcBorders>
              <w:top w:val="nil"/>
              <w:bottom w:val="single" w:color="000000" w:sz="10" w:space="0"/>
            </w:tcBorders>
            <w:vAlign w:val="center"/>
          </w:tcPr>
          <w:p w14:paraId="4382A17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952" w:type="dxa"/>
            <w:vMerge w:val="continue"/>
            <w:tcBorders>
              <w:top w:val="nil"/>
              <w:bottom w:val="single" w:color="000000" w:sz="10" w:space="0"/>
            </w:tcBorders>
            <w:vAlign w:val="center"/>
          </w:tcPr>
          <w:p w14:paraId="79726E2C">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210" w:type="dxa"/>
            <w:vMerge w:val="continue"/>
            <w:tcBorders>
              <w:top w:val="nil"/>
              <w:bottom w:val="single" w:color="000000" w:sz="10" w:space="0"/>
              <w:right w:val="single" w:color="000000" w:sz="10" w:space="0"/>
            </w:tcBorders>
            <w:vAlign w:val="center"/>
          </w:tcPr>
          <w:p w14:paraId="0D238E5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bl>
    <w:p w14:paraId="558549FA">
      <w:pPr>
        <w:keepNext w:val="0"/>
        <w:keepLines w:val="0"/>
        <w:pageBreakBefore w:val="0"/>
        <w:widowControl/>
        <w:kinsoku/>
        <w:wordWrap/>
        <w:overflowPunct/>
        <w:topLinePunct/>
        <w:autoSpaceDE/>
        <w:autoSpaceDN/>
        <w:bidi w:val="0"/>
        <w:adjustRightInd/>
        <w:snapToGrid/>
        <w:spacing w:line="360" w:lineRule="auto"/>
        <w:ind w:left="0" w:right="0" w:firstLine="490"/>
        <w:textAlignment w:val="auto"/>
        <w:rPr>
          <w:rFonts w:ascii="宋体" w:hAnsi="宋体" w:eastAsia="宋体" w:cs="宋体"/>
          <w:sz w:val="24"/>
          <w:szCs w:val="24"/>
        </w:rPr>
      </w:pPr>
      <w:r>
        <w:rPr>
          <w:rFonts w:ascii="宋体" w:hAnsi="宋体" w:eastAsia="宋体" w:cs="宋体"/>
          <w:spacing w:val="-2"/>
          <w:sz w:val="24"/>
          <w:szCs w:val="24"/>
        </w:rPr>
        <w:t>（</w:t>
      </w:r>
      <w:r>
        <w:rPr>
          <w:rFonts w:ascii="Times New Roman" w:hAnsi="Times New Roman" w:eastAsia="Times New Roman" w:cs="Times New Roman"/>
          <w:spacing w:val="-2"/>
          <w:sz w:val="24"/>
          <w:szCs w:val="24"/>
        </w:rPr>
        <w:t>1</w:t>
      </w:r>
      <w:r>
        <w:rPr>
          <w:rFonts w:ascii="宋体" w:hAnsi="宋体" w:eastAsia="宋体" w:cs="宋体"/>
          <w:spacing w:val="-2"/>
          <w:sz w:val="24"/>
          <w:szCs w:val="24"/>
        </w:rPr>
        <w:t>）监测方法：按《土壤环境监测技术规范》、《环境影响评价技术导则土壤环</w:t>
      </w:r>
      <w:r>
        <w:rPr>
          <w:rFonts w:ascii="宋体" w:hAnsi="宋体" w:eastAsia="宋体" w:cs="宋体"/>
          <w:spacing w:val="-1"/>
          <w:sz w:val="24"/>
          <w:szCs w:val="24"/>
        </w:rPr>
        <w:t>境（试行）》的有关规定和要求进行。</w:t>
      </w:r>
    </w:p>
    <w:p w14:paraId="78CE1D2C">
      <w:pPr>
        <w:keepNext w:val="0"/>
        <w:keepLines w:val="0"/>
        <w:pageBreakBefore w:val="0"/>
        <w:widowControl/>
        <w:kinsoku/>
        <w:wordWrap/>
        <w:overflowPunct/>
        <w:topLine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4"/>
          <w:sz w:val="24"/>
          <w:szCs w:val="24"/>
        </w:rPr>
        <w:t>（</w:t>
      </w:r>
      <w:r>
        <w:rPr>
          <w:rFonts w:ascii="Times New Roman" w:hAnsi="Times New Roman" w:eastAsia="Times New Roman" w:cs="Times New Roman"/>
          <w:spacing w:val="-4"/>
          <w:sz w:val="24"/>
          <w:szCs w:val="24"/>
        </w:rPr>
        <w:t>2</w:t>
      </w:r>
      <w:r>
        <w:rPr>
          <w:rFonts w:ascii="宋体" w:hAnsi="宋体" w:eastAsia="宋体" w:cs="宋体"/>
          <w:spacing w:val="-4"/>
          <w:sz w:val="24"/>
          <w:szCs w:val="24"/>
        </w:rPr>
        <w:t>）监测频次：监测</w:t>
      </w:r>
      <w:r>
        <w:rPr>
          <w:rFonts w:ascii="Times New Roman" w:hAnsi="Times New Roman" w:eastAsia="Times New Roman" w:cs="Times New Roman"/>
          <w:spacing w:val="-4"/>
          <w:sz w:val="24"/>
          <w:szCs w:val="24"/>
        </w:rPr>
        <w:t>1</w:t>
      </w:r>
      <w:r>
        <w:rPr>
          <w:rFonts w:ascii="宋体" w:hAnsi="宋体" w:eastAsia="宋体" w:cs="宋体"/>
          <w:spacing w:val="-4"/>
          <w:sz w:val="24"/>
          <w:szCs w:val="24"/>
        </w:rPr>
        <w:t>天，每个监测点位取</w:t>
      </w:r>
      <w:r>
        <w:rPr>
          <w:rFonts w:ascii="Times New Roman" w:hAnsi="Times New Roman" w:eastAsia="Times New Roman" w:cs="Times New Roman"/>
          <w:spacing w:val="-4"/>
          <w:sz w:val="24"/>
          <w:szCs w:val="24"/>
        </w:rPr>
        <w:t>1</w:t>
      </w:r>
      <w:r>
        <w:rPr>
          <w:rFonts w:ascii="宋体" w:hAnsi="宋体" w:eastAsia="宋体" w:cs="宋体"/>
          <w:spacing w:val="-4"/>
          <w:sz w:val="24"/>
          <w:szCs w:val="24"/>
        </w:rPr>
        <w:t>个样。</w:t>
      </w:r>
    </w:p>
    <w:p w14:paraId="59A435B0">
      <w:pPr>
        <w:keepNext w:val="0"/>
        <w:keepLines w:val="0"/>
        <w:pageBreakBefore w:val="0"/>
        <w:widowControl/>
        <w:kinsoku/>
        <w:wordWrap/>
        <w:overflowPunct/>
        <w:topLinePunct/>
        <w:autoSpaceDE/>
        <w:autoSpaceDN/>
        <w:bidi w:val="0"/>
        <w:adjustRightInd/>
        <w:snapToGrid/>
        <w:spacing w:line="360" w:lineRule="auto"/>
        <w:ind w:left="0" w:right="0" w:firstLine="489"/>
        <w:textAlignment w:val="auto"/>
        <w:rPr>
          <w:rFonts w:ascii="宋体" w:hAnsi="宋体" w:eastAsia="宋体" w:cs="宋体"/>
          <w:sz w:val="24"/>
          <w:szCs w:val="24"/>
        </w:rPr>
      </w:pPr>
      <w:r>
        <w:rPr>
          <w:rFonts w:ascii="宋体" w:hAnsi="宋体" w:eastAsia="宋体" w:cs="宋体"/>
          <w:spacing w:val="-2"/>
          <w:sz w:val="24"/>
          <w:szCs w:val="24"/>
        </w:rPr>
        <w:t>（</w:t>
      </w:r>
      <w:r>
        <w:rPr>
          <w:rFonts w:ascii="Times New Roman" w:hAnsi="Times New Roman" w:eastAsia="Times New Roman" w:cs="Times New Roman"/>
          <w:spacing w:val="-2"/>
          <w:sz w:val="24"/>
          <w:szCs w:val="24"/>
        </w:rPr>
        <w:t>3</w:t>
      </w:r>
      <w:r>
        <w:rPr>
          <w:rFonts w:ascii="宋体" w:hAnsi="宋体" w:eastAsia="宋体" w:cs="宋体"/>
          <w:spacing w:val="-2"/>
          <w:sz w:val="24"/>
          <w:szCs w:val="24"/>
        </w:rPr>
        <w:t>）评价标准：</w:t>
      </w:r>
      <w:r>
        <w:rPr>
          <w:rFonts w:ascii="Times New Roman" w:hAnsi="Times New Roman" w:eastAsia="Times New Roman" w:cs="Times New Roman"/>
          <w:spacing w:val="-2"/>
          <w:sz w:val="24"/>
          <w:szCs w:val="24"/>
        </w:rPr>
        <w:t>T1</w:t>
      </w:r>
      <w:r>
        <w:rPr>
          <w:rFonts w:ascii="宋体" w:hAnsi="宋体" w:eastAsia="宋体" w:cs="宋体"/>
          <w:spacing w:val="-2"/>
          <w:sz w:val="24"/>
          <w:szCs w:val="24"/>
        </w:rPr>
        <w:t>、</w:t>
      </w:r>
      <w:r>
        <w:rPr>
          <w:rFonts w:ascii="Times New Roman" w:hAnsi="Times New Roman" w:eastAsia="Times New Roman" w:cs="Times New Roman"/>
          <w:spacing w:val="-2"/>
          <w:sz w:val="24"/>
          <w:szCs w:val="24"/>
        </w:rPr>
        <w:t>T2</w:t>
      </w:r>
      <w:r>
        <w:rPr>
          <w:rFonts w:ascii="宋体" w:hAnsi="宋体" w:eastAsia="宋体" w:cs="宋体"/>
          <w:spacing w:val="-2"/>
          <w:sz w:val="24"/>
          <w:szCs w:val="24"/>
        </w:rPr>
        <w:t>、</w:t>
      </w:r>
      <w:r>
        <w:rPr>
          <w:rFonts w:ascii="Times New Roman" w:hAnsi="Times New Roman" w:eastAsia="Times New Roman" w:cs="Times New Roman"/>
          <w:spacing w:val="-2"/>
          <w:sz w:val="24"/>
          <w:szCs w:val="24"/>
        </w:rPr>
        <w:t>T3</w:t>
      </w:r>
      <w:r>
        <w:rPr>
          <w:rFonts w:ascii="宋体" w:hAnsi="宋体" w:eastAsia="宋体" w:cs="宋体"/>
          <w:spacing w:val="-2"/>
          <w:sz w:val="24"/>
          <w:szCs w:val="24"/>
        </w:rPr>
        <w:t>执行《土壤环境质量建设用地土壤污染风险管控标</w:t>
      </w:r>
      <w:r>
        <w:rPr>
          <w:rFonts w:ascii="宋体" w:hAnsi="宋体" w:eastAsia="宋体" w:cs="宋体"/>
          <w:spacing w:val="-1"/>
          <w:sz w:val="24"/>
          <w:szCs w:val="24"/>
        </w:rPr>
        <w:t>准（试行）》（</w:t>
      </w:r>
      <w:r>
        <w:rPr>
          <w:rFonts w:ascii="Times New Roman" w:hAnsi="Times New Roman" w:eastAsia="Times New Roman" w:cs="Times New Roman"/>
          <w:spacing w:val="-1"/>
          <w:sz w:val="24"/>
          <w:szCs w:val="24"/>
        </w:rPr>
        <w:t>GB36600-2018</w:t>
      </w:r>
      <w:r>
        <w:rPr>
          <w:rFonts w:ascii="宋体" w:hAnsi="宋体" w:eastAsia="宋体" w:cs="宋体"/>
          <w:spacing w:val="-1"/>
          <w:sz w:val="24"/>
          <w:szCs w:val="24"/>
        </w:rPr>
        <w:t>）第二类用地风险筛选值。</w:t>
      </w:r>
    </w:p>
    <w:p w14:paraId="1E526FC5">
      <w:pPr>
        <w:keepNext w:val="0"/>
        <w:keepLines w:val="0"/>
        <w:pageBreakBefore w:val="0"/>
        <w:widowControl/>
        <w:kinsoku/>
        <w:wordWrap/>
        <w:overflowPunct/>
        <w:topLine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4</w:t>
      </w:r>
      <w:r>
        <w:rPr>
          <w:rFonts w:ascii="宋体" w:hAnsi="宋体" w:eastAsia="宋体" w:cs="宋体"/>
          <w:spacing w:val="-3"/>
          <w:sz w:val="24"/>
          <w:szCs w:val="24"/>
        </w:rPr>
        <w:t>）检测结果及评价</w:t>
      </w:r>
    </w:p>
    <w:p w14:paraId="6B8EC960">
      <w:pPr>
        <w:keepNext w:val="0"/>
        <w:keepLines w:val="0"/>
        <w:pageBreakBefore w:val="0"/>
        <w:widowControl/>
        <w:kinsoku/>
        <w:wordWrap/>
        <w:overflowPunct/>
        <w:topLinePunct/>
        <w:autoSpaceDE/>
        <w:autoSpaceDN/>
        <w:bidi w:val="0"/>
        <w:adjustRightInd/>
        <w:snapToGrid/>
        <w:spacing w:line="360" w:lineRule="auto"/>
        <w:ind w:left="0" w:right="0"/>
        <w:textAlignment w:val="auto"/>
        <w:rPr>
          <w:rFonts w:ascii="宋体" w:hAnsi="宋体" w:eastAsia="宋体" w:cs="宋体"/>
          <w:spacing w:val="-1"/>
          <w:sz w:val="24"/>
          <w:szCs w:val="24"/>
        </w:rPr>
      </w:pPr>
      <w:r>
        <w:rPr>
          <w:rFonts w:ascii="宋体" w:hAnsi="宋体" w:eastAsia="宋体" w:cs="宋体"/>
          <w:spacing w:val="-1"/>
          <w:sz w:val="24"/>
          <w:szCs w:val="24"/>
        </w:rPr>
        <w:t>监测结果如表</w:t>
      </w:r>
      <w:r>
        <w:rPr>
          <w:rFonts w:ascii="Times New Roman" w:hAnsi="Times New Roman" w:eastAsia="Times New Roman" w:cs="Times New Roman"/>
          <w:spacing w:val="-1"/>
          <w:sz w:val="24"/>
          <w:szCs w:val="24"/>
        </w:rPr>
        <w:t>4.2-9</w:t>
      </w:r>
      <w:r>
        <w:rPr>
          <w:rFonts w:hint="eastAsia" w:eastAsia="宋体" w:cs="Times New Roman"/>
          <w:spacing w:val="-1"/>
          <w:sz w:val="24"/>
          <w:szCs w:val="24"/>
          <w:lang w:val="en-US" w:eastAsia="zh-CN"/>
        </w:rPr>
        <w:t>~4.2-10</w:t>
      </w:r>
      <w:r>
        <w:rPr>
          <w:rFonts w:ascii="宋体" w:hAnsi="宋体" w:eastAsia="宋体" w:cs="宋体"/>
          <w:spacing w:val="-1"/>
          <w:sz w:val="24"/>
          <w:szCs w:val="24"/>
        </w:rPr>
        <w:t>所示。</w:t>
      </w:r>
    </w:p>
    <w:p w14:paraId="0D4DD3F7">
      <w:pPr>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hint="default" w:ascii="宋体" w:hAnsi="宋体" w:eastAsia="宋体" w:cs="宋体"/>
          <w:sz w:val="21"/>
          <w:szCs w:val="21"/>
          <w:lang w:val="en-US" w:eastAsia="zh-CN"/>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4.2-9</w:t>
      </w:r>
      <w:r>
        <w:rPr>
          <w:rFonts w:ascii="宋体" w:hAnsi="宋体" w:eastAsia="宋体" w:cs="宋体"/>
          <w:b/>
          <w:bCs/>
          <w:spacing w:val="-2"/>
          <w:sz w:val="21"/>
          <w:szCs w:val="21"/>
        </w:rPr>
        <w:t>土壤</w:t>
      </w:r>
      <w:r>
        <w:rPr>
          <w:rFonts w:hint="eastAsia" w:ascii="宋体" w:hAnsi="宋体" w:cs="宋体"/>
          <w:b/>
          <w:bCs/>
          <w:spacing w:val="-2"/>
          <w:sz w:val="21"/>
          <w:szCs w:val="21"/>
          <w:lang w:val="en-US" w:eastAsia="zh-CN"/>
        </w:rPr>
        <w:t>理化性质一览表</w:t>
      </w:r>
    </w:p>
    <w:tbl>
      <w:tblPr>
        <w:tblStyle w:val="46"/>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518"/>
        <w:gridCol w:w="3309"/>
        <w:gridCol w:w="4465"/>
      </w:tblGrid>
      <w:tr w14:paraId="668E43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597" w:type="pct"/>
            <w:gridSpan w:val="2"/>
            <w:tcBorders>
              <w:tl2br w:val="nil"/>
              <w:tr2bl w:val="nil"/>
            </w:tcBorders>
            <w:tcMar>
              <w:left w:w="108" w:type="dxa"/>
              <w:right w:w="108" w:type="dxa"/>
            </w:tcMar>
            <w:vAlign w:val="center"/>
          </w:tcPr>
          <w:p w14:paraId="7EB1F354">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采样点位</w:t>
            </w:r>
          </w:p>
        </w:tc>
        <w:tc>
          <w:tcPr>
            <w:tcW w:w="2402" w:type="pct"/>
            <w:tcBorders>
              <w:tl2br w:val="nil"/>
              <w:tr2bl w:val="nil"/>
            </w:tcBorders>
            <w:tcMar>
              <w:left w:w="108" w:type="dxa"/>
              <w:right w:w="108" w:type="dxa"/>
            </w:tcMar>
            <w:vAlign w:val="center"/>
          </w:tcPr>
          <w:p w14:paraId="115D31B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T1项目场地内1#点表层样（0~0.2m）</w:t>
            </w:r>
          </w:p>
        </w:tc>
      </w:tr>
      <w:tr w14:paraId="1842F3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597" w:type="pct"/>
            <w:gridSpan w:val="2"/>
            <w:tcBorders>
              <w:tl2br w:val="nil"/>
              <w:tr2bl w:val="nil"/>
            </w:tcBorders>
            <w:tcMar>
              <w:left w:w="108" w:type="dxa"/>
              <w:right w:w="108" w:type="dxa"/>
            </w:tcMar>
            <w:vAlign w:val="center"/>
          </w:tcPr>
          <w:p w14:paraId="22793F0B">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采样深度（m）</w:t>
            </w:r>
          </w:p>
        </w:tc>
        <w:tc>
          <w:tcPr>
            <w:tcW w:w="2402" w:type="pct"/>
            <w:tcBorders>
              <w:tl2br w:val="nil"/>
              <w:tr2bl w:val="nil"/>
            </w:tcBorders>
            <w:tcMar>
              <w:left w:w="108" w:type="dxa"/>
              <w:right w:w="108" w:type="dxa"/>
            </w:tcMar>
            <w:vAlign w:val="center"/>
          </w:tcPr>
          <w:p w14:paraId="59D0530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0m-0.2m</w:t>
            </w:r>
          </w:p>
        </w:tc>
      </w:tr>
      <w:tr w14:paraId="2E5CB7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restart"/>
            <w:tcBorders>
              <w:tl2br w:val="nil"/>
              <w:tr2bl w:val="nil"/>
            </w:tcBorders>
            <w:tcMar>
              <w:left w:w="108" w:type="dxa"/>
              <w:right w:w="108" w:type="dxa"/>
            </w:tcMar>
            <w:vAlign w:val="center"/>
          </w:tcPr>
          <w:p w14:paraId="696D76DB">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现场记录</w:t>
            </w:r>
          </w:p>
        </w:tc>
        <w:tc>
          <w:tcPr>
            <w:tcW w:w="1780" w:type="pct"/>
            <w:tcBorders>
              <w:tl2br w:val="nil"/>
              <w:tr2bl w:val="nil"/>
            </w:tcBorders>
            <w:tcMar>
              <w:left w:w="108" w:type="dxa"/>
              <w:right w:w="108" w:type="dxa"/>
            </w:tcMar>
            <w:vAlign w:val="center"/>
          </w:tcPr>
          <w:p w14:paraId="7F875367">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颜色</w:t>
            </w:r>
          </w:p>
        </w:tc>
        <w:tc>
          <w:tcPr>
            <w:tcW w:w="2402" w:type="pct"/>
            <w:tcBorders>
              <w:tl2br w:val="nil"/>
              <w:tr2bl w:val="nil"/>
            </w:tcBorders>
            <w:tcMar>
              <w:left w:w="108" w:type="dxa"/>
              <w:right w:w="108" w:type="dxa"/>
            </w:tcMar>
            <w:vAlign w:val="center"/>
          </w:tcPr>
          <w:p w14:paraId="00F89A3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黄棕</w:t>
            </w:r>
          </w:p>
        </w:tc>
      </w:tr>
      <w:tr w14:paraId="18BB79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55448EC1">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55B6D08A">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结构</w:t>
            </w:r>
          </w:p>
        </w:tc>
        <w:tc>
          <w:tcPr>
            <w:tcW w:w="2402" w:type="pct"/>
            <w:tcBorders>
              <w:tl2br w:val="nil"/>
              <w:tr2bl w:val="nil"/>
            </w:tcBorders>
            <w:tcMar>
              <w:left w:w="108" w:type="dxa"/>
              <w:right w:w="108" w:type="dxa"/>
            </w:tcMar>
            <w:vAlign w:val="center"/>
          </w:tcPr>
          <w:p w14:paraId="36174B8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粒状</w:t>
            </w:r>
          </w:p>
        </w:tc>
      </w:tr>
      <w:tr w14:paraId="3C62DC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490A81F5">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2ED9E0E2">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质地</w:t>
            </w:r>
          </w:p>
        </w:tc>
        <w:tc>
          <w:tcPr>
            <w:tcW w:w="2402" w:type="pct"/>
            <w:tcBorders>
              <w:tl2br w:val="nil"/>
              <w:tr2bl w:val="nil"/>
            </w:tcBorders>
            <w:tcMar>
              <w:left w:w="108" w:type="dxa"/>
              <w:right w:w="108" w:type="dxa"/>
            </w:tcMar>
            <w:vAlign w:val="center"/>
          </w:tcPr>
          <w:p w14:paraId="1BC58B9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壤土</w:t>
            </w:r>
          </w:p>
        </w:tc>
      </w:tr>
      <w:tr w14:paraId="40C804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3DE4F559">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4DF9132A">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砂砾含量（%）</w:t>
            </w:r>
          </w:p>
        </w:tc>
        <w:tc>
          <w:tcPr>
            <w:tcW w:w="2402" w:type="pct"/>
            <w:tcBorders>
              <w:tl2br w:val="nil"/>
              <w:tr2bl w:val="nil"/>
            </w:tcBorders>
            <w:tcMar>
              <w:left w:w="108" w:type="dxa"/>
              <w:right w:w="108" w:type="dxa"/>
            </w:tcMar>
            <w:vAlign w:val="center"/>
          </w:tcPr>
          <w:p w14:paraId="0A1FC54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5</w:t>
            </w:r>
          </w:p>
        </w:tc>
      </w:tr>
      <w:tr w14:paraId="57FB83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restart"/>
            <w:tcBorders>
              <w:tl2br w:val="nil"/>
              <w:tr2bl w:val="nil"/>
            </w:tcBorders>
            <w:tcMar>
              <w:left w:w="108" w:type="dxa"/>
              <w:right w:w="108" w:type="dxa"/>
            </w:tcMar>
            <w:vAlign w:val="center"/>
          </w:tcPr>
          <w:p w14:paraId="61E237AA">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实验室记录</w:t>
            </w:r>
          </w:p>
        </w:tc>
        <w:tc>
          <w:tcPr>
            <w:tcW w:w="1780" w:type="pct"/>
            <w:tcBorders>
              <w:tl2br w:val="nil"/>
              <w:tr2bl w:val="nil"/>
            </w:tcBorders>
            <w:tcMar>
              <w:left w:w="108" w:type="dxa"/>
              <w:right w:w="108" w:type="dxa"/>
            </w:tcMar>
            <w:vAlign w:val="center"/>
          </w:tcPr>
          <w:p w14:paraId="66107FFD">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土壤容重（g/cm</w:t>
            </w:r>
            <w:r>
              <w:rPr>
                <w:vertAlign w:val="superscript"/>
              </w:rPr>
              <w:t>3</w:t>
            </w:r>
            <w:r>
              <w:t>）</w:t>
            </w:r>
          </w:p>
        </w:tc>
        <w:tc>
          <w:tcPr>
            <w:tcW w:w="2402" w:type="pct"/>
            <w:tcBorders>
              <w:tl2br w:val="nil"/>
              <w:tr2bl w:val="nil"/>
            </w:tcBorders>
            <w:tcMar>
              <w:left w:w="108" w:type="dxa"/>
              <w:right w:w="108" w:type="dxa"/>
            </w:tcMar>
            <w:vAlign w:val="center"/>
          </w:tcPr>
          <w:p w14:paraId="0BC731B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1.10</w:t>
            </w:r>
          </w:p>
        </w:tc>
      </w:tr>
      <w:tr w14:paraId="595DB6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1F394890">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365358B4">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氧化还原电位（mv）</w:t>
            </w:r>
          </w:p>
        </w:tc>
        <w:tc>
          <w:tcPr>
            <w:tcW w:w="2402" w:type="pct"/>
            <w:tcBorders>
              <w:tl2br w:val="nil"/>
              <w:tr2bl w:val="nil"/>
            </w:tcBorders>
            <w:tcMar>
              <w:left w:w="108" w:type="dxa"/>
              <w:right w:w="108" w:type="dxa"/>
            </w:tcMar>
            <w:vAlign w:val="center"/>
          </w:tcPr>
          <w:p w14:paraId="30882D3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660</w:t>
            </w:r>
          </w:p>
        </w:tc>
      </w:tr>
      <w:tr w14:paraId="239D51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1DA4CB16">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27E29967">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阳离子交换量cmol（+）/kg</w:t>
            </w:r>
          </w:p>
        </w:tc>
        <w:tc>
          <w:tcPr>
            <w:tcW w:w="2402" w:type="pct"/>
            <w:tcBorders>
              <w:tl2br w:val="nil"/>
              <w:tr2bl w:val="nil"/>
            </w:tcBorders>
            <w:tcMar>
              <w:left w:w="108" w:type="dxa"/>
              <w:right w:w="108" w:type="dxa"/>
            </w:tcMar>
            <w:vAlign w:val="center"/>
          </w:tcPr>
          <w:p w14:paraId="4A0332C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5.8</w:t>
            </w:r>
          </w:p>
        </w:tc>
      </w:tr>
      <w:tr w14:paraId="52D476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4AA04BF7">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43DC6B40">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土壤渗透率（mm/min）</w:t>
            </w:r>
          </w:p>
        </w:tc>
        <w:tc>
          <w:tcPr>
            <w:tcW w:w="2402" w:type="pct"/>
            <w:tcBorders>
              <w:tl2br w:val="nil"/>
              <w:tr2bl w:val="nil"/>
            </w:tcBorders>
            <w:tcMar>
              <w:left w:w="108" w:type="dxa"/>
              <w:right w:w="108" w:type="dxa"/>
            </w:tcMar>
            <w:vAlign w:val="center"/>
          </w:tcPr>
          <w:p w14:paraId="67C0288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0.071</w:t>
            </w:r>
          </w:p>
        </w:tc>
      </w:tr>
      <w:tr w14:paraId="77FEB7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817" w:type="pct"/>
            <w:vMerge w:val="continue"/>
            <w:tcBorders>
              <w:tl2br w:val="nil"/>
              <w:tr2bl w:val="nil"/>
            </w:tcBorders>
            <w:tcMar>
              <w:left w:w="108" w:type="dxa"/>
              <w:right w:w="108" w:type="dxa"/>
            </w:tcMar>
            <w:vAlign w:val="center"/>
          </w:tcPr>
          <w:p w14:paraId="442F3DB0">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p>
        </w:tc>
        <w:tc>
          <w:tcPr>
            <w:tcW w:w="1780" w:type="pct"/>
            <w:tcBorders>
              <w:tl2br w:val="nil"/>
              <w:tr2bl w:val="nil"/>
            </w:tcBorders>
            <w:tcMar>
              <w:left w:w="108" w:type="dxa"/>
              <w:right w:w="108" w:type="dxa"/>
            </w:tcMar>
            <w:vAlign w:val="center"/>
          </w:tcPr>
          <w:p w14:paraId="43809A52">
            <w:pPr>
              <w:keepNext w:val="0"/>
              <w:keepLines w:val="0"/>
              <w:pageBreakBefore w:val="0"/>
              <w:widowControl/>
              <w:kinsoku/>
              <w:wordWrap/>
              <w:overflowPunct/>
              <w:topLinePunct/>
              <w:autoSpaceDE/>
              <w:autoSpaceDN/>
              <w:bidi w:val="0"/>
              <w:adjustRightInd/>
              <w:snapToGrid/>
              <w:spacing w:line="240" w:lineRule="auto"/>
              <w:ind w:firstLine="0" w:firstLineChars="0"/>
              <w:textAlignment w:val="auto"/>
            </w:pPr>
            <w:r>
              <w:t>孔隙度（%）</w:t>
            </w:r>
          </w:p>
        </w:tc>
        <w:tc>
          <w:tcPr>
            <w:tcW w:w="2402" w:type="pct"/>
            <w:tcBorders>
              <w:tl2br w:val="nil"/>
              <w:tr2bl w:val="nil"/>
            </w:tcBorders>
            <w:tcMar>
              <w:left w:w="108" w:type="dxa"/>
              <w:right w:w="108" w:type="dxa"/>
            </w:tcMar>
            <w:vAlign w:val="center"/>
          </w:tcPr>
          <w:p w14:paraId="18489A4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45.3</w:t>
            </w:r>
          </w:p>
        </w:tc>
      </w:tr>
    </w:tbl>
    <w:p w14:paraId="07335EA7">
      <w:pPr>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4.2-</w:t>
      </w:r>
      <w:r>
        <w:rPr>
          <w:rFonts w:hint="eastAsia" w:eastAsia="宋体" w:cs="Times New Roman"/>
          <w:b/>
          <w:bCs/>
          <w:spacing w:val="-2"/>
          <w:sz w:val="21"/>
          <w:szCs w:val="21"/>
          <w:lang w:val="en-US" w:eastAsia="zh-CN"/>
        </w:rPr>
        <w:t xml:space="preserve">10  </w:t>
      </w:r>
      <w:r>
        <w:rPr>
          <w:rFonts w:ascii="宋体" w:hAnsi="宋体" w:eastAsia="宋体" w:cs="宋体"/>
          <w:b/>
          <w:bCs/>
          <w:spacing w:val="-2"/>
          <w:sz w:val="21"/>
          <w:szCs w:val="21"/>
        </w:rPr>
        <w:t>土壤环境质量现状监测结果</w:t>
      </w:r>
    </w:p>
    <w:tbl>
      <w:tblPr>
        <w:tblStyle w:val="111"/>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554"/>
        <w:gridCol w:w="1063"/>
        <w:gridCol w:w="1021"/>
        <w:gridCol w:w="1635"/>
        <w:gridCol w:w="1560"/>
        <w:gridCol w:w="1129"/>
        <w:gridCol w:w="1139"/>
      </w:tblGrid>
      <w:tr w14:paraId="00E624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tcBorders>
              <w:tl2br w:val="nil"/>
              <w:tr2bl w:val="nil"/>
            </w:tcBorders>
            <w:shd w:val="clear" w:color="auto" w:fill="auto"/>
            <w:vAlign w:val="center"/>
          </w:tcPr>
          <w:p w14:paraId="465A77ED">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b/>
                <w:bCs/>
                <w:color w:val="auto"/>
                <w:kern w:val="2"/>
                <w:sz w:val="20"/>
                <w:szCs w:val="20"/>
                <w:lang w:val="en-US" w:eastAsia="en-US" w:bidi="ar-SA"/>
              </w:rPr>
            </w:pPr>
            <w:r>
              <w:rPr>
                <w:b/>
                <w:bCs/>
                <w:spacing w:val="7"/>
              </w:rPr>
              <w:t>采样点位</w:t>
            </w:r>
          </w:p>
        </w:tc>
        <w:tc>
          <w:tcPr>
            <w:tcW w:w="584" w:type="pct"/>
            <w:tcBorders>
              <w:tl2br w:val="nil"/>
              <w:tr2bl w:val="nil"/>
            </w:tcBorders>
            <w:shd w:val="clear" w:color="auto" w:fill="auto"/>
            <w:vAlign w:val="center"/>
          </w:tcPr>
          <w:p w14:paraId="17F3C08E">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b/>
                <w:bCs/>
                <w:color w:val="auto"/>
                <w:kern w:val="2"/>
                <w:sz w:val="20"/>
                <w:szCs w:val="20"/>
                <w:lang w:val="en-US" w:eastAsia="en-US" w:bidi="ar-SA"/>
              </w:rPr>
            </w:pPr>
            <w:r>
              <w:rPr>
                <w:b/>
                <w:bCs/>
                <w:spacing w:val="7"/>
              </w:rPr>
              <w:t>采样深度</w:t>
            </w:r>
          </w:p>
        </w:tc>
        <w:tc>
          <w:tcPr>
            <w:tcW w:w="1459" w:type="pct"/>
            <w:gridSpan w:val="2"/>
            <w:tcBorders>
              <w:tl2br w:val="nil"/>
              <w:tr2bl w:val="nil"/>
            </w:tcBorders>
            <w:shd w:val="clear" w:color="auto" w:fill="auto"/>
            <w:vAlign w:val="center"/>
          </w:tcPr>
          <w:p w14:paraId="73E586B7">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b/>
                <w:bCs/>
                <w:color w:val="auto"/>
                <w:kern w:val="2"/>
                <w:sz w:val="20"/>
                <w:szCs w:val="20"/>
                <w:lang w:val="en-US" w:eastAsia="en-US" w:bidi="ar-SA"/>
              </w:rPr>
            </w:pPr>
            <w:r>
              <w:rPr>
                <w:b/>
                <w:bCs/>
                <w:spacing w:val="7"/>
              </w:rPr>
              <w:t>检测项目</w:t>
            </w:r>
          </w:p>
        </w:tc>
        <w:tc>
          <w:tcPr>
            <w:tcW w:w="857" w:type="pct"/>
            <w:tcBorders>
              <w:tl2br w:val="nil"/>
              <w:tr2bl w:val="nil"/>
            </w:tcBorders>
            <w:shd w:val="clear" w:color="auto" w:fill="auto"/>
            <w:vAlign w:val="center"/>
          </w:tcPr>
          <w:p w14:paraId="5BE62677">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b/>
                <w:bCs/>
                <w:color w:val="auto"/>
                <w:kern w:val="2"/>
                <w:sz w:val="20"/>
                <w:szCs w:val="20"/>
                <w:lang w:val="en-US" w:eastAsia="en-US" w:bidi="ar-SA"/>
              </w:rPr>
            </w:pPr>
            <w:r>
              <w:rPr>
                <w:b/>
                <w:bCs/>
                <w:spacing w:val="7"/>
              </w:rPr>
              <w:t>计量单位</w:t>
            </w:r>
          </w:p>
        </w:tc>
        <w:tc>
          <w:tcPr>
            <w:tcW w:w="620" w:type="pct"/>
            <w:tcBorders>
              <w:tl2br w:val="nil"/>
              <w:tr2bl w:val="nil"/>
            </w:tcBorders>
            <w:shd w:val="clear" w:color="auto" w:fill="auto"/>
            <w:vAlign w:val="center"/>
          </w:tcPr>
          <w:p w14:paraId="380B9F8E">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b/>
                <w:bCs/>
                <w:spacing w:val="7"/>
              </w:rPr>
            </w:pPr>
            <w:r>
              <w:rPr>
                <w:b/>
                <w:bCs/>
                <w:spacing w:val="7"/>
              </w:rPr>
              <w:t>检测结果</w:t>
            </w:r>
          </w:p>
        </w:tc>
        <w:tc>
          <w:tcPr>
            <w:tcW w:w="623" w:type="pct"/>
            <w:tcBorders>
              <w:tl2br w:val="nil"/>
              <w:tr2bl w:val="nil"/>
            </w:tcBorders>
            <w:shd w:val="clear" w:color="auto" w:fill="auto"/>
            <w:vAlign w:val="center"/>
          </w:tcPr>
          <w:p w14:paraId="11562907">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b/>
                <w:bCs/>
                <w:spacing w:val="2"/>
                <w:sz w:val="20"/>
                <w:szCs w:val="20"/>
              </w:rPr>
            </w:pPr>
            <w:r>
              <w:rPr>
                <w:b/>
                <w:bCs/>
                <w:spacing w:val="6"/>
              </w:rPr>
              <w:t>筛选值</w:t>
            </w:r>
          </w:p>
        </w:tc>
      </w:tr>
      <w:tr w14:paraId="39D208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restart"/>
            <w:tcBorders>
              <w:tl2br w:val="nil"/>
              <w:tr2bl w:val="nil"/>
            </w:tcBorders>
            <w:shd w:val="clear" w:color="auto" w:fill="auto"/>
            <w:vAlign w:val="center"/>
          </w:tcPr>
          <w:p w14:paraId="1102C8D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5"/>
              </w:rPr>
              <w:t>T1</w:t>
            </w:r>
            <w:r>
              <w:rPr>
                <w:spacing w:val="5"/>
              </w:rPr>
              <w:t>项目场地内</w:t>
            </w:r>
          </w:p>
          <w:p w14:paraId="1D18A064">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rFonts w:ascii="Times New Roman" w:hAnsi="Times New Roman" w:eastAsia="Times New Roman" w:cs="Times New Roman"/>
                <w:spacing w:val="3"/>
              </w:rPr>
              <w:t>1#</w:t>
            </w:r>
            <w:r>
              <w:rPr>
                <w:spacing w:val="3"/>
              </w:rPr>
              <w:t>点表层样</w:t>
            </w:r>
          </w:p>
        </w:tc>
        <w:tc>
          <w:tcPr>
            <w:tcW w:w="584" w:type="pct"/>
            <w:vMerge w:val="restart"/>
            <w:tcBorders>
              <w:tl2br w:val="nil"/>
              <w:tr2bl w:val="nil"/>
            </w:tcBorders>
            <w:shd w:val="clear" w:color="auto" w:fill="auto"/>
            <w:vAlign w:val="center"/>
          </w:tcPr>
          <w:p w14:paraId="46730E60">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3"/>
                <w:sz w:val="20"/>
                <w:szCs w:val="20"/>
              </w:rPr>
              <w:t>0-0.2m</w:t>
            </w:r>
          </w:p>
        </w:tc>
        <w:tc>
          <w:tcPr>
            <w:tcW w:w="1459" w:type="pct"/>
            <w:gridSpan w:val="2"/>
            <w:tcBorders>
              <w:tl2br w:val="nil"/>
              <w:tr2bl w:val="nil"/>
            </w:tcBorders>
            <w:shd w:val="clear" w:color="auto" w:fill="auto"/>
            <w:vAlign w:val="center"/>
          </w:tcPr>
          <w:p w14:paraId="5F7A7E8C">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rFonts w:ascii="Times New Roman" w:hAnsi="Times New Roman" w:eastAsia="Times New Roman" w:cs="Times New Roman"/>
              </w:rPr>
              <w:t>pH</w:t>
            </w:r>
            <w:r>
              <w:rPr>
                <w:spacing w:val="13"/>
              </w:rPr>
              <w:t>值</w:t>
            </w:r>
          </w:p>
        </w:tc>
        <w:tc>
          <w:tcPr>
            <w:tcW w:w="857" w:type="pct"/>
            <w:tcBorders>
              <w:tl2br w:val="nil"/>
              <w:tr2bl w:val="nil"/>
            </w:tcBorders>
            <w:shd w:val="clear" w:color="auto" w:fill="auto"/>
            <w:vAlign w:val="center"/>
          </w:tcPr>
          <w:p w14:paraId="7DE1B050">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6"/>
              </w:rPr>
              <w:t>无量纲</w:t>
            </w:r>
          </w:p>
        </w:tc>
        <w:tc>
          <w:tcPr>
            <w:tcW w:w="620" w:type="pct"/>
            <w:tcBorders>
              <w:tl2br w:val="nil"/>
              <w:tr2bl w:val="nil"/>
            </w:tcBorders>
            <w:shd w:val="clear" w:color="auto" w:fill="auto"/>
            <w:vAlign w:val="center"/>
          </w:tcPr>
          <w:p w14:paraId="6FC8A1C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5.38</w:t>
            </w:r>
          </w:p>
        </w:tc>
        <w:tc>
          <w:tcPr>
            <w:tcW w:w="623" w:type="pct"/>
            <w:tcBorders>
              <w:tl2br w:val="nil"/>
              <w:tr2bl w:val="nil"/>
            </w:tcBorders>
            <w:shd w:val="clear" w:color="auto" w:fill="auto"/>
            <w:vAlign w:val="center"/>
          </w:tcPr>
          <w:p w14:paraId="4CB4DA2D">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0414B8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57C4592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6204D0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7F4F3F26">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7"/>
              </w:rPr>
              <w:t>氰化物</w:t>
            </w:r>
          </w:p>
        </w:tc>
        <w:tc>
          <w:tcPr>
            <w:tcW w:w="857" w:type="pct"/>
            <w:tcBorders>
              <w:tl2br w:val="nil"/>
              <w:tr2bl w:val="nil"/>
            </w:tcBorders>
            <w:shd w:val="clear" w:color="auto" w:fill="auto"/>
            <w:vAlign w:val="center"/>
          </w:tcPr>
          <w:p w14:paraId="45FDA185">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704355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shd w:val="clear" w:color="auto" w:fill="auto"/>
            <w:vAlign w:val="center"/>
          </w:tcPr>
          <w:p w14:paraId="161E9292">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3"/>
                <w:sz w:val="20"/>
                <w:szCs w:val="20"/>
              </w:rPr>
              <w:t>135</w:t>
            </w:r>
          </w:p>
        </w:tc>
      </w:tr>
      <w:tr w14:paraId="770F3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147C2B5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6A29BD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155B7619">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8"/>
              </w:rPr>
              <w:t>氧化还原电位</w:t>
            </w:r>
          </w:p>
        </w:tc>
        <w:tc>
          <w:tcPr>
            <w:tcW w:w="857" w:type="pct"/>
            <w:tcBorders>
              <w:tl2br w:val="nil"/>
              <w:tr2bl w:val="nil"/>
            </w:tcBorders>
            <w:shd w:val="clear" w:color="auto" w:fill="auto"/>
            <w:vAlign w:val="center"/>
          </w:tcPr>
          <w:p w14:paraId="645A108D">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6"/>
                <w:sz w:val="20"/>
                <w:szCs w:val="20"/>
              </w:rPr>
              <w:t>mV</w:t>
            </w:r>
          </w:p>
        </w:tc>
        <w:tc>
          <w:tcPr>
            <w:tcW w:w="620" w:type="pct"/>
            <w:tcBorders>
              <w:tl2br w:val="nil"/>
              <w:tr2bl w:val="nil"/>
            </w:tcBorders>
            <w:shd w:val="clear" w:color="auto" w:fill="auto"/>
            <w:vAlign w:val="center"/>
          </w:tcPr>
          <w:p w14:paraId="6D1CEC0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660</w:t>
            </w:r>
          </w:p>
        </w:tc>
        <w:tc>
          <w:tcPr>
            <w:tcW w:w="623" w:type="pct"/>
            <w:tcBorders>
              <w:tl2br w:val="nil"/>
              <w:tr2bl w:val="nil"/>
            </w:tcBorders>
            <w:shd w:val="clear" w:color="auto" w:fill="auto"/>
            <w:vAlign w:val="center"/>
          </w:tcPr>
          <w:p w14:paraId="7F0C53FE">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5325CF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2D7609A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074DCD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7D2B50F8">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5"/>
              </w:rPr>
              <w:t>阳离子交换量</w:t>
            </w:r>
          </w:p>
        </w:tc>
        <w:tc>
          <w:tcPr>
            <w:tcW w:w="857" w:type="pct"/>
            <w:tcBorders>
              <w:tl2br w:val="nil"/>
              <w:tr2bl w:val="nil"/>
            </w:tcBorders>
            <w:shd w:val="clear" w:color="auto" w:fill="auto"/>
            <w:vAlign w:val="center"/>
          </w:tcPr>
          <w:p w14:paraId="77FB5612">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cmol</w:t>
            </w:r>
            <w:r>
              <w:rPr>
                <w:rFonts w:ascii="Times New Roman" w:hAnsi="Times New Roman" w:eastAsia="Times New Roman" w:cs="Times New Roman"/>
                <w:spacing w:val="14"/>
                <w:sz w:val="20"/>
                <w:szCs w:val="20"/>
              </w:rPr>
              <w:t>+/</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5766B6A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5.8</w:t>
            </w:r>
          </w:p>
        </w:tc>
        <w:tc>
          <w:tcPr>
            <w:tcW w:w="623" w:type="pct"/>
            <w:tcBorders>
              <w:tl2br w:val="nil"/>
              <w:tr2bl w:val="nil"/>
            </w:tcBorders>
            <w:shd w:val="clear" w:color="auto" w:fill="auto"/>
            <w:vAlign w:val="center"/>
          </w:tcPr>
          <w:p w14:paraId="7E503E85">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0555B6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1CD45CC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FA0D0E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2CE54A19">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7"/>
              </w:rPr>
              <w:t>土壤容重</w:t>
            </w:r>
          </w:p>
        </w:tc>
        <w:tc>
          <w:tcPr>
            <w:tcW w:w="857" w:type="pct"/>
            <w:tcBorders>
              <w:tl2br w:val="nil"/>
              <w:tr2bl w:val="nil"/>
            </w:tcBorders>
            <w:shd w:val="clear" w:color="auto" w:fill="auto"/>
            <w:vAlign w:val="center"/>
          </w:tcPr>
          <w:p w14:paraId="3F6EBAB5">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5"/>
                <w:sz w:val="20"/>
                <w:szCs w:val="20"/>
              </w:rPr>
              <w:t>g/</w:t>
            </w:r>
            <w:r>
              <w:rPr>
                <w:rFonts w:ascii="Times New Roman" w:hAnsi="Times New Roman" w:eastAsia="Times New Roman" w:cs="Times New Roman"/>
                <w:sz w:val="20"/>
                <w:szCs w:val="20"/>
              </w:rPr>
              <w:t>cm</w:t>
            </w:r>
            <w:r>
              <w:rPr>
                <w:rFonts w:ascii="Times New Roman" w:hAnsi="Times New Roman" w:eastAsia="Times New Roman" w:cs="Times New Roman"/>
                <w:spacing w:val="5"/>
                <w:sz w:val="20"/>
                <w:szCs w:val="20"/>
              </w:rPr>
              <w:t>³</w:t>
            </w:r>
          </w:p>
        </w:tc>
        <w:tc>
          <w:tcPr>
            <w:tcW w:w="620" w:type="pct"/>
            <w:tcBorders>
              <w:tl2br w:val="nil"/>
              <w:tr2bl w:val="nil"/>
            </w:tcBorders>
            <w:shd w:val="clear" w:color="auto" w:fill="auto"/>
            <w:vAlign w:val="center"/>
          </w:tcPr>
          <w:p w14:paraId="7AA7F13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1.10</w:t>
            </w:r>
          </w:p>
        </w:tc>
        <w:tc>
          <w:tcPr>
            <w:tcW w:w="623" w:type="pct"/>
            <w:tcBorders>
              <w:tl2br w:val="nil"/>
              <w:tr2bl w:val="nil"/>
            </w:tcBorders>
            <w:shd w:val="clear" w:color="auto" w:fill="auto"/>
            <w:vAlign w:val="center"/>
          </w:tcPr>
          <w:p w14:paraId="021B923C">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4D109E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441854C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5DDA382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19B70033">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6"/>
              </w:rPr>
              <w:t>孔隙度</w:t>
            </w:r>
          </w:p>
        </w:tc>
        <w:tc>
          <w:tcPr>
            <w:tcW w:w="857" w:type="pct"/>
            <w:tcBorders>
              <w:tl2br w:val="nil"/>
              <w:tr2bl w:val="nil"/>
            </w:tcBorders>
            <w:shd w:val="clear" w:color="auto" w:fill="auto"/>
            <w:vAlign w:val="center"/>
          </w:tcPr>
          <w:p w14:paraId="47C12C3A">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w:t>
            </w:r>
          </w:p>
        </w:tc>
        <w:tc>
          <w:tcPr>
            <w:tcW w:w="620" w:type="pct"/>
            <w:tcBorders>
              <w:tl2br w:val="nil"/>
              <w:tr2bl w:val="nil"/>
            </w:tcBorders>
            <w:shd w:val="clear" w:color="auto" w:fill="auto"/>
            <w:vAlign w:val="center"/>
          </w:tcPr>
          <w:p w14:paraId="37796BE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45.3</w:t>
            </w:r>
          </w:p>
        </w:tc>
        <w:tc>
          <w:tcPr>
            <w:tcW w:w="623" w:type="pct"/>
            <w:tcBorders>
              <w:tl2br w:val="nil"/>
              <w:tr2bl w:val="nil"/>
            </w:tcBorders>
            <w:shd w:val="clear" w:color="auto" w:fill="auto"/>
            <w:vAlign w:val="center"/>
          </w:tcPr>
          <w:p w14:paraId="41BB058C">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47D6BF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5A866F8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E9755F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12FF72D3">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7"/>
              </w:rPr>
              <w:t>土壤渗滤率</w:t>
            </w:r>
          </w:p>
        </w:tc>
        <w:tc>
          <w:tcPr>
            <w:tcW w:w="857" w:type="pct"/>
            <w:tcBorders>
              <w:tl2br w:val="nil"/>
              <w:tr2bl w:val="nil"/>
            </w:tcBorders>
            <w:shd w:val="clear" w:color="auto" w:fill="auto"/>
            <w:vAlign w:val="center"/>
          </w:tcPr>
          <w:p w14:paraId="6DE731B8">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mm/min</w:t>
            </w:r>
          </w:p>
        </w:tc>
        <w:tc>
          <w:tcPr>
            <w:tcW w:w="620" w:type="pct"/>
            <w:tcBorders>
              <w:tl2br w:val="nil"/>
              <w:tr2bl w:val="nil"/>
            </w:tcBorders>
            <w:shd w:val="clear" w:color="auto" w:fill="auto"/>
            <w:vAlign w:val="center"/>
          </w:tcPr>
          <w:p w14:paraId="2983499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0.071</w:t>
            </w:r>
          </w:p>
        </w:tc>
        <w:tc>
          <w:tcPr>
            <w:tcW w:w="623" w:type="pct"/>
            <w:tcBorders>
              <w:tl2br w:val="nil"/>
              <w:tr2bl w:val="nil"/>
            </w:tcBorders>
            <w:shd w:val="clear" w:color="auto" w:fill="auto"/>
            <w:vAlign w:val="center"/>
          </w:tcPr>
          <w:p w14:paraId="102AB1DC">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1E835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55256C0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9A806D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32A6D0B8">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6"/>
              </w:rPr>
              <w:t>铬（总铬）</w:t>
            </w:r>
          </w:p>
        </w:tc>
        <w:tc>
          <w:tcPr>
            <w:tcW w:w="857" w:type="pct"/>
            <w:tcBorders>
              <w:tl2br w:val="nil"/>
              <w:tr2bl w:val="nil"/>
            </w:tcBorders>
            <w:shd w:val="clear" w:color="auto" w:fill="auto"/>
            <w:vAlign w:val="center"/>
          </w:tcPr>
          <w:p w14:paraId="7D31E1A7">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4EFA429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146</w:t>
            </w:r>
          </w:p>
        </w:tc>
        <w:tc>
          <w:tcPr>
            <w:tcW w:w="623" w:type="pct"/>
            <w:tcBorders>
              <w:tl2br w:val="nil"/>
              <w:tr2bl w:val="nil"/>
            </w:tcBorders>
            <w:shd w:val="clear" w:color="auto" w:fill="auto"/>
            <w:vAlign w:val="center"/>
          </w:tcPr>
          <w:p w14:paraId="2267542F">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50A7FA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696C2AA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5913E6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0BCDE0E5">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1"/>
              </w:rPr>
              <w:t>锌</w:t>
            </w:r>
          </w:p>
        </w:tc>
        <w:tc>
          <w:tcPr>
            <w:tcW w:w="857" w:type="pct"/>
            <w:tcBorders>
              <w:tl2br w:val="nil"/>
              <w:tr2bl w:val="nil"/>
            </w:tcBorders>
            <w:shd w:val="clear" w:color="auto" w:fill="auto"/>
            <w:vAlign w:val="center"/>
          </w:tcPr>
          <w:p w14:paraId="0553C701">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41067B8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103</w:t>
            </w:r>
          </w:p>
        </w:tc>
        <w:tc>
          <w:tcPr>
            <w:tcW w:w="623" w:type="pct"/>
            <w:tcBorders>
              <w:tl2br w:val="nil"/>
              <w:tr2bl w:val="nil"/>
            </w:tcBorders>
            <w:shd w:val="clear" w:color="auto" w:fill="auto"/>
            <w:vAlign w:val="center"/>
          </w:tcPr>
          <w:p w14:paraId="4DA07C81">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2"/>
                <w:sz w:val="20"/>
                <w:szCs w:val="20"/>
              </w:rPr>
              <w:t>/</w:t>
            </w:r>
          </w:p>
        </w:tc>
      </w:tr>
      <w:tr w14:paraId="5F194A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4B62433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1A6A7B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1A5349A5">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1"/>
              </w:rPr>
              <w:t>砷</w:t>
            </w:r>
          </w:p>
        </w:tc>
        <w:tc>
          <w:tcPr>
            <w:tcW w:w="857" w:type="pct"/>
            <w:tcBorders>
              <w:tl2br w:val="nil"/>
              <w:tr2bl w:val="nil"/>
            </w:tcBorders>
            <w:shd w:val="clear" w:color="auto" w:fill="auto"/>
            <w:vAlign w:val="center"/>
          </w:tcPr>
          <w:p w14:paraId="15186D8F">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329355F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38.1</w:t>
            </w:r>
          </w:p>
        </w:tc>
        <w:tc>
          <w:tcPr>
            <w:tcW w:w="623" w:type="pct"/>
            <w:tcBorders>
              <w:tl2br w:val="nil"/>
              <w:tr2bl w:val="nil"/>
            </w:tcBorders>
            <w:shd w:val="clear" w:color="auto" w:fill="auto"/>
            <w:vAlign w:val="center"/>
          </w:tcPr>
          <w:p w14:paraId="0FE4B760">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60</w:t>
            </w:r>
          </w:p>
        </w:tc>
      </w:tr>
      <w:tr w14:paraId="016608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565C3A8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AB99FB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2C5DCD43">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2"/>
              </w:rPr>
              <w:t>镉</w:t>
            </w:r>
          </w:p>
        </w:tc>
        <w:tc>
          <w:tcPr>
            <w:tcW w:w="857" w:type="pct"/>
            <w:tcBorders>
              <w:tl2br w:val="nil"/>
              <w:tr2bl w:val="nil"/>
            </w:tcBorders>
            <w:shd w:val="clear" w:color="auto" w:fill="auto"/>
            <w:vAlign w:val="center"/>
          </w:tcPr>
          <w:p w14:paraId="67FCE42D">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7A7DB82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0.11</w:t>
            </w:r>
          </w:p>
        </w:tc>
        <w:tc>
          <w:tcPr>
            <w:tcW w:w="623" w:type="pct"/>
            <w:tcBorders>
              <w:tl2br w:val="nil"/>
              <w:tr2bl w:val="nil"/>
            </w:tcBorders>
            <w:shd w:val="clear" w:color="auto" w:fill="auto"/>
            <w:vAlign w:val="center"/>
          </w:tcPr>
          <w:p w14:paraId="676BF69A">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65</w:t>
            </w:r>
          </w:p>
        </w:tc>
      </w:tr>
      <w:tr w14:paraId="36A7E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7196371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5AA48C0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4EA645C6">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rPr>
                <w:spacing w:val="6"/>
              </w:rPr>
              <w:t>六价铬</w:t>
            </w:r>
          </w:p>
        </w:tc>
        <w:tc>
          <w:tcPr>
            <w:tcW w:w="857" w:type="pct"/>
            <w:tcBorders>
              <w:tl2br w:val="nil"/>
              <w:tr2bl w:val="nil"/>
            </w:tcBorders>
            <w:shd w:val="clear" w:color="auto" w:fill="auto"/>
            <w:vAlign w:val="center"/>
          </w:tcPr>
          <w:p w14:paraId="2780954F">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0DA62C3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shd w:val="clear" w:color="auto" w:fill="auto"/>
            <w:vAlign w:val="center"/>
          </w:tcPr>
          <w:p w14:paraId="3A5BBA2C">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5.7</w:t>
            </w:r>
          </w:p>
        </w:tc>
      </w:tr>
      <w:tr w14:paraId="1580BE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1390AB5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EF1FD3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09152144">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t>铜</w:t>
            </w:r>
          </w:p>
        </w:tc>
        <w:tc>
          <w:tcPr>
            <w:tcW w:w="857" w:type="pct"/>
            <w:tcBorders>
              <w:tl2br w:val="nil"/>
              <w:tr2bl w:val="nil"/>
            </w:tcBorders>
            <w:shd w:val="clear" w:color="auto" w:fill="auto"/>
            <w:vAlign w:val="center"/>
          </w:tcPr>
          <w:p w14:paraId="1770DEE6">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4655B68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44</w:t>
            </w:r>
          </w:p>
        </w:tc>
        <w:tc>
          <w:tcPr>
            <w:tcW w:w="623" w:type="pct"/>
            <w:tcBorders>
              <w:tl2br w:val="nil"/>
              <w:tr2bl w:val="nil"/>
            </w:tcBorders>
            <w:shd w:val="clear" w:color="auto" w:fill="auto"/>
            <w:vAlign w:val="center"/>
          </w:tcPr>
          <w:p w14:paraId="1528DFE2">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18000</w:t>
            </w:r>
          </w:p>
        </w:tc>
      </w:tr>
      <w:tr w14:paraId="7B3B97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0ACB277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633A21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shd w:val="clear" w:color="auto" w:fill="auto"/>
            <w:vAlign w:val="center"/>
          </w:tcPr>
          <w:p w14:paraId="15E30738">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color w:val="auto"/>
                <w:kern w:val="2"/>
                <w:sz w:val="20"/>
                <w:szCs w:val="20"/>
                <w:lang w:val="en-US" w:eastAsia="en-US" w:bidi="ar-SA"/>
              </w:rPr>
            </w:pPr>
            <w:r>
              <w:t>铅</w:t>
            </w:r>
          </w:p>
        </w:tc>
        <w:tc>
          <w:tcPr>
            <w:tcW w:w="857" w:type="pct"/>
            <w:tcBorders>
              <w:tl2br w:val="nil"/>
              <w:tr2bl w:val="nil"/>
            </w:tcBorders>
            <w:shd w:val="clear" w:color="auto" w:fill="auto"/>
            <w:vAlign w:val="center"/>
          </w:tcPr>
          <w:p w14:paraId="37200FD7">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0181BB6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27</w:t>
            </w:r>
          </w:p>
        </w:tc>
        <w:tc>
          <w:tcPr>
            <w:tcW w:w="623" w:type="pct"/>
            <w:tcBorders>
              <w:tl2br w:val="nil"/>
              <w:tr2bl w:val="nil"/>
            </w:tcBorders>
            <w:shd w:val="clear" w:color="auto" w:fill="auto"/>
            <w:vAlign w:val="center"/>
          </w:tcPr>
          <w:p w14:paraId="2DB8FF64">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sz w:val="20"/>
                <w:szCs w:val="20"/>
              </w:rPr>
              <w:t>800</w:t>
            </w:r>
          </w:p>
        </w:tc>
      </w:tr>
      <w:tr w14:paraId="26E83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continue"/>
            <w:tcBorders>
              <w:tl2br w:val="nil"/>
              <w:tr2bl w:val="nil"/>
            </w:tcBorders>
            <w:vAlign w:val="center"/>
          </w:tcPr>
          <w:p w14:paraId="2A11B1B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2D0B07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62C38CC8">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汞（总汞）</w:t>
            </w:r>
          </w:p>
        </w:tc>
        <w:tc>
          <w:tcPr>
            <w:tcW w:w="857" w:type="pct"/>
            <w:tcBorders>
              <w:tl2br w:val="nil"/>
              <w:tr2bl w:val="nil"/>
            </w:tcBorders>
            <w:vAlign w:val="center"/>
          </w:tcPr>
          <w:p w14:paraId="2BB652B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2CF716E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0.193</w:t>
            </w:r>
          </w:p>
        </w:tc>
        <w:tc>
          <w:tcPr>
            <w:tcW w:w="623" w:type="pct"/>
            <w:tcBorders>
              <w:tl2br w:val="nil"/>
              <w:tr2bl w:val="nil"/>
            </w:tcBorders>
            <w:vAlign w:val="center"/>
          </w:tcPr>
          <w:p w14:paraId="39ED3CC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14:paraId="5EC1A6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0085289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EC914B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516F872">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镍</w:t>
            </w:r>
          </w:p>
        </w:tc>
        <w:tc>
          <w:tcPr>
            <w:tcW w:w="857" w:type="pct"/>
            <w:tcBorders>
              <w:tl2br w:val="nil"/>
              <w:tr2bl w:val="nil"/>
            </w:tcBorders>
            <w:vAlign w:val="center"/>
          </w:tcPr>
          <w:p w14:paraId="0768A14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5834E96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31</w:t>
            </w:r>
          </w:p>
        </w:tc>
        <w:tc>
          <w:tcPr>
            <w:tcW w:w="623" w:type="pct"/>
            <w:tcBorders>
              <w:tl2br w:val="nil"/>
              <w:tr2bl w:val="nil"/>
            </w:tcBorders>
            <w:vAlign w:val="center"/>
          </w:tcPr>
          <w:p w14:paraId="697368E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900</w:t>
            </w:r>
          </w:p>
        </w:tc>
      </w:tr>
      <w:tr w14:paraId="7A8327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053FE0A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2DEC10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7F080E9">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2"/>
              </w:rPr>
              <w:t>四氯化碳</w:t>
            </w:r>
          </w:p>
        </w:tc>
        <w:tc>
          <w:tcPr>
            <w:tcW w:w="857" w:type="pct"/>
            <w:tcBorders>
              <w:tl2br w:val="nil"/>
              <w:tr2bl w:val="nil"/>
            </w:tcBorders>
            <w:vAlign w:val="center"/>
          </w:tcPr>
          <w:p w14:paraId="00E80A1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1BB1E8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9FECCF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r>
      <w:tr w14:paraId="530D8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4A4592E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D447B8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6158250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3"/>
              </w:rPr>
              <w:t>氯仿</w:t>
            </w:r>
          </w:p>
        </w:tc>
        <w:tc>
          <w:tcPr>
            <w:tcW w:w="857" w:type="pct"/>
            <w:tcBorders>
              <w:tl2br w:val="nil"/>
              <w:tr2bl w:val="nil"/>
            </w:tcBorders>
            <w:vAlign w:val="center"/>
          </w:tcPr>
          <w:p w14:paraId="58C7674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4DBFE73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5DA37B7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0.9</w:t>
            </w:r>
          </w:p>
        </w:tc>
      </w:tr>
      <w:tr w14:paraId="31AB6B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A70B93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F97243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64926F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氯甲烷</w:t>
            </w:r>
          </w:p>
        </w:tc>
        <w:tc>
          <w:tcPr>
            <w:tcW w:w="857" w:type="pct"/>
            <w:tcBorders>
              <w:tl2br w:val="nil"/>
              <w:tr2bl w:val="nil"/>
            </w:tcBorders>
            <w:vAlign w:val="center"/>
          </w:tcPr>
          <w:p w14:paraId="2409101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2B9975C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1405770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37</w:t>
            </w:r>
          </w:p>
        </w:tc>
      </w:tr>
      <w:tr w14:paraId="31474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29B06DA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C1BB4D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restart"/>
            <w:tcBorders>
              <w:tl2br w:val="nil"/>
              <w:tr2bl w:val="nil"/>
            </w:tcBorders>
            <w:vAlign w:val="center"/>
          </w:tcPr>
          <w:p w14:paraId="3B0A1B3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二氯乙烷</w:t>
            </w:r>
          </w:p>
        </w:tc>
        <w:tc>
          <w:tcPr>
            <w:tcW w:w="898" w:type="pct"/>
            <w:tcBorders>
              <w:tl2br w:val="nil"/>
              <w:tr2bl w:val="nil"/>
            </w:tcBorders>
            <w:vAlign w:val="center"/>
          </w:tcPr>
          <w:p w14:paraId="2885CF3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2"/>
              </w:rPr>
              <w:t>1,1</w:t>
            </w:r>
            <w:r>
              <w:rPr>
                <w:spacing w:val="-2"/>
              </w:rPr>
              <w:t>二氯乙烷</w:t>
            </w:r>
          </w:p>
        </w:tc>
        <w:tc>
          <w:tcPr>
            <w:tcW w:w="857" w:type="pct"/>
            <w:tcBorders>
              <w:tl2br w:val="nil"/>
              <w:tr2bl w:val="nil"/>
            </w:tcBorders>
            <w:vAlign w:val="center"/>
          </w:tcPr>
          <w:p w14:paraId="0C9862E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240E07F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F46618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r>
      <w:tr w14:paraId="0770F5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2BB5E54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D8BA80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3BBE6F7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2F131F18">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2"/>
              </w:rPr>
              <w:t>1,2</w:t>
            </w:r>
            <w:r>
              <w:rPr>
                <w:spacing w:val="2"/>
              </w:rPr>
              <w:t>二氯乙烷</w:t>
            </w:r>
          </w:p>
        </w:tc>
        <w:tc>
          <w:tcPr>
            <w:tcW w:w="857" w:type="pct"/>
            <w:tcBorders>
              <w:tl2br w:val="nil"/>
              <w:tr2bl w:val="nil"/>
            </w:tcBorders>
            <w:vAlign w:val="center"/>
          </w:tcPr>
          <w:p w14:paraId="1EB5572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16D3A7B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412D134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37D27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02C76AC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37267C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restart"/>
            <w:tcBorders>
              <w:tl2br w:val="nil"/>
              <w:tr2bl w:val="nil"/>
            </w:tcBorders>
            <w:vAlign w:val="center"/>
          </w:tcPr>
          <w:p w14:paraId="58A2B5F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二氯乙烯</w:t>
            </w:r>
          </w:p>
        </w:tc>
        <w:tc>
          <w:tcPr>
            <w:tcW w:w="898" w:type="pct"/>
            <w:tcBorders>
              <w:tl2br w:val="nil"/>
              <w:tr2bl w:val="nil"/>
            </w:tcBorders>
            <w:vAlign w:val="center"/>
          </w:tcPr>
          <w:p w14:paraId="400CE336">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rPr>
              <w:t>1,1-</w:t>
            </w:r>
            <w:r>
              <w:t>二氯乙烯</w:t>
            </w:r>
          </w:p>
        </w:tc>
        <w:tc>
          <w:tcPr>
            <w:tcW w:w="857" w:type="pct"/>
            <w:tcBorders>
              <w:tl2br w:val="nil"/>
              <w:tr2bl w:val="nil"/>
            </w:tcBorders>
            <w:vAlign w:val="center"/>
          </w:tcPr>
          <w:p w14:paraId="3998AF5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0AE4B32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1FF7D2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66</w:t>
            </w:r>
          </w:p>
        </w:tc>
      </w:tr>
      <w:tr w14:paraId="569B1A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135F941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2D9940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03F2ED4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776D3677">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顺</w:t>
            </w:r>
            <w:r>
              <w:rPr>
                <w:rFonts w:ascii="Times New Roman" w:hAnsi="Times New Roman" w:eastAsia="Times New Roman" w:cs="Times New Roman"/>
                <w:spacing w:val="5"/>
              </w:rPr>
              <w:t>-1,2-</w:t>
            </w:r>
            <w:r>
              <w:rPr>
                <w:spacing w:val="5"/>
              </w:rPr>
              <w:t>二氯乙烯</w:t>
            </w:r>
          </w:p>
        </w:tc>
        <w:tc>
          <w:tcPr>
            <w:tcW w:w="857" w:type="pct"/>
            <w:tcBorders>
              <w:tl2br w:val="nil"/>
              <w:tr2bl w:val="nil"/>
            </w:tcBorders>
            <w:vAlign w:val="center"/>
          </w:tcPr>
          <w:p w14:paraId="3782B5B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5105E29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5A98FFF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596</w:t>
            </w:r>
          </w:p>
        </w:tc>
      </w:tr>
      <w:tr w14:paraId="798CDE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20CE0F0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811214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2884CEE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4C75A70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反</w:t>
            </w:r>
            <w:r>
              <w:rPr>
                <w:rFonts w:ascii="Times New Roman" w:hAnsi="Times New Roman" w:eastAsia="Times New Roman" w:cs="Times New Roman"/>
                <w:spacing w:val="5"/>
              </w:rPr>
              <w:t>-1,2-</w:t>
            </w:r>
            <w:r>
              <w:rPr>
                <w:spacing w:val="5"/>
              </w:rPr>
              <w:t>二氯乙烯</w:t>
            </w:r>
          </w:p>
        </w:tc>
        <w:tc>
          <w:tcPr>
            <w:tcW w:w="857" w:type="pct"/>
            <w:tcBorders>
              <w:tl2br w:val="nil"/>
              <w:tr2bl w:val="nil"/>
            </w:tcBorders>
            <w:vAlign w:val="center"/>
          </w:tcPr>
          <w:p w14:paraId="574B930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2E75B5F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0154837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54</w:t>
            </w:r>
          </w:p>
        </w:tc>
      </w:tr>
      <w:tr w14:paraId="2AF93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237D029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3272F8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22DC14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二氯甲烷</w:t>
            </w:r>
          </w:p>
        </w:tc>
        <w:tc>
          <w:tcPr>
            <w:tcW w:w="857" w:type="pct"/>
            <w:tcBorders>
              <w:tl2br w:val="nil"/>
              <w:tr2bl w:val="nil"/>
            </w:tcBorders>
            <w:vAlign w:val="center"/>
          </w:tcPr>
          <w:p w14:paraId="45D337B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54913F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FDDA8E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616</w:t>
            </w:r>
          </w:p>
        </w:tc>
      </w:tr>
      <w:tr w14:paraId="1B5760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2BAC16D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DFB5FC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05F99F4C">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3"/>
              </w:rPr>
              <w:t>1,2-</w:t>
            </w:r>
            <w:r>
              <w:rPr>
                <w:spacing w:val="3"/>
              </w:rPr>
              <w:t>二氯丙烷</w:t>
            </w:r>
          </w:p>
        </w:tc>
        <w:tc>
          <w:tcPr>
            <w:tcW w:w="857" w:type="pct"/>
            <w:tcBorders>
              <w:tl2br w:val="nil"/>
              <w:tr2bl w:val="nil"/>
            </w:tcBorders>
            <w:vAlign w:val="center"/>
          </w:tcPr>
          <w:p w14:paraId="7AFD56B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shd w:val="clear" w:color="auto" w:fill="auto"/>
            <w:vAlign w:val="center"/>
          </w:tcPr>
          <w:p w14:paraId="2EE9AE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63407F2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51F35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5B38F2C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049A20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restart"/>
            <w:tcBorders>
              <w:tl2br w:val="nil"/>
              <w:tr2bl w:val="nil"/>
            </w:tcBorders>
            <w:vAlign w:val="center"/>
          </w:tcPr>
          <w:p w14:paraId="7D6430ED">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2"/>
              </w:rPr>
              <w:t>四氯乙烷</w:t>
            </w:r>
          </w:p>
        </w:tc>
        <w:tc>
          <w:tcPr>
            <w:tcW w:w="898" w:type="pct"/>
            <w:tcBorders>
              <w:tl2br w:val="nil"/>
              <w:tr2bl w:val="nil"/>
            </w:tcBorders>
            <w:vAlign w:val="center"/>
          </w:tcPr>
          <w:p w14:paraId="7D3F41D5">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1"/>
              </w:rPr>
              <w:t>1,1,1,2-</w:t>
            </w:r>
            <w:r>
              <w:rPr>
                <w:spacing w:val="-1"/>
              </w:rPr>
              <w:t>四氯乙烷</w:t>
            </w:r>
          </w:p>
        </w:tc>
        <w:tc>
          <w:tcPr>
            <w:tcW w:w="857" w:type="pct"/>
            <w:tcBorders>
              <w:tl2br w:val="nil"/>
              <w:tr2bl w:val="nil"/>
            </w:tcBorders>
            <w:vAlign w:val="center"/>
          </w:tcPr>
          <w:p w14:paraId="51A91C8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0B9C4AE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312105D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r>
      <w:tr w14:paraId="31171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3E569B9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577DF72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274F2B1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01959A2D">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1"/>
              </w:rPr>
              <w:t>1,1,2,2-</w:t>
            </w:r>
            <w:r>
              <w:rPr>
                <w:spacing w:val="1"/>
              </w:rPr>
              <w:t>四氯乙烷</w:t>
            </w:r>
          </w:p>
        </w:tc>
        <w:tc>
          <w:tcPr>
            <w:tcW w:w="857" w:type="pct"/>
            <w:tcBorders>
              <w:tl2br w:val="nil"/>
              <w:tr2bl w:val="nil"/>
            </w:tcBorders>
            <w:vAlign w:val="center"/>
          </w:tcPr>
          <w:p w14:paraId="7C8B388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0DDCD67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1E1D5A6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6.8</w:t>
            </w:r>
          </w:p>
        </w:tc>
      </w:tr>
      <w:tr w14:paraId="16D8F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3B39E69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20C983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28C83D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2"/>
              </w:rPr>
              <w:t>四氯乙烯</w:t>
            </w:r>
          </w:p>
        </w:tc>
        <w:tc>
          <w:tcPr>
            <w:tcW w:w="857" w:type="pct"/>
            <w:tcBorders>
              <w:tl2br w:val="nil"/>
              <w:tr2bl w:val="nil"/>
            </w:tcBorders>
            <w:vAlign w:val="center"/>
          </w:tcPr>
          <w:p w14:paraId="7BCEF34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194002C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773A75B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53</w:t>
            </w:r>
          </w:p>
        </w:tc>
      </w:tr>
      <w:tr w14:paraId="3B7B53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18BFF35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70DE21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restart"/>
            <w:tcBorders>
              <w:tl2br w:val="nil"/>
              <w:tr2bl w:val="nil"/>
            </w:tcBorders>
            <w:vAlign w:val="center"/>
          </w:tcPr>
          <w:p w14:paraId="67CE641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7"/>
              </w:rPr>
              <w:t>三氯乙烷</w:t>
            </w:r>
          </w:p>
        </w:tc>
        <w:tc>
          <w:tcPr>
            <w:tcW w:w="898" w:type="pct"/>
            <w:tcBorders>
              <w:tl2br w:val="nil"/>
              <w:tr2bl w:val="nil"/>
            </w:tcBorders>
            <w:vAlign w:val="center"/>
          </w:tcPr>
          <w:p w14:paraId="2BF68BC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2"/>
              </w:rPr>
              <w:t>1,1,1-</w:t>
            </w:r>
            <w:r>
              <w:rPr>
                <w:spacing w:val="-2"/>
              </w:rPr>
              <w:t>三氯乙烷</w:t>
            </w:r>
          </w:p>
        </w:tc>
        <w:tc>
          <w:tcPr>
            <w:tcW w:w="857" w:type="pct"/>
            <w:tcBorders>
              <w:tl2br w:val="nil"/>
              <w:tr2bl w:val="nil"/>
            </w:tcBorders>
            <w:vAlign w:val="center"/>
          </w:tcPr>
          <w:p w14:paraId="25CFCE2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32797ED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4F6674B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840</w:t>
            </w:r>
          </w:p>
        </w:tc>
      </w:tr>
      <w:tr w14:paraId="36E15B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2557132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55ECAF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7A7AB49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62B81C95">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1"/>
              </w:rPr>
              <w:t>1,1,2-</w:t>
            </w:r>
            <w:r>
              <w:rPr>
                <w:spacing w:val="1"/>
              </w:rPr>
              <w:t>三氯乙烷</w:t>
            </w:r>
          </w:p>
        </w:tc>
        <w:tc>
          <w:tcPr>
            <w:tcW w:w="857" w:type="pct"/>
            <w:tcBorders>
              <w:tl2br w:val="nil"/>
              <w:tr2bl w:val="nil"/>
            </w:tcBorders>
            <w:vAlign w:val="center"/>
          </w:tcPr>
          <w:p w14:paraId="062DBC7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64D72F6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30C27CF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r>
      <w:tr w14:paraId="3F2C3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2F2DB02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BA0ABB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6FA93F67">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7"/>
              </w:rPr>
              <w:t>三氯乙烯</w:t>
            </w:r>
          </w:p>
        </w:tc>
        <w:tc>
          <w:tcPr>
            <w:tcW w:w="857" w:type="pct"/>
            <w:tcBorders>
              <w:tl2br w:val="nil"/>
              <w:tr2bl w:val="nil"/>
            </w:tcBorders>
            <w:vAlign w:val="center"/>
          </w:tcPr>
          <w:p w14:paraId="1FB26BF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3F8F864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31B3541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r>
      <w:tr w14:paraId="65FA75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1613EF7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EA0C27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438EB3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3"/>
              </w:rPr>
              <w:t>1,2,3-</w:t>
            </w:r>
            <w:r>
              <w:rPr>
                <w:spacing w:val="3"/>
              </w:rPr>
              <w:t>三氯丙烷</w:t>
            </w:r>
          </w:p>
        </w:tc>
        <w:tc>
          <w:tcPr>
            <w:tcW w:w="857" w:type="pct"/>
            <w:tcBorders>
              <w:tl2br w:val="nil"/>
              <w:tr2bl w:val="nil"/>
            </w:tcBorders>
            <w:vAlign w:val="center"/>
          </w:tcPr>
          <w:p w14:paraId="7D0053B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57C93CE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3358A38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r>
      <w:tr w14:paraId="03FA07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5B60EA1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79E622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DC3D33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氯乙烯</w:t>
            </w:r>
          </w:p>
        </w:tc>
        <w:tc>
          <w:tcPr>
            <w:tcW w:w="857" w:type="pct"/>
            <w:tcBorders>
              <w:tl2br w:val="nil"/>
              <w:tr2bl w:val="nil"/>
            </w:tcBorders>
            <w:vAlign w:val="center"/>
          </w:tcPr>
          <w:p w14:paraId="362F591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06EB72B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2C57AEF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0.43</w:t>
            </w:r>
          </w:p>
        </w:tc>
      </w:tr>
      <w:tr w14:paraId="376FC9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07AC758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5E3D39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C2FEE02">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t>苯</w:t>
            </w:r>
          </w:p>
        </w:tc>
        <w:tc>
          <w:tcPr>
            <w:tcW w:w="857" w:type="pct"/>
            <w:tcBorders>
              <w:tl2br w:val="nil"/>
              <w:tr2bl w:val="nil"/>
            </w:tcBorders>
            <w:vAlign w:val="center"/>
          </w:tcPr>
          <w:p w14:paraId="710D727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3B4E5BC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48E8982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r>
      <w:tr w14:paraId="4E5C1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374AF12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534DC8A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2B6F4BB">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3"/>
              </w:rPr>
              <w:t>氯苯</w:t>
            </w:r>
          </w:p>
        </w:tc>
        <w:tc>
          <w:tcPr>
            <w:tcW w:w="857" w:type="pct"/>
            <w:tcBorders>
              <w:tl2br w:val="nil"/>
              <w:tr2bl w:val="nil"/>
            </w:tcBorders>
            <w:vAlign w:val="center"/>
          </w:tcPr>
          <w:p w14:paraId="6C1E97B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17AE82A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0B95DCC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270</w:t>
            </w:r>
          </w:p>
        </w:tc>
      </w:tr>
      <w:tr w14:paraId="3706B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6B8BDCC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D7E812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restart"/>
            <w:tcBorders>
              <w:tl2br w:val="nil"/>
              <w:tr2bl w:val="nil"/>
            </w:tcBorders>
            <w:vAlign w:val="center"/>
          </w:tcPr>
          <w:p w14:paraId="0A3A941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二氯苯</w:t>
            </w:r>
          </w:p>
        </w:tc>
        <w:tc>
          <w:tcPr>
            <w:tcW w:w="898" w:type="pct"/>
            <w:tcBorders>
              <w:tl2br w:val="nil"/>
              <w:tr2bl w:val="nil"/>
            </w:tcBorders>
            <w:vAlign w:val="center"/>
          </w:tcPr>
          <w:p w14:paraId="407D78E0">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2"/>
              </w:rPr>
              <w:t>1,2-</w:t>
            </w:r>
            <w:r>
              <w:rPr>
                <w:spacing w:val="2"/>
              </w:rPr>
              <w:t>二氯苯</w:t>
            </w:r>
          </w:p>
        </w:tc>
        <w:tc>
          <w:tcPr>
            <w:tcW w:w="857" w:type="pct"/>
            <w:tcBorders>
              <w:tl2br w:val="nil"/>
              <w:tr2bl w:val="nil"/>
            </w:tcBorders>
            <w:vAlign w:val="center"/>
          </w:tcPr>
          <w:p w14:paraId="34D826A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5F2FC6C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2CC17D5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560</w:t>
            </w:r>
          </w:p>
        </w:tc>
      </w:tr>
      <w:tr w14:paraId="60237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2C44BDE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0A4096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6FFD7D0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4FA8BDE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2"/>
              </w:rPr>
              <w:t>1,4-</w:t>
            </w:r>
            <w:r>
              <w:rPr>
                <w:spacing w:val="2"/>
              </w:rPr>
              <w:t>二氯苯</w:t>
            </w:r>
          </w:p>
        </w:tc>
        <w:tc>
          <w:tcPr>
            <w:tcW w:w="857" w:type="pct"/>
            <w:tcBorders>
              <w:tl2br w:val="nil"/>
              <w:tr2bl w:val="nil"/>
            </w:tcBorders>
            <w:vAlign w:val="center"/>
          </w:tcPr>
          <w:p w14:paraId="458F252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490FFDF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3FA8228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r>
      <w:tr w14:paraId="67E0F5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18C9AE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55A3EE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113A5614">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乙苯</w:t>
            </w:r>
          </w:p>
        </w:tc>
        <w:tc>
          <w:tcPr>
            <w:tcW w:w="857" w:type="pct"/>
            <w:tcBorders>
              <w:tl2br w:val="nil"/>
              <w:tr2bl w:val="nil"/>
            </w:tcBorders>
            <w:vAlign w:val="center"/>
          </w:tcPr>
          <w:p w14:paraId="3863154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177FA50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1854A98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r>
      <w:tr w14:paraId="44788D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1AC2666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435392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6B88C9A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苯乙烯</w:t>
            </w:r>
          </w:p>
        </w:tc>
        <w:tc>
          <w:tcPr>
            <w:tcW w:w="857" w:type="pct"/>
            <w:tcBorders>
              <w:tl2br w:val="nil"/>
              <w:tr2bl w:val="nil"/>
            </w:tcBorders>
            <w:vAlign w:val="center"/>
          </w:tcPr>
          <w:p w14:paraId="045CCD9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61C5BD8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294B67A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1290</w:t>
            </w:r>
          </w:p>
        </w:tc>
      </w:tr>
      <w:tr w14:paraId="21019C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95B98A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852CAC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1AD97A7">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9"/>
              </w:rPr>
              <w:t>甲苯</w:t>
            </w:r>
          </w:p>
        </w:tc>
        <w:tc>
          <w:tcPr>
            <w:tcW w:w="857" w:type="pct"/>
            <w:tcBorders>
              <w:tl2br w:val="nil"/>
              <w:tr2bl w:val="nil"/>
            </w:tcBorders>
            <w:vAlign w:val="center"/>
          </w:tcPr>
          <w:p w14:paraId="2E36128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53D3747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6DEB622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1200</w:t>
            </w:r>
          </w:p>
        </w:tc>
      </w:tr>
      <w:tr w14:paraId="76C35D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3EE0E35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32B325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restart"/>
            <w:tcBorders>
              <w:tl2br w:val="nil"/>
              <w:tr2bl w:val="nil"/>
            </w:tcBorders>
            <w:vAlign w:val="center"/>
          </w:tcPr>
          <w:p w14:paraId="06D0BAB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二甲苯</w:t>
            </w:r>
          </w:p>
        </w:tc>
        <w:tc>
          <w:tcPr>
            <w:tcW w:w="898" w:type="pct"/>
            <w:tcBorders>
              <w:tl2br w:val="nil"/>
              <w:tr2bl w:val="nil"/>
            </w:tcBorders>
            <w:vAlign w:val="center"/>
          </w:tcPr>
          <w:p w14:paraId="73DA8AA5">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4"/>
              </w:rPr>
              <w:t>间</w:t>
            </w:r>
            <w:r>
              <w:rPr>
                <w:rFonts w:ascii="Times New Roman" w:hAnsi="Times New Roman" w:eastAsia="Times New Roman" w:cs="Times New Roman"/>
                <w:spacing w:val="4"/>
              </w:rPr>
              <w:t>,</w:t>
            </w:r>
            <w:r>
              <w:rPr>
                <w:spacing w:val="4"/>
              </w:rPr>
              <w:t>对二甲苯</w:t>
            </w:r>
          </w:p>
        </w:tc>
        <w:tc>
          <w:tcPr>
            <w:tcW w:w="857" w:type="pct"/>
            <w:tcBorders>
              <w:tl2br w:val="nil"/>
              <w:tr2bl w:val="nil"/>
            </w:tcBorders>
            <w:vAlign w:val="center"/>
          </w:tcPr>
          <w:p w14:paraId="4C4E2FE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5257F53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2F6A065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570</w:t>
            </w:r>
          </w:p>
        </w:tc>
      </w:tr>
      <w:tr w14:paraId="0F71F5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64E2591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47CA30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61" w:type="pct"/>
            <w:vMerge w:val="continue"/>
            <w:tcBorders>
              <w:tl2br w:val="nil"/>
              <w:tr2bl w:val="nil"/>
            </w:tcBorders>
            <w:vAlign w:val="center"/>
          </w:tcPr>
          <w:p w14:paraId="3C8738B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898" w:type="pct"/>
            <w:tcBorders>
              <w:tl2br w:val="nil"/>
              <w:tr2bl w:val="nil"/>
            </w:tcBorders>
            <w:vAlign w:val="center"/>
          </w:tcPr>
          <w:p w14:paraId="09D9EE6B">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7"/>
              </w:rPr>
              <w:t>邻二甲苯</w:t>
            </w:r>
          </w:p>
        </w:tc>
        <w:tc>
          <w:tcPr>
            <w:tcW w:w="857" w:type="pct"/>
            <w:tcBorders>
              <w:tl2br w:val="nil"/>
              <w:tr2bl w:val="nil"/>
            </w:tcBorders>
            <w:vAlign w:val="center"/>
          </w:tcPr>
          <w:p w14:paraId="58EEF32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μg/</w:t>
            </w:r>
            <w:r>
              <w:rPr>
                <w:rFonts w:ascii="Times New Roman" w:hAnsi="Times New Roman" w:eastAsia="Times New Roman" w:cs="Times New Roman"/>
                <w:sz w:val="20"/>
                <w:szCs w:val="20"/>
              </w:rPr>
              <w:t>kg</w:t>
            </w:r>
          </w:p>
        </w:tc>
        <w:tc>
          <w:tcPr>
            <w:tcW w:w="620" w:type="pct"/>
            <w:tcBorders>
              <w:tl2br w:val="nil"/>
              <w:tr2bl w:val="nil"/>
            </w:tcBorders>
            <w:vAlign w:val="center"/>
          </w:tcPr>
          <w:p w14:paraId="4FC6A6D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2"/>
                <w:sz w:val="20"/>
                <w:szCs w:val="20"/>
              </w:rPr>
            </w:pPr>
            <w:r>
              <w:t>ND</w:t>
            </w:r>
          </w:p>
        </w:tc>
        <w:tc>
          <w:tcPr>
            <w:tcW w:w="623" w:type="pct"/>
            <w:tcBorders>
              <w:tl2br w:val="nil"/>
              <w:tr2bl w:val="nil"/>
            </w:tcBorders>
            <w:vAlign w:val="center"/>
          </w:tcPr>
          <w:p w14:paraId="1C35C21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640</w:t>
            </w:r>
          </w:p>
        </w:tc>
      </w:tr>
      <w:tr w14:paraId="5D0180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357E65B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2DD8EE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18C1DB25">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硝基苯</w:t>
            </w:r>
          </w:p>
        </w:tc>
        <w:tc>
          <w:tcPr>
            <w:tcW w:w="857" w:type="pct"/>
            <w:tcBorders>
              <w:tl2br w:val="nil"/>
              <w:tr2bl w:val="nil"/>
            </w:tcBorders>
            <w:vAlign w:val="center"/>
          </w:tcPr>
          <w:p w14:paraId="29884FB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0C1B5AC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31D51DB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76</w:t>
            </w:r>
          </w:p>
        </w:tc>
      </w:tr>
      <w:tr w14:paraId="282708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42E79B1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0CC82B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2A539A3">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3"/>
              </w:rPr>
              <w:t>苯胺</w:t>
            </w:r>
          </w:p>
        </w:tc>
        <w:tc>
          <w:tcPr>
            <w:tcW w:w="857" w:type="pct"/>
            <w:tcBorders>
              <w:tl2br w:val="nil"/>
              <w:tr2bl w:val="nil"/>
            </w:tcBorders>
            <w:vAlign w:val="center"/>
          </w:tcPr>
          <w:p w14:paraId="475156F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3878FDD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12F5F36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260</w:t>
            </w:r>
          </w:p>
        </w:tc>
      </w:tr>
      <w:tr w14:paraId="57E080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53C12EF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FB1480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1F5F8C36">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4"/>
              </w:rPr>
              <w:t>2-</w:t>
            </w:r>
            <w:r>
              <w:rPr>
                <w:spacing w:val="4"/>
              </w:rPr>
              <w:t>氯酚</w:t>
            </w:r>
          </w:p>
        </w:tc>
        <w:tc>
          <w:tcPr>
            <w:tcW w:w="857" w:type="pct"/>
            <w:tcBorders>
              <w:tl2br w:val="nil"/>
              <w:tr2bl w:val="nil"/>
            </w:tcBorders>
            <w:vAlign w:val="center"/>
          </w:tcPr>
          <w:p w14:paraId="336AA0D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703E08C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3FC4173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2256</w:t>
            </w:r>
          </w:p>
        </w:tc>
      </w:tr>
      <w:tr w14:paraId="4D6049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5D3728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765F32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661E01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4"/>
              </w:rPr>
              <w:t>苯并</w:t>
            </w:r>
            <w:r>
              <w:rPr>
                <w:rFonts w:ascii="Times New Roman" w:hAnsi="Times New Roman" w:eastAsia="Times New Roman" w:cs="Times New Roman"/>
                <w:spacing w:val="4"/>
              </w:rPr>
              <w:t>[a]</w:t>
            </w:r>
            <w:r>
              <w:rPr>
                <w:spacing w:val="4"/>
              </w:rPr>
              <w:t>蒽</w:t>
            </w:r>
          </w:p>
        </w:tc>
        <w:tc>
          <w:tcPr>
            <w:tcW w:w="857" w:type="pct"/>
            <w:tcBorders>
              <w:tl2br w:val="nil"/>
              <w:tr2bl w:val="nil"/>
            </w:tcBorders>
            <w:vAlign w:val="center"/>
          </w:tcPr>
          <w:p w14:paraId="41A7D25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3B91585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5449BBE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r>
      <w:tr w14:paraId="7D1337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3A30BEE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78014A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920D38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4"/>
              </w:rPr>
              <w:t>苯并</w:t>
            </w:r>
            <w:r>
              <w:rPr>
                <w:rFonts w:ascii="Times New Roman" w:hAnsi="Times New Roman" w:eastAsia="Times New Roman" w:cs="Times New Roman"/>
                <w:spacing w:val="4"/>
              </w:rPr>
              <w:t>[a]</w:t>
            </w:r>
            <w:r>
              <w:rPr>
                <w:spacing w:val="4"/>
              </w:rPr>
              <w:t>芘</w:t>
            </w:r>
          </w:p>
        </w:tc>
        <w:tc>
          <w:tcPr>
            <w:tcW w:w="857" w:type="pct"/>
            <w:tcBorders>
              <w:tl2br w:val="nil"/>
              <w:tr2bl w:val="nil"/>
            </w:tcBorders>
            <w:vAlign w:val="center"/>
          </w:tcPr>
          <w:p w14:paraId="692BB02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24824D8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194A650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r>
      <w:tr w14:paraId="11F9AD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360CAF7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52A6F47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BBD867B">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苯并</w:t>
            </w:r>
            <w:r>
              <w:rPr>
                <w:rFonts w:ascii="Times New Roman" w:hAnsi="Times New Roman" w:eastAsia="Times New Roman" w:cs="Times New Roman"/>
                <w:spacing w:val="5"/>
              </w:rPr>
              <w:t>[b]</w:t>
            </w:r>
            <w:r>
              <w:rPr>
                <w:spacing w:val="5"/>
              </w:rPr>
              <w:t>荧蒽</w:t>
            </w:r>
          </w:p>
        </w:tc>
        <w:tc>
          <w:tcPr>
            <w:tcW w:w="857" w:type="pct"/>
            <w:tcBorders>
              <w:tl2br w:val="nil"/>
              <w:tr2bl w:val="nil"/>
            </w:tcBorders>
            <w:vAlign w:val="center"/>
          </w:tcPr>
          <w:p w14:paraId="5D571A9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3DAA0F5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6B669B0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r>
      <w:tr w14:paraId="596E4F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113153E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9347E1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58B7061D">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苯并</w:t>
            </w:r>
            <w:r>
              <w:rPr>
                <w:rFonts w:ascii="Times New Roman" w:hAnsi="Times New Roman" w:eastAsia="Times New Roman" w:cs="Times New Roman"/>
                <w:spacing w:val="5"/>
              </w:rPr>
              <w:t>[k]</w:t>
            </w:r>
            <w:r>
              <w:rPr>
                <w:spacing w:val="5"/>
              </w:rPr>
              <w:t>荧蒽</w:t>
            </w:r>
          </w:p>
        </w:tc>
        <w:tc>
          <w:tcPr>
            <w:tcW w:w="857" w:type="pct"/>
            <w:tcBorders>
              <w:tl2br w:val="nil"/>
              <w:tr2bl w:val="nil"/>
            </w:tcBorders>
            <w:vAlign w:val="center"/>
          </w:tcPr>
          <w:p w14:paraId="553027B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7BA1253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253DD43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151</w:t>
            </w:r>
          </w:p>
        </w:tc>
      </w:tr>
      <w:tr w14:paraId="57E05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1A12BA3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E414AE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0D117755">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2"/>
              </w:rPr>
              <w:t>䓛</w:t>
            </w:r>
          </w:p>
        </w:tc>
        <w:tc>
          <w:tcPr>
            <w:tcW w:w="857" w:type="pct"/>
            <w:tcBorders>
              <w:tl2br w:val="nil"/>
              <w:tr2bl w:val="nil"/>
            </w:tcBorders>
            <w:vAlign w:val="center"/>
          </w:tcPr>
          <w:p w14:paraId="2E38C23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39B8FB1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5958BA7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1293</w:t>
            </w:r>
          </w:p>
        </w:tc>
      </w:tr>
      <w:tr w14:paraId="3B7EF8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0537D4F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EB1389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099F88E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二苯并</w:t>
            </w:r>
            <w:r>
              <w:rPr>
                <w:rFonts w:ascii="Times New Roman" w:hAnsi="Times New Roman" w:eastAsia="Times New Roman" w:cs="Times New Roman"/>
                <w:spacing w:val="5"/>
              </w:rPr>
              <w:t>[a,h]</w:t>
            </w:r>
            <w:r>
              <w:rPr>
                <w:spacing w:val="5"/>
              </w:rPr>
              <w:t>蒽</w:t>
            </w:r>
          </w:p>
        </w:tc>
        <w:tc>
          <w:tcPr>
            <w:tcW w:w="857" w:type="pct"/>
            <w:tcBorders>
              <w:tl2br w:val="nil"/>
              <w:tr2bl w:val="nil"/>
            </w:tcBorders>
            <w:vAlign w:val="center"/>
          </w:tcPr>
          <w:p w14:paraId="7579728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136260B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2D79D3F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r>
      <w:tr w14:paraId="26F6E7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618005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4B8566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1EE077D8">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茚并</w:t>
            </w:r>
            <w:r>
              <w:rPr>
                <w:rFonts w:ascii="Times New Roman" w:hAnsi="Times New Roman" w:eastAsia="Times New Roman" w:cs="Times New Roman"/>
                <w:spacing w:val="5"/>
              </w:rPr>
              <w:t>[1,2,3-</w:t>
            </w:r>
            <w:r>
              <w:rPr>
                <w:rFonts w:ascii="Times New Roman" w:hAnsi="Times New Roman" w:eastAsia="Times New Roman" w:cs="Times New Roman"/>
              </w:rPr>
              <w:t>cd</w:t>
            </w:r>
            <w:r>
              <w:rPr>
                <w:rFonts w:ascii="Times New Roman" w:hAnsi="Times New Roman" w:eastAsia="Times New Roman" w:cs="Times New Roman"/>
                <w:spacing w:val="5"/>
              </w:rPr>
              <w:t>]</w:t>
            </w:r>
            <w:r>
              <w:rPr>
                <w:spacing w:val="5"/>
              </w:rPr>
              <w:t>芘</w:t>
            </w:r>
          </w:p>
        </w:tc>
        <w:tc>
          <w:tcPr>
            <w:tcW w:w="857" w:type="pct"/>
            <w:tcBorders>
              <w:tl2br w:val="nil"/>
              <w:tr2bl w:val="nil"/>
            </w:tcBorders>
            <w:vAlign w:val="center"/>
          </w:tcPr>
          <w:p w14:paraId="47C52BB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1109BA7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51AE38B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r>
      <w:tr w14:paraId="4581D2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9" w:hRule="atLeast"/>
        </w:trPr>
        <w:tc>
          <w:tcPr>
            <w:tcW w:w="854" w:type="pct"/>
            <w:vMerge w:val="continue"/>
            <w:tcBorders>
              <w:tl2br w:val="nil"/>
              <w:tr2bl w:val="nil"/>
            </w:tcBorders>
            <w:vAlign w:val="center"/>
          </w:tcPr>
          <w:p w14:paraId="27126DE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E5EB6B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61A75657">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t>萘</w:t>
            </w:r>
          </w:p>
        </w:tc>
        <w:tc>
          <w:tcPr>
            <w:tcW w:w="857" w:type="pct"/>
            <w:tcBorders>
              <w:tl2br w:val="nil"/>
              <w:tr2bl w:val="nil"/>
            </w:tcBorders>
            <w:vAlign w:val="center"/>
          </w:tcPr>
          <w:p w14:paraId="04F8A2B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3E1CF92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pacing w:val="4"/>
                <w:sz w:val="20"/>
                <w:szCs w:val="20"/>
              </w:rPr>
            </w:pPr>
            <w:r>
              <w:t>ND</w:t>
            </w:r>
          </w:p>
        </w:tc>
        <w:tc>
          <w:tcPr>
            <w:tcW w:w="623" w:type="pct"/>
            <w:tcBorders>
              <w:tl2br w:val="nil"/>
              <w:tr2bl w:val="nil"/>
            </w:tcBorders>
            <w:vAlign w:val="center"/>
          </w:tcPr>
          <w:p w14:paraId="300ABC7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r>
      <w:tr w14:paraId="1A74C3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854" w:type="pct"/>
            <w:vMerge w:val="restart"/>
            <w:tcBorders>
              <w:tl2br w:val="nil"/>
              <w:tr2bl w:val="nil"/>
            </w:tcBorders>
            <w:vAlign w:val="center"/>
          </w:tcPr>
          <w:p w14:paraId="0E633190">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5"/>
              </w:rPr>
              <w:t>T2</w:t>
            </w:r>
            <w:r>
              <w:rPr>
                <w:spacing w:val="5"/>
              </w:rPr>
              <w:t>项目场地内</w:t>
            </w:r>
            <w:r>
              <w:rPr>
                <w:rFonts w:ascii="Times New Roman" w:hAnsi="Times New Roman" w:eastAsia="Times New Roman" w:cs="Times New Roman"/>
                <w:spacing w:val="5"/>
              </w:rPr>
              <w:t>2#</w:t>
            </w:r>
            <w:r>
              <w:rPr>
                <w:spacing w:val="4"/>
              </w:rPr>
              <w:t>点表层样</w:t>
            </w:r>
          </w:p>
        </w:tc>
        <w:tc>
          <w:tcPr>
            <w:tcW w:w="584" w:type="pct"/>
            <w:vMerge w:val="restart"/>
            <w:tcBorders>
              <w:tl2br w:val="nil"/>
              <w:tr2bl w:val="nil"/>
            </w:tcBorders>
            <w:vAlign w:val="center"/>
          </w:tcPr>
          <w:p w14:paraId="3293E8A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0-0.2m</w:t>
            </w:r>
          </w:p>
        </w:tc>
        <w:tc>
          <w:tcPr>
            <w:tcW w:w="1459" w:type="pct"/>
            <w:gridSpan w:val="2"/>
            <w:tcBorders>
              <w:tl2br w:val="nil"/>
              <w:tr2bl w:val="nil"/>
            </w:tcBorders>
            <w:vAlign w:val="center"/>
          </w:tcPr>
          <w:p w14:paraId="255ACD82">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rPr>
              <w:t>pH</w:t>
            </w:r>
            <w:r>
              <w:rPr>
                <w:spacing w:val="13"/>
              </w:rPr>
              <w:t>值</w:t>
            </w:r>
          </w:p>
        </w:tc>
        <w:tc>
          <w:tcPr>
            <w:tcW w:w="857" w:type="pct"/>
            <w:tcBorders>
              <w:tl2br w:val="nil"/>
              <w:tr2bl w:val="nil"/>
            </w:tcBorders>
            <w:vAlign w:val="center"/>
          </w:tcPr>
          <w:p w14:paraId="391C16D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无量纲</w:t>
            </w:r>
          </w:p>
        </w:tc>
        <w:tc>
          <w:tcPr>
            <w:tcW w:w="620" w:type="pct"/>
            <w:tcBorders>
              <w:tl2br w:val="nil"/>
              <w:tr2bl w:val="nil"/>
            </w:tcBorders>
            <w:shd w:val="clear" w:color="auto" w:fill="auto"/>
            <w:vAlign w:val="center"/>
          </w:tcPr>
          <w:p w14:paraId="6033065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4.99</w:t>
            </w:r>
          </w:p>
        </w:tc>
        <w:tc>
          <w:tcPr>
            <w:tcW w:w="623" w:type="pct"/>
            <w:tcBorders>
              <w:tl2br w:val="nil"/>
              <w:tr2bl w:val="nil"/>
            </w:tcBorders>
            <w:vAlign w:val="center"/>
          </w:tcPr>
          <w:p w14:paraId="71FD11A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5301FA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4F3425E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729106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8E7BD9C">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7"/>
              </w:rPr>
              <w:t>氰化物</w:t>
            </w:r>
          </w:p>
        </w:tc>
        <w:tc>
          <w:tcPr>
            <w:tcW w:w="857" w:type="pct"/>
            <w:tcBorders>
              <w:tl2br w:val="nil"/>
              <w:tr2bl w:val="nil"/>
            </w:tcBorders>
            <w:vAlign w:val="center"/>
          </w:tcPr>
          <w:p w14:paraId="6911A4C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6884169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187FE86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135</w:t>
            </w:r>
          </w:p>
        </w:tc>
      </w:tr>
      <w:tr w14:paraId="299AA6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4E29D64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879F5C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C622EAD">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锌</w:t>
            </w:r>
          </w:p>
        </w:tc>
        <w:tc>
          <w:tcPr>
            <w:tcW w:w="857" w:type="pct"/>
            <w:tcBorders>
              <w:tl2br w:val="nil"/>
              <w:tr2bl w:val="nil"/>
            </w:tcBorders>
            <w:vAlign w:val="center"/>
          </w:tcPr>
          <w:p w14:paraId="27350DD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3974F08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88</w:t>
            </w:r>
          </w:p>
        </w:tc>
        <w:tc>
          <w:tcPr>
            <w:tcW w:w="623" w:type="pct"/>
            <w:tcBorders>
              <w:tl2br w:val="nil"/>
              <w:tr2bl w:val="nil"/>
            </w:tcBorders>
            <w:vAlign w:val="center"/>
          </w:tcPr>
          <w:p w14:paraId="039D83F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0532A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6AD3689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F514B6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03C4D9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t>铜</w:t>
            </w:r>
          </w:p>
        </w:tc>
        <w:tc>
          <w:tcPr>
            <w:tcW w:w="857" w:type="pct"/>
            <w:tcBorders>
              <w:tl2br w:val="nil"/>
              <w:tr2bl w:val="nil"/>
            </w:tcBorders>
            <w:vAlign w:val="center"/>
          </w:tcPr>
          <w:p w14:paraId="452FCB1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4C0E2DF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33</w:t>
            </w:r>
          </w:p>
        </w:tc>
        <w:tc>
          <w:tcPr>
            <w:tcW w:w="623" w:type="pct"/>
            <w:tcBorders>
              <w:tl2br w:val="nil"/>
              <w:tr2bl w:val="nil"/>
            </w:tcBorders>
            <w:vAlign w:val="center"/>
          </w:tcPr>
          <w:p w14:paraId="1591375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14:paraId="224CC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70AF85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47936D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31E13F0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镍</w:t>
            </w:r>
          </w:p>
        </w:tc>
        <w:tc>
          <w:tcPr>
            <w:tcW w:w="857" w:type="pct"/>
            <w:tcBorders>
              <w:tl2br w:val="nil"/>
              <w:tr2bl w:val="nil"/>
            </w:tcBorders>
            <w:vAlign w:val="center"/>
          </w:tcPr>
          <w:p w14:paraId="1FBB12D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7C1A49D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36</w:t>
            </w:r>
          </w:p>
        </w:tc>
        <w:tc>
          <w:tcPr>
            <w:tcW w:w="623" w:type="pct"/>
            <w:tcBorders>
              <w:tl2br w:val="nil"/>
              <w:tr2bl w:val="nil"/>
            </w:tcBorders>
            <w:vAlign w:val="center"/>
          </w:tcPr>
          <w:p w14:paraId="0E19438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900</w:t>
            </w:r>
          </w:p>
        </w:tc>
      </w:tr>
      <w:tr w14:paraId="287970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28CD4A3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820DC3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6C6C878">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铬（总铬）</w:t>
            </w:r>
          </w:p>
        </w:tc>
        <w:tc>
          <w:tcPr>
            <w:tcW w:w="857" w:type="pct"/>
            <w:tcBorders>
              <w:tl2br w:val="nil"/>
              <w:tr2bl w:val="nil"/>
            </w:tcBorders>
            <w:vAlign w:val="center"/>
          </w:tcPr>
          <w:p w14:paraId="24E0F27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20C80A4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184</w:t>
            </w:r>
          </w:p>
        </w:tc>
        <w:tc>
          <w:tcPr>
            <w:tcW w:w="623" w:type="pct"/>
            <w:tcBorders>
              <w:tl2br w:val="nil"/>
              <w:tr2bl w:val="nil"/>
            </w:tcBorders>
            <w:vAlign w:val="center"/>
          </w:tcPr>
          <w:p w14:paraId="0D6AEC0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135734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27912ED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A2AD6D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10DD02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2"/>
              </w:rPr>
              <w:t>镉</w:t>
            </w:r>
          </w:p>
        </w:tc>
        <w:tc>
          <w:tcPr>
            <w:tcW w:w="857" w:type="pct"/>
            <w:tcBorders>
              <w:tl2br w:val="nil"/>
              <w:tr2bl w:val="nil"/>
            </w:tcBorders>
            <w:vAlign w:val="center"/>
          </w:tcPr>
          <w:p w14:paraId="341313B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63B01AF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346C79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14:paraId="1628FF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7DB8897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0274B0F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5F27AF7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汞（总汞）</w:t>
            </w:r>
          </w:p>
        </w:tc>
        <w:tc>
          <w:tcPr>
            <w:tcW w:w="857" w:type="pct"/>
            <w:tcBorders>
              <w:tl2br w:val="nil"/>
              <w:tr2bl w:val="nil"/>
            </w:tcBorders>
            <w:vAlign w:val="center"/>
          </w:tcPr>
          <w:p w14:paraId="7464963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3A032D3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0.087</w:t>
            </w:r>
          </w:p>
        </w:tc>
        <w:tc>
          <w:tcPr>
            <w:tcW w:w="623" w:type="pct"/>
            <w:tcBorders>
              <w:tl2br w:val="nil"/>
              <w:tr2bl w:val="nil"/>
            </w:tcBorders>
            <w:vAlign w:val="center"/>
          </w:tcPr>
          <w:p w14:paraId="255DFEC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14:paraId="06D57B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52C14BF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47533B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4A4A8A34">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砷</w:t>
            </w:r>
          </w:p>
        </w:tc>
        <w:tc>
          <w:tcPr>
            <w:tcW w:w="857" w:type="pct"/>
            <w:tcBorders>
              <w:tl2br w:val="nil"/>
              <w:tr2bl w:val="nil"/>
            </w:tcBorders>
            <w:vAlign w:val="center"/>
          </w:tcPr>
          <w:p w14:paraId="3C875DB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61F67FD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35.5</w:t>
            </w:r>
          </w:p>
        </w:tc>
        <w:tc>
          <w:tcPr>
            <w:tcW w:w="623" w:type="pct"/>
            <w:tcBorders>
              <w:tl2br w:val="nil"/>
              <w:tr2bl w:val="nil"/>
            </w:tcBorders>
            <w:vAlign w:val="center"/>
          </w:tcPr>
          <w:p w14:paraId="4618E9B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14:paraId="7D9279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66D3F6E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EF430B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5B5E35D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六价铬</w:t>
            </w:r>
          </w:p>
        </w:tc>
        <w:tc>
          <w:tcPr>
            <w:tcW w:w="857" w:type="pct"/>
            <w:tcBorders>
              <w:tl2br w:val="nil"/>
              <w:tr2bl w:val="nil"/>
            </w:tcBorders>
            <w:vAlign w:val="center"/>
          </w:tcPr>
          <w:p w14:paraId="6CF0EF1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62764A1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CAD126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14:paraId="4A39D4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114BF6B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1F7F35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57F97788">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t>铅</w:t>
            </w:r>
          </w:p>
        </w:tc>
        <w:tc>
          <w:tcPr>
            <w:tcW w:w="857" w:type="pct"/>
            <w:tcBorders>
              <w:tl2br w:val="nil"/>
              <w:tr2bl w:val="nil"/>
            </w:tcBorders>
            <w:vAlign w:val="center"/>
          </w:tcPr>
          <w:p w14:paraId="2D7047A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7D07CEC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18</w:t>
            </w:r>
          </w:p>
        </w:tc>
        <w:tc>
          <w:tcPr>
            <w:tcW w:w="623" w:type="pct"/>
            <w:tcBorders>
              <w:tl2br w:val="nil"/>
              <w:tr2bl w:val="nil"/>
            </w:tcBorders>
            <w:vAlign w:val="center"/>
          </w:tcPr>
          <w:p w14:paraId="319D262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14:paraId="22B91D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restart"/>
            <w:tcBorders>
              <w:tl2br w:val="nil"/>
              <w:tr2bl w:val="nil"/>
            </w:tcBorders>
            <w:vAlign w:val="center"/>
          </w:tcPr>
          <w:p w14:paraId="3EC3EA6D">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4"/>
              </w:rPr>
              <w:t>T3</w:t>
            </w:r>
            <w:r>
              <w:rPr>
                <w:spacing w:val="4"/>
              </w:rPr>
              <w:t>项目场地内</w:t>
            </w:r>
            <w:r>
              <w:rPr>
                <w:rFonts w:ascii="Times New Roman" w:hAnsi="Times New Roman" w:eastAsia="Times New Roman" w:cs="Times New Roman"/>
                <w:spacing w:val="4"/>
              </w:rPr>
              <w:t>3#</w:t>
            </w:r>
            <w:r>
              <w:rPr>
                <w:spacing w:val="4"/>
              </w:rPr>
              <w:t>点表层样</w:t>
            </w:r>
          </w:p>
        </w:tc>
        <w:tc>
          <w:tcPr>
            <w:tcW w:w="584" w:type="pct"/>
            <w:vMerge w:val="restart"/>
            <w:tcBorders>
              <w:tl2br w:val="nil"/>
              <w:tr2bl w:val="nil"/>
            </w:tcBorders>
            <w:vAlign w:val="center"/>
          </w:tcPr>
          <w:p w14:paraId="692AEBE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0-0.2m</w:t>
            </w:r>
          </w:p>
        </w:tc>
        <w:tc>
          <w:tcPr>
            <w:tcW w:w="1459" w:type="pct"/>
            <w:gridSpan w:val="2"/>
            <w:tcBorders>
              <w:tl2br w:val="nil"/>
              <w:tr2bl w:val="nil"/>
            </w:tcBorders>
            <w:vAlign w:val="center"/>
          </w:tcPr>
          <w:p w14:paraId="5F876AF7">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rPr>
              <w:t>pH</w:t>
            </w:r>
            <w:r>
              <w:rPr>
                <w:spacing w:val="13"/>
              </w:rPr>
              <w:t>值</w:t>
            </w:r>
          </w:p>
        </w:tc>
        <w:tc>
          <w:tcPr>
            <w:tcW w:w="857" w:type="pct"/>
            <w:tcBorders>
              <w:tl2br w:val="nil"/>
              <w:tr2bl w:val="nil"/>
            </w:tcBorders>
            <w:vAlign w:val="center"/>
          </w:tcPr>
          <w:p w14:paraId="68A8299C">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无量纲</w:t>
            </w:r>
          </w:p>
        </w:tc>
        <w:tc>
          <w:tcPr>
            <w:tcW w:w="620" w:type="pct"/>
            <w:tcBorders>
              <w:tl2br w:val="nil"/>
              <w:tr2bl w:val="nil"/>
            </w:tcBorders>
            <w:shd w:val="clear" w:color="auto" w:fill="auto"/>
            <w:vAlign w:val="center"/>
          </w:tcPr>
          <w:p w14:paraId="35D71B5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5.20</w:t>
            </w:r>
          </w:p>
        </w:tc>
        <w:tc>
          <w:tcPr>
            <w:tcW w:w="623" w:type="pct"/>
            <w:tcBorders>
              <w:tl2br w:val="nil"/>
              <w:tr2bl w:val="nil"/>
            </w:tcBorders>
            <w:vAlign w:val="center"/>
          </w:tcPr>
          <w:p w14:paraId="6C670B81">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F4586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5C2C383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D8E4FB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57820B7">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7"/>
              </w:rPr>
              <w:t>氰化物</w:t>
            </w:r>
          </w:p>
        </w:tc>
        <w:tc>
          <w:tcPr>
            <w:tcW w:w="857" w:type="pct"/>
            <w:tcBorders>
              <w:tl2br w:val="nil"/>
              <w:tr2bl w:val="nil"/>
            </w:tcBorders>
            <w:vAlign w:val="center"/>
          </w:tcPr>
          <w:p w14:paraId="145906A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1EF740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774247BD">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135</w:t>
            </w:r>
          </w:p>
        </w:tc>
      </w:tr>
      <w:tr w14:paraId="18A3D4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E7C2AD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9CF54C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52F513D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锌</w:t>
            </w:r>
          </w:p>
        </w:tc>
        <w:tc>
          <w:tcPr>
            <w:tcW w:w="857" w:type="pct"/>
            <w:tcBorders>
              <w:tl2br w:val="nil"/>
              <w:tr2bl w:val="nil"/>
            </w:tcBorders>
            <w:vAlign w:val="center"/>
          </w:tcPr>
          <w:p w14:paraId="7146224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3D1BC9C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103</w:t>
            </w:r>
          </w:p>
        </w:tc>
        <w:tc>
          <w:tcPr>
            <w:tcW w:w="623" w:type="pct"/>
            <w:tcBorders>
              <w:tl2br w:val="nil"/>
              <w:tr2bl w:val="nil"/>
            </w:tcBorders>
            <w:vAlign w:val="center"/>
          </w:tcPr>
          <w:p w14:paraId="3E6CA10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585AE9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B0F77A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2909D3A2">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57586F20">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t>铜</w:t>
            </w:r>
          </w:p>
        </w:tc>
        <w:tc>
          <w:tcPr>
            <w:tcW w:w="857" w:type="pct"/>
            <w:tcBorders>
              <w:tl2br w:val="nil"/>
              <w:tr2bl w:val="nil"/>
            </w:tcBorders>
            <w:vAlign w:val="center"/>
          </w:tcPr>
          <w:p w14:paraId="04208987">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3053F5D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35</w:t>
            </w:r>
          </w:p>
        </w:tc>
        <w:tc>
          <w:tcPr>
            <w:tcW w:w="623" w:type="pct"/>
            <w:tcBorders>
              <w:tl2br w:val="nil"/>
              <w:tr2bl w:val="nil"/>
            </w:tcBorders>
            <w:vAlign w:val="center"/>
          </w:tcPr>
          <w:p w14:paraId="7CB1211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18000</w:t>
            </w:r>
          </w:p>
        </w:tc>
      </w:tr>
      <w:tr w14:paraId="5E18F2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30F960D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3D2C600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147C910">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镍</w:t>
            </w:r>
          </w:p>
        </w:tc>
        <w:tc>
          <w:tcPr>
            <w:tcW w:w="857" w:type="pct"/>
            <w:tcBorders>
              <w:tl2br w:val="nil"/>
              <w:tr2bl w:val="nil"/>
            </w:tcBorders>
            <w:vAlign w:val="center"/>
          </w:tcPr>
          <w:p w14:paraId="6B20857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2EDCD13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31</w:t>
            </w:r>
          </w:p>
        </w:tc>
        <w:tc>
          <w:tcPr>
            <w:tcW w:w="623" w:type="pct"/>
            <w:tcBorders>
              <w:tl2br w:val="nil"/>
              <w:tr2bl w:val="nil"/>
            </w:tcBorders>
            <w:vAlign w:val="center"/>
          </w:tcPr>
          <w:p w14:paraId="62B226BC">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900</w:t>
            </w:r>
          </w:p>
        </w:tc>
      </w:tr>
      <w:tr w14:paraId="406B6B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6872D2A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6FDE85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2AE4641F">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铬（总铬）</w:t>
            </w:r>
          </w:p>
        </w:tc>
        <w:tc>
          <w:tcPr>
            <w:tcW w:w="857" w:type="pct"/>
            <w:tcBorders>
              <w:tl2br w:val="nil"/>
              <w:tr2bl w:val="nil"/>
            </w:tcBorders>
            <w:vAlign w:val="center"/>
          </w:tcPr>
          <w:p w14:paraId="6D50EFB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1FAF9A2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175</w:t>
            </w:r>
          </w:p>
        </w:tc>
        <w:tc>
          <w:tcPr>
            <w:tcW w:w="623" w:type="pct"/>
            <w:tcBorders>
              <w:tl2br w:val="nil"/>
              <w:tr2bl w:val="nil"/>
            </w:tcBorders>
            <w:vAlign w:val="center"/>
          </w:tcPr>
          <w:p w14:paraId="305548E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0B2A1A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73B31D49">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5B9E9AD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2CEAD05">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2"/>
              </w:rPr>
              <w:t>镉</w:t>
            </w:r>
          </w:p>
        </w:tc>
        <w:tc>
          <w:tcPr>
            <w:tcW w:w="857" w:type="pct"/>
            <w:tcBorders>
              <w:tl2br w:val="nil"/>
              <w:tr2bl w:val="nil"/>
            </w:tcBorders>
            <w:vAlign w:val="center"/>
          </w:tcPr>
          <w:p w14:paraId="2870E74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5E9E0D1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0.15</w:t>
            </w:r>
          </w:p>
        </w:tc>
        <w:tc>
          <w:tcPr>
            <w:tcW w:w="623" w:type="pct"/>
            <w:tcBorders>
              <w:tl2br w:val="nil"/>
              <w:tr2bl w:val="nil"/>
            </w:tcBorders>
            <w:vAlign w:val="center"/>
          </w:tcPr>
          <w:p w14:paraId="39909DD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65</w:t>
            </w:r>
          </w:p>
        </w:tc>
      </w:tr>
      <w:tr w14:paraId="04BAF9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5D3D5020">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78EC5B7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6E5BCDF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5"/>
              </w:rPr>
              <w:t>汞（总汞）</w:t>
            </w:r>
          </w:p>
        </w:tc>
        <w:tc>
          <w:tcPr>
            <w:tcW w:w="857" w:type="pct"/>
            <w:tcBorders>
              <w:tl2br w:val="nil"/>
              <w:tr2bl w:val="nil"/>
            </w:tcBorders>
            <w:vAlign w:val="center"/>
          </w:tcPr>
          <w:p w14:paraId="485F7C45">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6A00848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0.136</w:t>
            </w:r>
          </w:p>
        </w:tc>
        <w:tc>
          <w:tcPr>
            <w:tcW w:w="623" w:type="pct"/>
            <w:tcBorders>
              <w:tl2br w:val="nil"/>
              <w:tr2bl w:val="nil"/>
            </w:tcBorders>
            <w:vAlign w:val="center"/>
          </w:tcPr>
          <w:p w14:paraId="7A0178C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38</w:t>
            </w:r>
          </w:p>
        </w:tc>
      </w:tr>
      <w:tr w14:paraId="343DF2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7" w:hRule="atLeast"/>
        </w:trPr>
        <w:tc>
          <w:tcPr>
            <w:tcW w:w="854" w:type="pct"/>
            <w:vMerge w:val="continue"/>
            <w:tcBorders>
              <w:tl2br w:val="nil"/>
              <w:tr2bl w:val="nil"/>
            </w:tcBorders>
            <w:vAlign w:val="center"/>
          </w:tcPr>
          <w:p w14:paraId="0A7F03F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6437D7D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7F702AC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1"/>
              </w:rPr>
              <w:t>砷</w:t>
            </w:r>
          </w:p>
        </w:tc>
        <w:tc>
          <w:tcPr>
            <w:tcW w:w="857" w:type="pct"/>
            <w:tcBorders>
              <w:tl2br w:val="nil"/>
              <w:tr2bl w:val="nil"/>
            </w:tcBorders>
            <w:vAlign w:val="center"/>
          </w:tcPr>
          <w:p w14:paraId="63D93034">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6164881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24.1</w:t>
            </w:r>
          </w:p>
        </w:tc>
        <w:tc>
          <w:tcPr>
            <w:tcW w:w="623" w:type="pct"/>
            <w:tcBorders>
              <w:tl2br w:val="nil"/>
              <w:tr2bl w:val="nil"/>
            </w:tcBorders>
            <w:vAlign w:val="center"/>
          </w:tcPr>
          <w:p w14:paraId="37BA1AE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60</w:t>
            </w:r>
          </w:p>
        </w:tc>
      </w:tr>
      <w:tr w14:paraId="2EF456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54" w:type="pct"/>
            <w:vMerge w:val="continue"/>
            <w:tcBorders>
              <w:tl2br w:val="nil"/>
              <w:tr2bl w:val="nil"/>
            </w:tcBorders>
            <w:vAlign w:val="center"/>
          </w:tcPr>
          <w:p w14:paraId="58059C06">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1B264563">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1C2684BD">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6"/>
              </w:rPr>
              <w:t>六价铬</w:t>
            </w:r>
          </w:p>
        </w:tc>
        <w:tc>
          <w:tcPr>
            <w:tcW w:w="857" w:type="pct"/>
            <w:tcBorders>
              <w:tl2br w:val="nil"/>
              <w:tr2bl w:val="nil"/>
            </w:tcBorders>
            <w:vAlign w:val="center"/>
          </w:tcPr>
          <w:p w14:paraId="3FD452B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shd w:val="clear" w:color="auto" w:fill="auto"/>
            <w:vAlign w:val="center"/>
          </w:tcPr>
          <w:p w14:paraId="766D49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623" w:type="pct"/>
            <w:tcBorders>
              <w:tl2br w:val="nil"/>
              <w:tr2bl w:val="nil"/>
            </w:tcBorders>
            <w:vAlign w:val="center"/>
          </w:tcPr>
          <w:p w14:paraId="6CEB22AA">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5.7</w:t>
            </w:r>
          </w:p>
        </w:tc>
      </w:tr>
      <w:tr w14:paraId="7FED1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24" w:hRule="atLeast"/>
        </w:trPr>
        <w:tc>
          <w:tcPr>
            <w:tcW w:w="854" w:type="pct"/>
            <w:vMerge w:val="continue"/>
            <w:tcBorders>
              <w:tl2br w:val="nil"/>
              <w:tr2bl w:val="nil"/>
            </w:tcBorders>
            <w:vAlign w:val="center"/>
          </w:tcPr>
          <w:p w14:paraId="66EAB968">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584" w:type="pct"/>
            <w:vMerge w:val="continue"/>
            <w:tcBorders>
              <w:tl2br w:val="nil"/>
              <w:tr2bl w:val="nil"/>
            </w:tcBorders>
            <w:vAlign w:val="center"/>
          </w:tcPr>
          <w:p w14:paraId="4E2A0F7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Arial"/>
                <w:sz w:val="21"/>
              </w:rPr>
            </w:pPr>
          </w:p>
        </w:tc>
        <w:tc>
          <w:tcPr>
            <w:tcW w:w="1459" w:type="pct"/>
            <w:gridSpan w:val="2"/>
            <w:tcBorders>
              <w:tl2br w:val="nil"/>
              <w:tr2bl w:val="nil"/>
            </w:tcBorders>
            <w:vAlign w:val="center"/>
          </w:tcPr>
          <w:p w14:paraId="35814D46">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t>铅</w:t>
            </w:r>
          </w:p>
        </w:tc>
        <w:tc>
          <w:tcPr>
            <w:tcW w:w="857" w:type="pct"/>
            <w:tcBorders>
              <w:tl2br w:val="nil"/>
              <w:tr2bl w:val="nil"/>
            </w:tcBorders>
            <w:vAlign w:val="center"/>
          </w:tcPr>
          <w:p w14:paraId="1EFA673B">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mg/kg</w:t>
            </w:r>
          </w:p>
        </w:tc>
        <w:tc>
          <w:tcPr>
            <w:tcW w:w="620" w:type="pct"/>
            <w:tcBorders>
              <w:tl2br w:val="nil"/>
              <w:tr2bl w:val="nil"/>
            </w:tcBorders>
            <w:vAlign w:val="center"/>
          </w:tcPr>
          <w:p w14:paraId="727DB25F">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pacing w:val="4"/>
                <w:sz w:val="20"/>
                <w:szCs w:val="20"/>
                <w:lang w:val="en-US" w:eastAsia="zh-CN"/>
              </w:rPr>
            </w:pPr>
            <w:r>
              <w:rPr>
                <w:rFonts w:hint="eastAsia" w:eastAsia="宋体" w:cs="Times New Roman"/>
                <w:spacing w:val="4"/>
                <w:sz w:val="20"/>
                <w:szCs w:val="20"/>
                <w:lang w:val="en-US" w:eastAsia="zh-CN"/>
              </w:rPr>
              <w:t>25</w:t>
            </w:r>
          </w:p>
        </w:tc>
        <w:tc>
          <w:tcPr>
            <w:tcW w:w="623" w:type="pct"/>
            <w:tcBorders>
              <w:tl2br w:val="nil"/>
              <w:tr2bl w:val="nil"/>
            </w:tcBorders>
            <w:vAlign w:val="center"/>
          </w:tcPr>
          <w:p w14:paraId="26C7C8EE">
            <w:pPr>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800</w:t>
            </w:r>
          </w:p>
        </w:tc>
      </w:tr>
      <w:tr w14:paraId="767737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24" w:hRule="atLeast"/>
        </w:trPr>
        <w:tc>
          <w:tcPr>
            <w:tcW w:w="5000" w:type="pct"/>
            <w:gridSpan w:val="7"/>
            <w:tcBorders>
              <w:tl2br w:val="nil"/>
              <w:tr2bl w:val="nil"/>
            </w:tcBorders>
            <w:vAlign w:val="center"/>
          </w:tcPr>
          <w:p w14:paraId="742DF203">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left"/>
              <w:textAlignment w:val="auto"/>
              <w:rPr>
                <w:rFonts w:ascii="Times New Roman" w:hAnsi="Times New Roman" w:eastAsia="Times New Roman" w:cs="Times New Roman"/>
                <w:sz w:val="20"/>
                <w:szCs w:val="20"/>
              </w:rPr>
            </w:pPr>
            <w:r>
              <w:rPr>
                <w:spacing w:val="8"/>
              </w:rPr>
              <w:t>备注：</w:t>
            </w:r>
            <w:r>
              <w:rPr>
                <w:rFonts w:ascii="Times New Roman" w:hAnsi="Times New Roman" w:eastAsia="Times New Roman" w:cs="Times New Roman"/>
                <w:spacing w:val="8"/>
              </w:rPr>
              <w:t>1</w:t>
            </w:r>
            <w:r>
              <w:rPr>
                <w:spacing w:val="8"/>
              </w:rPr>
              <w:t>、</w:t>
            </w:r>
            <w:r>
              <w:rPr>
                <w:rFonts w:ascii="Times New Roman" w:hAnsi="Times New Roman" w:eastAsia="Times New Roman" w:cs="Times New Roman"/>
                <w:spacing w:val="8"/>
              </w:rPr>
              <w:t>“</w:t>
            </w:r>
            <w:r>
              <w:rPr>
                <w:rFonts w:ascii="Times New Roman" w:hAnsi="Times New Roman" w:eastAsia="Times New Roman" w:cs="Times New Roman"/>
              </w:rPr>
              <w:t>ND</w:t>
            </w:r>
            <w:r>
              <w:rPr>
                <w:rFonts w:ascii="Times New Roman" w:hAnsi="Times New Roman" w:eastAsia="Times New Roman" w:cs="Times New Roman"/>
                <w:spacing w:val="8"/>
              </w:rPr>
              <w:t>”</w:t>
            </w:r>
            <w:r>
              <w:rPr>
                <w:spacing w:val="8"/>
              </w:rPr>
              <w:t>表示检测结果低于本方法检出限，未检出；</w:t>
            </w:r>
            <w:r>
              <w:rPr>
                <w:rFonts w:ascii="Times New Roman" w:hAnsi="Times New Roman" w:eastAsia="Times New Roman" w:cs="Times New Roman"/>
                <w:spacing w:val="6"/>
              </w:rPr>
              <w:t>2</w:t>
            </w:r>
            <w:r>
              <w:rPr>
                <w:spacing w:val="6"/>
              </w:rPr>
              <w:t>、执行《土壤环境质量 建设用地土壤污染风险管控标准》（</w:t>
            </w:r>
            <w:r>
              <w:rPr>
                <w:rFonts w:ascii="Times New Roman" w:hAnsi="Times New Roman" w:eastAsia="Times New Roman" w:cs="Times New Roman"/>
              </w:rPr>
              <w:t>GB</w:t>
            </w:r>
            <w:r>
              <w:rPr>
                <w:rFonts w:ascii="Times New Roman" w:hAnsi="Times New Roman" w:eastAsia="Times New Roman" w:cs="Times New Roman"/>
                <w:spacing w:val="6"/>
              </w:rPr>
              <w:t xml:space="preserve"> 36600-2018</w:t>
            </w:r>
            <w:r>
              <w:rPr>
                <w:spacing w:val="6"/>
              </w:rPr>
              <w:t>）表</w:t>
            </w:r>
            <w:r>
              <w:rPr>
                <w:rFonts w:ascii="Times New Roman" w:hAnsi="Times New Roman" w:eastAsia="Times New Roman" w:cs="Times New Roman"/>
                <w:spacing w:val="5"/>
              </w:rPr>
              <w:t>1</w:t>
            </w:r>
            <w:r>
              <w:rPr>
                <w:spacing w:val="5"/>
              </w:rPr>
              <w:t>及表</w:t>
            </w:r>
            <w:r>
              <w:rPr>
                <w:rFonts w:ascii="Times New Roman" w:hAnsi="Times New Roman" w:eastAsia="Times New Roman" w:cs="Times New Roman"/>
                <w:spacing w:val="5"/>
              </w:rPr>
              <w:t>2</w:t>
            </w:r>
            <w:r>
              <w:rPr>
                <w:spacing w:val="5"/>
              </w:rPr>
              <w:t>中第二类用地筛选值。</w:t>
            </w:r>
          </w:p>
        </w:tc>
      </w:tr>
    </w:tbl>
    <w:p w14:paraId="0A2347D1">
      <w:pPr>
        <w:pStyle w:val="113"/>
        <w:keepNext w:val="0"/>
        <w:keepLines w:val="0"/>
        <w:pageBreakBefore w:val="0"/>
        <w:widowControl w:val="0"/>
        <w:kinsoku/>
        <w:wordWrap w:val="0"/>
        <w:overflowPunct/>
        <w:topLinePunct w:val="0"/>
        <w:autoSpaceDE/>
        <w:autoSpaceDN/>
        <w:bidi w:val="0"/>
        <w:adjustRightInd/>
        <w:snapToGrid/>
        <w:ind w:left="0" w:leftChars="0" w:firstLine="482" w:firstLineChars="0"/>
        <w:jc w:val="left"/>
        <w:textAlignment w:val="auto"/>
        <w:rPr>
          <w:rFonts w:hint="default" w:ascii="Times New Roman" w:hAnsi="Times New Roman" w:eastAsia="宋体" w:cs="Times New Roman"/>
          <w:color w:val="auto"/>
          <w:sz w:val="24"/>
          <w:szCs w:val="24"/>
          <w:highlight w:val="none"/>
          <w:u w:val="none" w:color="auto"/>
          <w:lang w:val="en-US" w:eastAsia="zh-CN"/>
        </w:rPr>
      </w:pPr>
      <w:r>
        <w:rPr>
          <w:rFonts w:ascii="宋体" w:hAnsi="宋体" w:eastAsia="宋体" w:cs="宋体"/>
          <w:spacing w:val="-3"/>
          <w:sz w:val="24"/>
          <w:szCs w:val="24"/>
        </w:rPr>
        <w:t>现状监测结果表明，土壤采样点位</w:t>
      </w:r>
      <w:r>
        <w:rPr>
          <w:rFonts w:ascii="Times New Roman" w:hAnsi="Times New Roman" w:eastAsia="Times New Roman" w:cs="Times New Roman"/>
          <w:spacing w:val="-3"/>
          <w:sz w:val="24"/>
          <w:szCs w:val="24"/>
        </w:rPr>
        <w:t>T1~T3</w:t>
      </w:r>
      <w:r>
        <w:rPr>
          <w:rFonts w:ascii="宋体" w:hAnsi="宋体" w:eastAsia="宋体" w:cs="宋体"/>
          <w:spacing w:val="-3"/>
          <w:sz w:val="24"/>
          <w:szCs w:val="24"/>
        </w:rPr>
        <w:t>各项监测因子</w:t>
      </w:r>
      <w:r>
        <w:rPr>
          <w:rFonts w:ascii="宋体" w:hAnsi="宋体" w:eastAsia="宋体" w:cs="宋体"/>
          <w:spacing w:val="-4"/>
          <w:sz w:val="24"/>
          <w:szCs w:val="24"/>
        </w:rPr>
        <w:t>均满足《土壤环境质量建设</w:t>
      </w:r>
      <w:r>
        <w:rPr>
          <w:rFonts w:ascii="宋体" w:hAnsi="宋体" w:eastAsia="宋体" w:cs="宋体"/>
          <w:spacing w:val="-7"/>
          <w:sz w:val="24"/>
          <w:szCs w:val="24"/>
        </w:rPr>
        <w:t>用地土壤污染风险管控标准（试行）》（</w:t>
      </w:r>
      <w:r>
        <w:rPr>
          <w:rFonts w:ascii="Times New Roman" w:hAnsi="Times New Roman" w:eastAsia="Times New Roman" w:cs="Times New Roman"/>
          <w:spacing w:val="-7"/>
          <w:sz w:val="24"/>
          <w:szCs w:val="24"/>
        </w:rPr>
        <w:t>GB36600-2018</w:t>
      </w:r>
      <w:r>
        <w:rPr>
          <w:rFonts w:ascii="宋体" w:hAnsi="宋体" w:eastAsia="宋体" w:cs="宋体"/>
          <w:spacing w:val="-7"/>
          <w:sz w:val="24"/>
          <w:szCs w:val="24"/>
        </w:rPr>
        <w:t>）</w:t>
      </w:r>
      <w:r>
        <w:rPr>
          <w:rFonts w:ascii="宋体" w:hAnsi="宋体" w:eastAsia="宋体" w:cs="宋体"/>
          <w:spacing w:val="-8"/>
          <w:sz w:val="24"/>
          <w:szCs w:val="24"/>
        </w:rPr>
        <w:t>表</w:t>
      </w:r>
      <w:r>
        <w:rPr>
          <w:rFonts w:ascii="Times New Roman" w:hAnsi="Times New Roman" w:eastAsia="Times New Roman" w:cs="Times New Roman"/>
          <w:spacing w:val="-8"/>
          <w:sz w:val="24"/>
          <w:szCs w:val="24"/>
        </w:rPr>
        <w:t>1</w:t>
      </w:r>
      <w:r>
        <w:rPr>
          <w:rFonts w:ascii="宋体" w:hAnsi="宋体" w:eastAsia="宋体" w:cs="宋体"/>
          <w:spacing w:val="-8"/>
          <w:sz w:val="24"/>
          <w:szCs w:val="24"/>
        </w:rPr>
        <w:t>中筛选制第二类相关限值。</w:t>
      </w:r>
    </w:p>
    <w:p w14:paraId="7E7862B2">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421" w:name="_Toc27569"/>
      <w:bookmarkStart w:id="422" w:name="_Toc6422"/>
      <w:bookmarkStart w:id="423" w:name="_Toc25417"/>
      <w:r>
        <w:rPr>
          <w:rFonts w:hint="eastAsia" w:cs="Times New Roman"/>
          <w:color w:val="auto"/>
          <w:sz w:val="28"/>
          <w:szCs w:val="28"/>
          <w:highlight w:val="none"/>
          <w:u w:val="none" w:color="auto"/>
          <w:lang w:val="en-US" w:eastAsia="zh-CN"/>
        </w:rPr>
        <w:t>4</w:t>
      </w:r>
      <w:r>
        <w:rPr>
          <w:rFonts w:hint="default" w:ascii="Times New Roman" w:hAnsi="Times New Roman" w:cs="Times New Roman"/>
          <w:color w:val="auto"/>
          <w:sz w:val="28"/>
          <w:szCs w:val="28"/>
          <w:highlight w:val="none"/>
          <w:u w:val="none" w:color="auto"/>
        </w:rPr>
        <w:t>.</w:t>
      </w:r>
      <w:r>
        <w:rPr>
          <w:rFonts w:hint="eastAsia" w:cs="Times New Roman"/>
          <w:color w:val="auto"/>
          <w:sz w:val="28"/>
          <w:szCs w:val="28"/>
          <w:highlight w:val="none"/>
          <w:u w:val="none" w:color="auto"/>
          <w:lang w:val="en-US" w:eastAsia="zh-CN"/>
        </w:rPr>
        <w:t>2</w:t>
      </w:r>
      <w:r>
        <w:rPr>
          <w:rFonts w:hint="default" w:ascii="Times New Roman" w:hAnsi="Times New Roman" w:cs="Times New Roman"/>
          <w:color w:val="auto"/>
          <w:sz w:val="28"/>
          <w:szCs w:val="28"/>
          <w:highlight w:val="none"/>
          <w:u w:val="none" w:color="auto"/>
        </w:rPr>
        <w:t>.5声环境现状监测及评价</w:t>
      </w:r>
      <w:bookmarkEnd w:id="414"/>
      <w:bookmarkEnd w:id="421"/>
      <w:bookmarkEnd w:id="422"/>
      <w:bookmarkEnd w:id="423"/>
    </w:p>
    <w:p w14:paraId="3EC8B5E6">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5"/>
          <w:sz w:val="24"/>
          <w:szCs w:val="24"/>
        </w:rPr>
        <w:t>（</w:t>
      </w:r>
      <w:r>
        <w:rPr>
          <w:rFonts w:ascii="Times New Roman" w:hAnsi="Times New Roman" w:eastAsia="Times New Roman" w:cs="Times New Roman"/>
          <w:spacing w:val="-5"/>
          <w:sz w:val="24"/>
          <w:szCs w:val="24"/>
        </w:rPr>
        <w:t>1</w:t>
      </w:r>
      <w:r>
        <w:rPr>
          <w:rFonts w:ascii="宋体" w:hAnsi="宋体" w:eastAsia="宋体" w:cs="宋体"/>
          <w:spacing w:val="-5"/>
          <w:sz w:val="24"/>
          <w:szCs w:val="24"/>
        </w:rPr>
        <w:t>）监测点位</w:t>
      </w:r>
    </w:p>
    <w:p w14:paraId="73CA52F1">
      <w:pPr>
        <w:keepNext w:val="0"/>
        <w:keepLines w:val="0"/>
        <w:pageBreakBefore w:val="0"/>
        <w:widowControl/>
        <w:kinsoku/>
        <w:wordWrap/>
        <w:overflowPunct/>
        <w:topLinePunct/>
        <w:autoSpaceDE/>
        <w:autoSpaceDN/>
        <w:bidi w:val="0"/>
        <w:adjustRightInd/>
        <w:snapToGrid/>
        <w:spacing w:line="360" w:lineRule="auto"/>
        <w:ind w:left="0" w:firstLine="478"/>
        <w:textAlignment w:val="auto"/>
        <w:rPr>
          <w:rFonts w:ascii="宋体" w:hAnsi="宋体" w:eastAsia="宋体" w:cs="宋体"/>
          <w:sz w:val="24"/>
          <w:szCs w:val="24"/>
        </w:rPr>
      </w:pPr>
      <w:r>
        <w:rPr>
          <w:rFonts w:ascii="宋体" w:hAnsi="宋体" w:eastAsia="宋体" w:cs="宋体"/>
          <w:spacing w:val="-3"/>
          <w:sz w:val="24"/>
          <w:szCs w:val="24"/>
        </w:rPr>
        <w:t>为了解项目周边敏感点声环境质量，建设单位委托湖南恩尼检测有限公司进</w:t>
      </w:r>
      <w:r>
        <w:rPr>
          <w:rFonts w:ascii="宋体" w:hAnsi="宋体" w:eastAsia="宋体" w:cs="宋体"/>
          <w:spacing w:val="-4"/>
          <w:sz w:val="24"/>
          <w:szCs w:val="24"/>
        </w:rPr>
        <w:t>行监测，</w:t>
      </w:r>
      <w:r>
        <w:rPr>
          <w:rFonts w:ascii="宋体" w:hAnsi="宋体" w:eastAsia="宋体" w:cs="宋体"/>
          <w:spacing w:val="-3"/>
          <w:sz w:val="24"/>
          <w:szCs w:val="24"/>
        </w:rPr>
        <w:t>具体内容见下。</w:t>
      </w:r>
    </w:p>
    <w:p w14:paraId="6C560619">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4.2-1</w:t>
      </w:r>
      <w:r>
        <w:rPr>
          <w:rFonts w:hint="eastAsia" w:eastAsia="宋体" w:cs="Times New Roman"/>
          <w:b/>
          <w:bCs/>
          <w:spacing w:val="-2"/>
          <w:sz w:val="21"/>
          <w:szCs w:val="21"/>
          <w:lang w:val="en-US" w:eastAsia="zh-CN"/>
        </w:rPr>
        <w:t>1</w:t>
      </w:r>
      <w:r>
        <w:rPr>
          <w:rFonts w:hint="eastAsia" w:ascii="Times New Roman" w:hAnsi="Times New Roman" w:eastAsia="宋体" w:cs="Times New Roman"/>
          <w:b/>
          <w:bCs/>
          <w:spacing w:val="-2"/>
          <w:sz w:val="21"/>
          <w:szCs w:val="21"/>
          <w:lang w:val="en-US" w:eastAsia="zh-CN"/>
        </w:rPr>
        <w:t xml:space="preserve">  </w:t>
      </w:r>
      <w:r>
        <w:rPr>
          <w:rFonts w:ascii="宋体" w:hAnsi="宋体" w:eastAsia="宋体" w:cs="宋体"/>
          <w:b/>
          <w:bCs/>
          <w:spacing w:val="-2"/>
          <w:sz w:val="21"/>
          <w:szCs w:val="21"/>
        </w:rPr>
        <w:t>噪声环境质量现状监测点位情况</w:t>
      </w:r>
    </w:p>
    <w:tbl>
      <w:tblPr>
        <w:tblStyle w:val="111"/>
        <w:tblW w:w="5031"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3627"/>
        <w:gridCol w:w="5535"/>
      </w:tblGrid>
      <w:tr w14:paraId="0A60C4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1979" w:type="pct"/>
            <w:tcBorders>
              <w:tl2br w:val="nil"/>
              <w:tr2bl w:val="nil"/>
            </w:tcBorders>
            <w:vAlign w:val="center"/>
          </w:tcPr>
          <w:p w14:paraId="49268636">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b/>
                <w:bCs/>
              </w:rPr>
            </w:pPr>
            <w:r>
              <w:rPr>
                <w:b/>
                <w:bCs/>
                <w:spacing w:val="3"/>
              </w:rPr>
              <w:t>名称</w:t>
            </w:r>
          </w:p>
        </w:tc>
        <w:tc>
          <w:tcPr>
            <w:tcW w:w="3020" w:type="pct"/>
            <w:tcBorders>
              <w:tl2br w:val="nil"/>
              <w:tr2bl w:val="nil"/>
            </w:tcBorders>
            <w:vAlign w:val="center"/>
          </w:tcPr>
          <w:p w14:paraId="01BFB092">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rPr>
                <w:b/>
                <w:bCs/>
              </w:rPr>
            </w:pPr>
            <w:r>
              <w:rPr>
                <w:b/>
                <w:bCs/>
                <w:spacing w:val="4"/>
              </w:rPr>
              <w:t>位置</w:t>
            </w:r>
          </w:p>
        </w:tc>
      </w:tr>
      <w:tr w14:paraId="6BC3BD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979" w:type="pct"/>
            <w:tcBorders>
              <w:tl2br w:val="nil"/>
              <w:tr2bl w:val="nil"/>
            </w:tcBorders>
            <w:vAlign w:val="center"/>
          </w:tcPr>
          <w:p w14:paraId="7F7E7B5C">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8"/>
              </w:rPr>
              <w:t>N1</w:t>
            </w:r>
            <w:r>
              <w:rPr>
                <w:spacing w:val="8"/>
              </w:rPr>
              <w:t>桥背村居民点</w:t>
            </w:r>
          </w:p>
        </w:tc>
        <w:tc>
          <w:tcPr>
            <w:tcW w:w="3020" w:type="pct"/>
            <w:tcBorders>
              <w:tl2br w:val="nil"/>
              <w:tr2bl w:val="nil"/>
            </w:tcBorders>
            <w:vAlign w:val="center"/>
          </w:tcPr>
          <w:p w14:paraId="668E9E30">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8"/>
              </w:rPr>
              <w:t>施工道路东侧</w:t>
            </w:r>
          </w:p>
        </w:tc>
      </w:tr>
      <w:tr w14:paraId="22FF94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979" w:type="pct"/>
            <w:tcBorders>
              <w:tl2br w:val="nil"/>
              <w:tr2bl w:val="nil"/>
            </w:tcBorders>
            <w:vAlign w:val="center"/>
          </w:tcPr>
          <w:p w14:paraId="28A7F4D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7"/>
              </w:rPr>
              <w:t>N2</w:t>
            </w:r>
            <w:r>
              <w:rPr>
                <w:spacing w:val="7"/>
              </w:rPr>
              <w:t>万古村居民点</w:t>
            </w:r>
          </w:p>
        </w:tc>
        <w:tc>
          <w:tcPr>
            <w:tcW w:w="3020" w:type="pct"/>
            <w:tcBorders>
              <w:tl2br w:val="nil"/>
              <w:tr2bl w:val="nil"/>
            </w:tcBorders>
            <w:vAlign w:val="center"/>
          </w:tcPr>
          <w:p w14:paraId="2AE99ED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8"/>
              </w:rPr>
              <w:t>施工道路东南侧</w:t>
            </w:r>
          </w:p>
        </w:tc>
      </w:tr>
      <w:tr w14:paraId="13CE61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979" w:type="pct"/>
            <w:tcBorders>
              <w:tl2br w:val="nil"/>
              <w:tr2bl w:val="nil"/>
            </w:tcBorders>
            <w:vAlign w:val="center"/>
          </w:tcPr>
          <w:p w14:paraId="32C72C18">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7"/>
              </w:rPr>
              <w:t>N3</w:t>
            </w:r>
            <w:r>
              <w:rPr>
                <w:spacing w:val="7"/>
              </w:rPr>
              <w:t>下新屋居民点</w:t>
            </w:r>
          </w:p>
        </w:tc>
        <w:tc>
          <w:tcPr>
            <w:tcW w:w="3020" w:type="pct"/>
            <w:tcBorders>
              <w:tl2br w:val="nil"/>
              <w:tr2bl w:val="nil"/>
            </w:tcBorders>
            <w:vAlign w:val="center"/>
          </w:tcPr>
          <w:p w14:paraId="4539EBB1">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8"/>
              </w:rPr>
              <w:t>施工道路南侧</w:t>
            </w:r>
          </w:p>
        </w:tc>
      </w:tr>
      <w:tr w14:paraId="62370E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4" w:hRule="atLeast"/>
        </w:trPr>
        <w:tc>
          <w:tcPr>
            <w:tcW w:w="1979" w:type="pct"/>
            <w:tcBorders>
              <w:tl2br w:val="nil"/>
              <w:tr2bl w:val="nil"/>
            </w:tcBorders>
            <w:vAlign w:val="center"/>
          </w:tcPr>
          <w:p w14:paraId="17FA7090">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rFonts w:ascii="Times New Roman" w:hAnsi="Times New Roman" w:eastAsia="Times New Roman" w:cs="Times New Roman"/>
                <w:spacing w:val="8"/>
              </w:rPr>
              <w:t>N4</w:t>
            </w:r>
            <w:r>
              <w:rPr>
                <w:spacing w:val="8"/>
              </w:rPr>
              <w:t>长子坡居民点</w:t>
            </w:r>
          </w:p>
        </w:tc>
        <w:tc>
          <w:tcPr>
            <w:tcW w:w="3020" w:type="pct"/>
            <w:tcBorders>
              <w:tl2br w:val="nil"/>
              <w:tr2bl w:val="nil"/>
            </w:tcBorders>
            <w:vAlign w:val="center"/>
          </w:tcPr>
          <w:p w14:paraId="4DC1583E">
            <w:pPr>
              <w:pStyle w:val="197"/>
              <w:keepNext w:val="0"/>
              <w:keepLines w:val="0"/>
              <w:pageBreakBefore w:val="0"/>
              <w:widowControl/>
              <w:kinsoku/>
              <w:wordWrap/>
              <w:overflowPunct/>
              <w:topLinePunct/>
              <w:autoSpaceDE/>
              <w:autoSpaceDN/>
              <w:bidi w:val="0"/>
              <w:adjustRightInd/>
              <w:snapToGrid/>
              <w:spacing w:line="240" w:lineRule="auto"/>
              <w:ind w:left="0" w:firstLine="0" w:firstLineChars="0"/>
              <w:jc w:val="center"/>
              <w:textAlignment w:val="auto"/>
            </w:pPr>
            <w:r>
              <w:rPr>
                <w:spacing w:val="8"/>
              </w:rPr>
              <w:t>施工道路西侧</w:t>
            </w:r>
          </w:p>
        </w:tc>
      </w:tr>
    </w:tbl>
    <w:p w14:paraId="776C95A5">
      <w:pPr>
        <w:keepNext w:val="0"/>
        <w:keepLines w:val="0"/>
        <w:pageBreakBefore w:val="0"/>
        <w:widowControl/>
        <w:kinsoku/>
        <w:wordWrap/>
        <w:overflowPunct/>
        <w:topLinePunct/>
        <w:autoSpaceDE/>
        <w:autoSpaceDN/>
        <w:bidi w:val="0"/>
        <w:adjustRightInd/>
        <w:snapToGrid/>
        <w:spacing w:line="360" w:lineRule="auto"/>
        <w:ind w:left="0"/>
        <w:textAlignment w:val="auto"/>
        <w:rPr>
          <w:rFonts w:ascii="Times New Roman" w:hAnsi="Times New Roman" w:eastAsia="Times New Roman" w:cs="Times New Roman"/>
          <w:sz w:val="24"/>
          <w:szCs w:val="24"/>
        </w:rPr>
      </w:pPr>
      <w:r>
        <w:rPr>
          <w:rFonts w:ascii="宋体" w:hAnsi="宋体" w:eastAsia="宋体" w:cs="宋体"/>
          <w:spacing w:val="-2"/>
          <w:sz w:val="24"/>
          <w:szCs w:val="24"/>
        </w:rPr>
        <w:t>（</w:t>
      </w:r>
      <w:r>
        <w:rPr>
          <w:rFonts w:ascii="Times New Roman" w:hAnsi="Times New Roman" w:eastAsia="Times New Roman" w:cs="Times New Roman"/>
          <w:spacing w:val="-2"/>
          <w:sz w:val="24"/>
          <w:szCs w:val="24"/>
        </w:rPr>
        <w:t>2</w:t>
      </w:r>
      <w:r>
        <w:rPr>
          <w:rFonts w:ascii="宋体" w:hAnsi="宋体" w:eastAsia="宋体" w:cs="宋体"/>
          <w:spacing w:val="-2"/>
          <w:sz w:val="24"/>
          <w:szCs w:val="24"/>
        </w:rPr>
        <w:t>）监测项目：等效连续</w:t>
      </w:r>
      <w:r>
        <w:rPr>
          <w:rFonts w:ascii="Times New Roman" w:hAnsi="Times New Roman" w:eastAsia="Times New Roman" w:cs="Times New Roman"/>
          <w:spacing w:val="-2"/>
          <w:sz w:val="24"/>
          <w:szCs w:val="24"/>
        </w:rPr>
        <w:t>A</w:t>
      </w:r>
      <w:r>
        <w:rPr>
          <w:rFonts w:ascii="宋体" w:hAnsi="宋体" w:eastAsia="宋体" w:cs="宋体"/>
          <w:spacing w:val="-2"/>
          <w:sz w:val="24"/>
          <w:szCs w:val="24"/>
        </w:rPr>
        <w:t>声级</w:t>
      </w:r>
      <w:r>
        <w:rPr>
          <w:rFonts w:ascii="Times New Roman" w:hAnsi="Times New Roman" w:eastAsia="Times New Roman" w:cs="Times New Roman"/>
          <w:spacing w:val="-2"/>
          <w:sz w:val="24"/>
          <w:szCs w:val="24"/>
        </w:rPr>
        <w:t>LeqA</w:t>
      </w:r>
    </w:p>
    <w:p w14:paraId="080A2D5A">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3</w:t>
      </w:r>
      <w:r>
        <w:rPr>
          <w:rFonts w:ascii="宋体" w:hAnsi="宋体" w:eastAsia="宋体" w:cs="宋体"/>
          <w:spacing w:val="-3"/>
          <w:sz w:val="24"/>
          <w:szCs w:val="24"/>
        </w:rPr>
        <w:t>）监测时间及频次</w:t>
      </w:r>
    </w:p>
    <w:p w14:paraId="5F1B09C0">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Times New Roman" w:hAnsi="Times New Roman" w:eastAsia="Times New Roman" w:cs="Times New Roman"/>
          <w:spacing w:val="-6"/>
          <w:sz w:val="24"/>
          <w:szCs w:val="24"/>
        </w:rPr>
        <w:t>2026</w:t>
      </w:r>
      <w:r>
        <w:rPr>
          <w:rFonts w:ascii="宋体" w:hAnsi="宋体" w:eastAsia="宋体" w:cs="宋体"/>
          <w:spacing w:val="-6"/>
          <w:sz w:val="24"/>
          <w:szCs w:val="24"/>
        </w:rPr>
        <w:t>年</w:t>
      </w:r>
      <w:r>
        <w:rPr>
          <w:rFonts w:ascii="Times New Roman" w:hAnsi="Times New Roman" w:eastAsia="Times New Roman" w:cs="Times New Roman"/>
          <w:spacing w:val="-6"/>
          <w:sz w:val="24"/>
          <w:szCs w:val="24"/>
        </w:rPr>
        <w:t>1</w:t>
      </w:r>
      <w:r>
        <w:rPr>
          <w:rFonts w:ascii="宋体" w:hAnsi="宋体" w:eastAsia="宋体" w:cs="宋体"/>
          <w:spacing w:val="-6"/>
          <w:sz w:val="24"/>
          <w:szCs w:val="24"/>
        </w:rPr>
        <w:t>月</w:t>
      </w:r>
      <w:r>
        <w:rPr>
          <w:rFonts w:ascii="Times New Roman" w:hAnsi="Times New Roman" w:eastAsia="Times New Roman" w:cs="Times New Roman"/>
          <w:spacing w:val="-6"/>
          <w:sz w:val="24"/>
          <w:szCs w:val="24"/>
        </w:rPr>
        <w:t>30</w:t>
      </w:r>
      <w:r>
        <w:rPr>
          <w:rFonts w:ascii="宋体" w:hAnsi="宋体" w:eastAsia="宋体" w:cs="宋体"/>
          <w:spacing w:val="-6"/>
          <w:sz w:val="24"/>
          <w:szCs w:val="24"/>
        </w:rPr>
        <w:t>日</w:t>
      </w:r>
      <w:r>
        <w:rPr>
          <w:rFonts w:ascii="Times New Roman" w:hAnsi="Times New Roman" w:eastAsia="Times New Roman" w:cs="Times New Roman"/>
          <w:spacing w:val="-6"/>
          <w:sz w:val="24"/>
          <w:szCs w:val="24"/>
        </w:rPr>
        <w:t>-1</w:t>
      </w:r>
      <w:r>
        <w:rPr>
          <w:rFonts w:ascii="宋体" w:hAnsi="宋体" w:eastAsia="宋体" w:cs="宋体"/>
          <w:spacing w:val="-6"/>
          <w:sz w:val="24"/>
          <w:szCs w:val="24"/>
        </w:rPr>
        <w:t>月</w:t>
      </w:r>
      <w:r>
        <w:rPr>
          <w:rFonts w:ascii="Times New Roman" w:hAnsi="Times New Roman" w:eastAsia="Times New Roman" w:cs="Times New Roman"/>
          <w:spacing w:val="-6"/>
          <w:sz w:val="24"/>
          <w:szCs w:val="24"/>
        </w:rPr>
        <w:t>31</w:t>
      </w:r>
      <w:r>
        <w:rPr>
          <w:rFonts w:ascii="宋体" w:hAnsi="宋体" w:eastAsia="宋体" w:cs="宋体"/>
          <w:spacing w:val="-6"/>
          <w:sz w:val="24"/>
          <w:szCs w:val="24"/>
        </w:rPr>
        <w:t>日，连续监测</w:t>
      </w:r>
      <w:r>
        <w:rPr>
          <w:rFonts w:ascii="Times New Roman" w:hAnsi="Times New Roman" w:eastAsia="Times New Roman" w:cs="Times New Roman"/>
          <w:spacing w:val="-6"/>
          <w:sz w:val="24"/>
          <w:szCs w:val="24"/>
        </w:rPr>
        <w:t>2</w:t>
      </w:r>
      <w:r>
        <w:rPr>
          <w:rFonts w:ascii="宋体" w:hAnsi="宋体" w:eastAsia="宋体" w:cs="宋体"/>
          <w:spacing w:val="-6"/>
          <w:sz w:val="24"/>
          <w:szCs w:val="24"/>
        </w:rPr>
        <w:t>天，每天昼间和夜间各一次。</w:t>
      </w:r>
    </w:p>
    <w:p w14:paraId="36285B68">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4</w:t>
      </w:r>
      <w:r>
        <w:rPr>
          <w:rFonts w:ascii="宋体" w:hAnsi="宋体" w:eastAsia="宋体" w:cs="宋体"/>
          <w:spacing w:val="-3"/>
          <w:sz w:val="24"/>
          <w:szCs w:val="24"/>
        </w:rPr>
        <w:t>）监测结果与评价</w:t>
      </w:r>
    </w:p>
    <w:p w14:paraId="46224AEF">
      <w:pPr>
        <w:keepNext w:val="0"/>
        <w:keepLines w:val="0"/>
        <w:pageBreakBefore w:val="0"/>
        <w:widowControl/>
        <w:kinsoku/>
        <w:wordWrap/>
        <w:overflowPunct/>
        <w:topLinePunct/>
        <w:autoSpaceDE/>
        <w:autoSpaceDN/>
        <w:bidi w:val="0"/>
        <w:adjustRightInd/>
        <w:snapToGrid/>
        <w:spacing w:line="360" w:lineRule="auto"/>
        <w:ind w:left="0"/>
        <w:textAlignment w:val="auto"/>
        <w:rPr>
          <w:rFonts w:ascii="宋体" w:hAnsi="宋体" w:eastAsia="宋体" w:cs="宋体"/>
          <w:sz w:val="24"/>
          <w:szCs w:val="24"/>
        </w:rPr>
      </w:pPr>
      <w:r>
        <w:rPr>
          <w:rFonts w:ascii="宋体" w:hAnsi="宋体" w:eastAsia="宋体" w:cs="宋体"/>
          <w:spacing w:val="-2"/>
          <w:sz w:val="24"/>
          <w:szCs w:val="24"/>
        </w:rPr>
        <w:t>声环境质量现状监测及评价结果统计见表</w:t>
      </w:r>
      <w:r>
        <w:rPr>
          <w:rFonts w:ascii="Times New Roman" w:hAnsi="Times New Roman" w:eastAsia="Times New Roman" w:cs="Times New Roman"/>
          <w:spacing w:val="-2"/>
          <w:sz w:val="24"/>
          <w:szCs w:val="24"/>
        </w:rPr>
        <w:t>4.2-1</w:t>
      </w:r>
      <w:r>
        <w:rPr>
          <w:rFonts w:hint="eastAsia" w:eastAsia="宋体" w:cs="Times New Roman"/>
          <w:spacing w:val="-3"/>
          <w:sz w:val="24"/>
          <w:szCs w:val="24"/>
          <w:lang w:val="en-US" w:eastAsia="zh-CN"/>
        </w:rPr>
        <w:t>2</w:t>
      </w:r>
      <w:r>
        <w:rPr>
          <w:rFonts w:ascii="宋体" w:hAnsi="宋体" w:eastAsia="宋体" w:cs="宋体"/>
          <w:spacing w:val="-3"/>
          <w:sz w:val="24"/>
          <w:szCs w:val="24"/>
        </w:rPr>
        <w:t>。</w:t>
      </w:r>
    </w:p>
    <w:p w14:paraId="29CC4CEA">
      <w:pPr>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pacing w:val="-2"/>
          <w:sz w:val="21"/>
          <w:szCs w:val="21"/>
        </w:rPr>
      </w:pPr>
      <w:r>
        <w:rPr>
          <w:rFonts w:hint="default" w:ascii="Times New Roman" w:hAnsi="Times New Roman" w:eastAsia="宋体" w:cs="Times New Roman"/>
          <w:b/>
          <w:bCs/>
          <w:spacing w:val="-2"/>
          <w:sz w:val="21"/>
          <w:szCs w:val="21"/>
        </w:rPr>
        <w:t>表4.2-1</w:t>
      </w:r>
      <w:r>
        <w:rPr>
          <w:rFonts w:hint="default" w:ascii="Times New Roman" w:hAnsi="Times New Roman" w:eastAsia="宋体" w:cs="Times New Roman"/>
          <w:b/>
          <w:bCs/>
          <w:spacing w:val="-2"/>
          <w:sz w:val="21"/>
          <w:szCs w:val="21"/>
          <w:lang w:val="en-US" w:eastAsia="zh-CN"/>
        </w:rPr>
        <w:t xml:space="preserve">2  </w:t>
      </w:r>
      <w:r>
        <w:rPr>
          <w:rFonts w:hint="default" w:ascii="Times New Roman" w:hAnsi="Times New Roman" w:eastAsia="宋体" w:cs="Times New Roman"/>
          <w:b/>
          <w:bCs/>
          <w:spacing w:val="-2"/>
          <w:sz w:val="21"/>
          <w:szCs w:val="21"/>
        </w:rPr>
        <w:t>声环境质量现状监测结果一览表</w:t>
      </w:r>
      <w:r>
        <w:rPr>
          <w:rFonts w:hint="default" w:ascii="Times New Roman" w:hAnsi="Times New Roman" w:eastAsia="宋体" w:cs="Times New Roman"/>
          <w:b/>
          <w:bCs/>
          <w:spacing w:val="-2"/>
          <w:sz w:val="21"/>
          <w:szCs w:val="21"/>
          <w:lang w:val="en-US" w:eastAsia="zh-CN"/>
        </w:rPr>
        <w:t xml:space="preserve">    </w:t>
      </w:r>
      <w:r>
        <w:rPr>
          <w:rFonts w:hint="default" w:ascii="Times New Roman" w:hAnsi="Times New Roman" w:eastAsia="宋体" w:cs="Times New Roman"/>
          <w:b/>
          <w:bCs/>
          <w:spacing w:val="-2"/>
          <w:sz w:val="21"/>
          <w:szCs w:val="21"/>
        </w:rPr>
        <w:t>单位：dB(A)</w:t>
      </w:r>
    </w:p>
    <w:tbl>
      <w:tblPr>
        <w:tblStyle w:val="46"/>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094"/>
        <w:gridCol w:w="1297"/>
        <w:gridCol w:w="1297"/>
        <w:gridCol w:w="1299"/>
        <w:gridCol w:w="1303"/>
      </w:tblGrid>
      <w:tr w14:paraId="31A4FD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vMerge w:val="restart"/>
            <w:tcBorders>
              <w:tl2br w:val="nil"/>
              <w:tr2bl w:val="nil"/>
            </w:tcBorders>
            <w:tcMar>
              <w:left w:w="108" w:type="dxa"/>
              <w:right w:w="108" w:type="dxa"/>
            </w:tcMar>
            <w:vAlign w:val="center"/>
          </w:tcPr>
          <w:p w14:paraId="3EBABCB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采样点位</w:t>
            </w:r>
          </w:p>
        </w:tc>
        <w:tc>
          <w:tcPr>
            <w:tcW w:w="2796" w:type="pct"/>
            <w:gridSpan w:val="4"/>
            <w:tcBorders>
              <w:tl2br w:val="nil"/>
              <w:tr2bl w:val="nil"/>
            </w:tcBorders>
            <w:tcMar>
              <w:left w:w="108" w:type="dxa"/>
              <w:right w:w="108" w:type="dxa"/>
            </w:tcMar>
            <w:vAlign w:val="center"/>
          </w:tcPr>
          <w:p w14:paraId="6D46A7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检测时间及检测结果dB（A）</w:t>
            </w:r>
          </w:p>
        </w:tc>
      </w:tr>
      <w:tr w14:paraId="055CA1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vMerge w:val="continue"/>
            <w:tcBorders>
              <w:tl2br w:val="nil"/>
              <w:tr2bl w:val="nil"/>
            </w:tcBorders>
            <w:tcMar>
              <w:left w:w="108" w:type="dxa"/>
              <w:right w:w="108" w:type="dxa"/>
            </w:tcMar>
            <w:vAlign w:val="center"/>
          </w:tcPr>
          <w:p w14:paraId="1C7F755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p>
        </w:tc>
        <w:tc>
          <w:tcPr>
            <w:tcW w:w="698" w:type="pct"/>
            <w:tcBorders>
              <w:tl2br w:val="nil"/>
              <w:tr2bl w:val="nil"/>
            </w:tcBorders>
            <w:tcMar>
              <w:left w:w="108" w:type="dxa"/>
              <w:right w:w="108" w:type="dxa"/>
            </w:tcMar>
            <w:vAlign w:val="center"/>
          </w:tcPr>
          <w:p w14:paraId="1A14377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昼间（Leq）</w:t>
            </w:r>
          </w:p>
        </w:tc>
        <w:tc>
          <w:tcPr>
            <w:tcW w:w="698" w:type="pct"/>
            <w:tcBorders>
              <w:tl2br w:val="nil"/>
              <w:tr2bl w:val="nil"/>
            </w:tcBorders>
            <w:tcMar>
              <w:left w:w="108" w:type="dxa"/>
              <w:right w:w="108" w:type="dxa"/>
            </w:tcMar>
            <w:vAlign w:val="center"/>
          </w:tcPr>
          <w:p w14:paraId="3B8B0E3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夜间（Leq）</w:t>
            </w:r>
          </w:p>
        </w:tc>
        <w:tc>
          <w:tcPr>
            <w:tcW w:w="699" w:type="pct"/>
            <w:tcBorders>
              <w:tl2br w:val="nil"/>
              <w:tr2bl w:val="nil"/>
            </w:tcBorders>
            <w:tcMar>
              <w:left w:w="108" w:type="dxa"/>
              <w:right w:w="108" w:type="dxa"/>
            </w:tcMar>
            <w:vAlign w:val="center"/>
          </w:tcPr>
          <w:p w14:paraId="2939866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昼间（Leq）</w:t>
            </w:r>
          </w:p>
        </w:tc>
        <w:tc>
          <w:tcPr>
            <w:tcW w:w="700" w:type="pct"/>
            <w:tcBorders>
              <w:tl2br w:val="nil"/>
              <w:tr2bl w:val="nil"/>
            </w:tcBorders>
            <w:tcMar>
              <w:left w:w="108" w:type="dxa"/>
              <w:right w:w="108" w:type="dxa"/>
            </w:tcMar>
            <w:vAlign w:val="center"/>
          </w:tcPr>
          <w:p w14:paraId="04394A8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夜间（Leq）</w:t>
            </w:r>
          </w:p>
        </w:tc>
      </w:tr>
      <w:tr w14:paraId="4D5D47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tcBorders>
              <w:tl2br w:val="nil"/>
              <w:tr2bl w:val="nil"/>
            </w:tcBorders>
            <w:shd w:val="clear" w:color="auto" w:fill="auto"/>
            <w:tcMar>
              <w:left w:w="108" w:type="dxa"/>
              <w:right w:w="108" w:type="dxa"/>
            </w:tcMar>
            <w:vAlign w:val="top"/>
          </w:tcPr>
          <w:p w14:paraId="3DB05872">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Arial" w:hAnsi="Arial" w:eastAsia="Arial" w:cs="Arial"/>
                <w:kern w:val="2"/>
                <w:sz w:val="21"/>
                <w:szCs w:val="21"/>
                <w:lang w:val="en-US" w:eastAsia="en-US" w:bidi="ar-SA"/>
              </w:rPr>
            </w:pPr>
            <w:r>
              <w:rPr>
                <w:rFonts w:ascii="Times New Roman" w:hAnsi="Times New Roman" w:eastAsia="Times New Roman" w:cs="Times New Roman"/>
                <w:spacing w:val="8"/>
              </w:rPr>
              <w:t>N1</w:t>
            </w:r>
            <w:r>
              <w:rPr>
                <w:spacing w:val="8"/>
              </w:rPr>
              <w:t>桥背村居民点</w:t>
            </w:r>
          </w:p>
        </w:tc>
        <w:tc>
          <w:tcPr>
            <w:tcW w:w="698" w:type="pct"/>
            <w:tcBorders>
              <w:tl2br w:val="nil"/>
              <w:tr2bl w:val="nil"/>
            </w:tcBorders>
            <w:tcMar>
              <w:left w:w="108" w:type="dxa"/>
              <w:right w:w="108" w:type="dxa"/>
            </w:tcMar>
            <w:vAlign w:val="center"/>
          </w:tcPr>
          <w:p w14:paraId="33114DE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47.5</w:t>
            </w:r>
          </w:p>
        </w:tc>
        <w:tc>
          <w:tcPr>
            <w:tcW w:w="698" w:type="pct"/>
            <w:tcBorders>
              <w:tl2br w:val="nil"/>
              <w:tr2bl w:val="nil"/>
            </w:tcBorders>
            <w:tcMar>
              <w:left w:w="108" w:type="dxa"/>
              <w:right w:w="108" w:type="dxa"/>
            </w:tcMar>
            <w:vAlign w:val="center"/>
          </w:tcPr>
          <w:p w14:paraId="0B38657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42.3</w:t>
            </w:r>
          </w:p>
        </w:tc>
        <w:tc>
          <w:tcPr>
            <w:tcW w:w="699" w:type="pct"/>
            <w:tcBorders>
              <w:tl2br w:val="nil"/>
              <w:tr2bl w:val="nil"/>
            </w:tcBorders>
            <w:tcMar>
              <w:left w:w="108" w:type="dxa"/>
              <w:right w:w="108" w:type="dxa"/>
            </w:tcMar>
            <w:vAlign w:val="center"/>
          </w:tcPr>
          <w:p w14:paraId="501FA8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46.2</w:t>
            </w:r>
          </w:p>
        </w:tc>
        <w:tc>
          <w:tcPr>
            <w:tcW w:w="700" w:type="pct"/>
            <w:tcBorders>
              <w:tl2br w:val="nil"/>
              <w:tr2bl w:val="nil"/>
            </w:tcBorders>
            <w:tcMar>
              <w:left w:w="108" w:type="dxa"/>
              <w:right w:w="108" w:type="dxa"/>
            </w:tcMar>
            <w:vAlign w:val="center"/>
          </w:tcPr>
          <w:p w14:paraId="77D6532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41.2</w:t>
            </w:r>
          </w:p>
        </w:tc>
      </w:tr>
      <w:tr w14:paraId="25CC41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tcBorders>
              <w:tl2br w:val="nil"/>
              <w:tr2bl w:val="nil"/>
            </w:tcBorders>
            <w:shd w:val="clear" w:color="auto" w:fill="auto"/>
            <w:tcMar>
              <w:left w:w="108" w:type="dxa"/>
              <w:right w:w="108" w:type="dxa"/>
            </w:tcMar>
            <w:vAlign w:val="top"/>
          </w:tcPr>
          <w:p w14:paraId="136D7800">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Arial" w:hAnsi="Arial" w:eastAsia="Arial" w:cs="Arial"/>
                <w:kern w:val="2"/>
                <w:sz w:val="21"/>
                <w:szCs w:val="21"/>
                <w:lang w:val="en-US" w:eastAsia="en-US" w:bidi="ar-SA"/>
              </w:rPr>
            </w:pPr>
            <w:r>
              <w:rPr>
                <w:rFonts w:ascii="Times New Roman" w:hAnsi="Times New Roman" w:eastAsia="Times New Roman" w:cs="Times New Roman"/>
                <w:spacing w:val="7"/>
              </w:rPr>
              <w:t>N2</w:t>
            </w:r>
            <w:r>
              <w:rPr>
                <w:spacing w:val="7"/>
              </w:rPr>
              <w:t>万古村居民点</w:t>
            </w:r>
          </w:p>
        </w:tc>
        <w:tc>
          <w:tcPr>
            <w:tcW w:w="698" w:type="pct"/>
            <w:tcBorders>
              <w:tl2br w:val="nil"/>
              <w:tr2bl w:val="nil"/>
            </w:tcBorders>
            <w:tcMar>
              <w:left w:w="108" w:type="dxa"/>
              <w:right w:w="108" w:type="dxa"/>
            </w:tcMar>
            <w:vAlign w:val="center"/>
          </w:tcPr>
          <w:p w14:paraId="7446759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44.3</w:t>
            </w:r>
          </w:p>
        </w:tc>
        <w:tc>
          <w:tcPr>
            <w:tcW w:w="698" w:type="pct"/>
            <w:tcBorders>
              <w:tl2br w:val="nil"/>
              <w:tr2bl w:val="nil"/>
            </w:tcBorders>
            <w:tcMar>
              <w:left w:w="108" w:type="dxa"/>
              <w:right w:w="108" w:type="dxa"/>
            </w:tcMar>
            <w:vAlign w:val="center"/>
          </w:tcPr>
          <w:p w14:paraId="502FDDC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41.6</w:t>
            </w:r>
          </w:p>
        </w:tc>
        <w:tc>
          <w:tcPr>
            <w:tcW w:w="699" w:type="pct"/>
            <w:tcBorders>
              <w:tl2br w:val="nil"/>
              <w:tr2bl w:val="nil"/>
            </w:tcBorders>
            <w:tcMar>
              <w:left w:w="108" w:type="dxa"/>
              <w:right w:w="108" w:type="dxa"/>
            </w:tcMar>
            <w:vAlign w:val="center"/>
          </w:tcPr>
          <w:p w14:paraId="1625B45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45.1</w:t>
            </w:r>
          </w:p>
        </w:tc>
        <w:tc>
          <w:tcPr>
            <w:tcW w:w="700" w:type="pct"/>
            <w:tcBorders>
              <w:tl2br w:val="nil"/>
              <w:tr2bl w:val="nil"/>
            </w:tcBorders>
            <w:tcMar>
              <w:left w:w="108" w:type="dxa"/>
              <w:right w:w="108" w:type="dxa"/>
            </w:tcMar>
            <w:vAlign w:val="center"/>
          </w:tcPr>
          <w:p w14:paraId="7A22A6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41.0</w:t>
            </w:r>
          </w:p>
        </w:tc>
      </w:tr>
      <w:tr w14:paraId="2F1272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tcBorders>
              <w:tl2br w:val="nil"/>
              <w:tr2bl w:val="nil"/>
            </w:tcBorders>
            <w:shd w:val="clear" w:color="auto" w:fill="auto"/>
            <w:tcMar>
              <w:left w:w="108" w:type="dxa"/>
              <w:right w:w="108" w:type="dxa"/>
            </w:tcMar>
            <w:vAlign w:val="top"/>
          </w:tcPr>
          <w:p w14:paraId="19F844E1">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Arial" w:hAnsi="Arial" w:eastAsia="Arial" w:cs="Arial"/>
                <w:kern w:val="2"/>
                <w:sz w:val="21"/>
                <w:szCs w:val="21"/>
                <w:lang w:val="en-US" w:eastAsia="en-US" w:bidi="ar-SA"/>
              </w:rPr>
            </w:pPr>
            <w:r>
              <w:rPr>
                <w:rFonts w:ascii="Times New Roman" w:hAnsi="Times New Roman" w:eastAsia="Times New Roman" w:cs="Times New Roman"/>
                <w:spacing w:val="7"/>
              </w:rPr>
              <w:t>N3</w:t>
            </w:r>
            <w:r>
              <w:rPr>
                <w:spacing w:val="7"/>
              </w:rPr>
              <w:t>下新屋居民点</w:t>
            </w:r>
          </w:p>
        </w:tc>
        <w:tc>
          <w:tcPr>
            <w:tcW w:w="698" w:type="pct"/>
            <w:tcBorders>
              <w:tl2br w:val="nil"/>
              <w:tr2bl w:val="nil"/>
            </w:tcBorders>
            <w:tcMar>
              <w:left w:w="108" w:type="dxa"/>
              <w:right w:w="108" w:type="dxa"/>
            </w:tcMar>
            <w:vAlign w:val="center"/>
          </w:tcPr>
          <w:p w14:paraId="71B3E7B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45.2</w:t>
            </w:r>
          </w:p>
        </w:tc>
        <w:tc>
          <w:tcPr>
            <w:tcW w:w="698" w:type="pct"/>
            <w:tcBorders>
              <w:tl2br w:val="nil"/>
              <w:tr2bl w:val="nil"/>
            </w:tcBorders>
            <w:tcMar>
              <w:left w:w="108" w:type="dxa"/>
              <w:right w:w="108" w:type="dxa"/>
            </w:tcMar>
            <w:vAlign w:val="center"/>
          </w:tcPr>
          <w:p w14:paraId="596A90D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42.4</w:t>
            </w:r>
          </w:p>
        </w:tc>
        <w:tc>
          <w:tcPr>
            <w:tcW w:w="699" w:type="pct"/>
            <w:tcBorders>
              <w:tl2br w:val="nil"/>
              <w:tr2bl w:val="nil"/>
            </w:tcBorders>
            <w:tcMar>
              <w:left w:w="108" w:type="dxa"/>
              <w:right w:w="108" w:type="dxa"/>
            </w:tcMar>
            <w:vAlign w:val="center"/>
          </w:tcPr>
          <w:p w14:paraId="289C4A0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44.8</w:t>
            </w:r>
          </w:p>
        </w:tc>
        <w:tc>
          <w:tcPr>
            <w:tcW w:w="700" w:type="pct"/>
            <w:tcBorders>
              <w:tl2br w:val="nil"/>
              <w:tr2bl w:val="nil"/>
            </w:tcBorders>
            <w:tcMar>
              <w:left w:w="108" w:type="dxa"/>
              <w:right w:w="108" w:type="dxa"/>
            </w:tcMar>
            <w:vAlign w:val="center"/>
          </w:tcPr>
          <w:p w14:paraId="1D12F38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42.7</w:t>
            </w:r>
          </w:p>
        </w:tc>
      </w:tr>
      <w:tr w14:paraId="5F068C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tcBorders>
              <w:tl2br w:val="nil"/>
              <w:tr2bl w:val="nil"/>
            </w:tcBorders>
            <w:shd w:val="clear" w:color="auto" w:fill="auto"/>
            <w:tcMar>
              <w:left w:w="108" w:type="dxa"/>
              <w:right w:w="108" w:type="dxa"/>
            </w:tcMar>
            <w:vAlign w:val="top"/>
          </w:tcPr>
          <w:p w14:paraId="701A1125">
            <w:pPr>
              <w:pStyle w:val="197"/>
              <w:keepNext w:val="0"/>
              <w:keepLines w:val="0"/>
              <w:pageBreakBefore w:val="0"/>
              <w:widowControl/>
              <w:kinsoku/>
              <w:wordWrap/>
              <w:overflowPunct/>
              <w:topLinePunct/>
              <w:autoSpaceDE/>
              <w:autoSpaceDN/>
              <w:bidi w:val="0"/>
              <w:adjustRightInd/>
              <w:snapToGrid/>
              <w:spacing w:line="240" w:lineRule="auto"/>
              <w:ind w:left="0" w:leftChars="0" w:firstLine="0" w:firstLineChars="0"/>
              <w:jc w:val="center"/>
              <w:textAlignment w:val="auto"/>
              <w:rPr>
                <w:rFonts w:ascii="Arial" w:hAnsi="Arial" w:eastAsia="Arial" w:cs="Arial"/>
                <w:kern w:val="2"/>
                <w:sz w:val="21"/>
                <w:szCs w:val="21"/>
                <w:lang w:val="en-US" w:eastAsia="en-US" w:bidi="ar-SA"/>
              </w:rPr>
            </w:pPr>
            <w:r>
              <w:rPr>
                <w:rFonts w:ascii="Times New Roman" w:hAnsi="Times New Roman" w:eastAsia="Times New Roman" w:cs="Times New Roman"/>
                <w:spacing w:val="8"/>
              </w:rPr>
              <w:t>N4</w:t>
            </w:r>
            <w:r>
              <w:rPr>
                <w:spacing w:val="8"/>
              </w:rPr>
              <w:t>长子坡居民点</w:t>
            </w:r>
          </w:p>
        </w:tc>
        <w:tc>
          <w:tcPr>
            <w:tcW w:w="698" w:type="pct"/>
            <w:tcBorders>
              <w:tl2br w:val="nil"/>
              <w:tr2bl w:val="nil"/>
            </w:tcBorders>
            <w:tcMar>
              <w:left w:w="108" w:type="dxa"/>
              <w:right w:w="108" w:type="dxa"/>
            </w:tcMar>
            <w:vAlign w:val="center"/>
          </w:tcPr>
          <w:p w14:paraId="683E9EA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44.9</w:t>
            </w:r>
          </w:p>
        </w:tc>
        <w:tc>
          <w:tcPr>
            <w:tcW w:w="698" w:type="pct"/>
            <w:tcBorders>
              <w:tl2br w:val="nil"/>
              <w:tr2bl w:val="nil"/>
            </w:tcBorders>
            <w:tcMar>
              <w:left w:w="108" w:type="dxa"/>
              <w:right w:w="108" w:type="dxa"/>
            </w:tcMar>
            <w:vAlign w:val="center"/>
          </w:tcPr>
          <w:p w14:paraId="1DAD73B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41.8</w:t>
            </w:r>
          </w:p>
        </w:tc>
        <w:tc>
          <w:tcPr>
            <w:tcW w:w="699" w:type="pct"/>
            <w:tcBorders>
              <w:tl2br w:val="nil"/>
              <w:tr2bl w:val="nil"/>
            </w:tcBorders>
            <w:tcMar>
              <w:left w:w="108" w:type="dxa"/>
              <w:right w:w="108" w:type="dxa"/>
            </w:tcMar>
            <w:vAlign w:val="center"/>
          </w:tcPr>
          <w:p w14:paraId="7D52B34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45.7</w:t>
            </w:r>
          </w:p>
        </w:tc>
        <w:tc>
          <w:tcPr>
            <w:tcW w:w="700" w:type="pct"/>
            <w:tcBorders>
              <w:tl2br w:val="nil"/>
              <w:tr2bl w:val="nil"/>
            </w:tcBorders>
            <w:tcMar>
              <w:left w:w="108" w:type="dxa"/>
              <w:right w:w="108" w:type="dxa"/>
            </w:tcMar>
            <w:vAlign w:val="center"/>
          </w:tcPr>
          <w:p w14:paraId="0486945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42.1</w:t>
            </w:r>
          </w:p>
        </w:tc>
      </w:tr>
      <w:tr w14:paraId="28CB00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2203" w:type="pct"/>
            <w:tcBorders>
              <w:tl2br w:val="nil"/>
              <w:tr2bl w:val="nil"/>
            </w:tcBorders>
            <w:tcMar>
              <w:left w:w="108" w:type="dxa"/>
              <w:right w:w="108" w:type="dxa"/>
            </w:tcMar>
            <w:vAlign w:val="center"/>
          </w:tcPr>
          <w:p w14:paraId="65AF18B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《声环境质量标准》（GB 3096-2008）表1中2类标准</w:t>
            </w:r>
          </w:p>
        </w:tc>
        <w:tc>
          <w:tcPr>
            <w:tcW w:w="698" w:type="pct"/>
            <w:tcBorders>
              <w:tl2br w:val="nil"/>
              <w:tr2bl w:val="nil"/>
            </w:tcBorders>
            <w:tcMar>
              <w:left w:w="108" w:type="dxa"/>
              <w:right w:w="108" w:type="dxa"/>
            </w:tcMar>
            <w:vAlign w:val="center"/>
          </w:tcPr>
          <w:p w14:paraId="2DB95A6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60</w:t>
            </w:r>
          </w:p>
        </w:tc>
        <w:tc>
          <w:tcPr>
            <w:tcW w:w="698" w:type="pct"/>
            <w:tcBorders>
              <w:tl2br w:val="nil"/>
              <w:tr2bl w:val="nil"/>
            </w:tcBorders>
            <w:tcMar>
              <w:left w:w="108" w:type="dxa"/>
              <w:right w:w="108" w:type="dxa"/>
            </w:tcMar>
            <w:vAlign w:val="center"/>
          </w:tcPr>
          <w:p w14:paraId="3D29DF8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50</w:t>
            </w:r>
          </w:p>
        </w:tc>
        <w:tc>
          <w:tcPr>
            <w:tcW w:w="699" w:type="pct"/>
            <w:tcBorders>
              <w:tl2br w:val="nil"/>
              <w:tr2bl w:val="nil"/>
            </w:tcBorders>
            <w:tcMar>
              <w:left w:w="108" w:type="dxa"/>
              <w:right w:w="108" w:type="dxa"/>
            </w:tcMar>
            <w:vAlign w:val="center"/>
          </w:tcPr>
          <w:p w14:paraId="6D39B13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60</w:t>
            </w:r>
          </w:p>
        </w:tc>
        <w:tc>
          <w:tcPr>
            <w:tcW w:w="700" w:type="pct"/>
            <w:tcBorders>
              <w:tl2br w:val="nil"/>
              <w:tr2bl w:val="nil"/>
            </w:tcBorders>
            <w:tcMar>
              <w:left w:w="108" w:type="dxa"/>
              <w:right w:w="108" w:type="dxa"/>
            </w:tcMar>
            <w:vAlign w:val="center"/>
          </w:tcPr>
          <w:p w14:paraId="503ECA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50</w:t>
            </w:r>
          </w:p>
        </w:tc>
      </w:tr>
    </w:tbl>
    <w:p w14:paraId="3F74FE75">
      <w:pPr>
        <w:pStyle w:val="31"/>
        <w:topLinePunct w:val="0"/>
        <w:snapToGrid/>
        <w:ind w:firstLine="480"/>
        <w:rPr>
          <w:rFonts w:ascii="宋体" w:hAnsi="宋体" w:eastAsia="宋体" w:cs="宋体"/>
          <w:spacing w:val="-4"/>
          <w:sz w:val="24"/>
          <w:szCs w:val="24"/>
        </w:rPr>
      </w:pPr>
      <w:r>
        <w:rPr>
          <w:rFonts w:ascii="宋体" w:hAnsi="宋体" w:eastAsia="宋体" w:cs="宋体"/>
          <w:spacing w:val="-2"/>
          <w:sz w:val="24"/>
          <w:szCs w:val="24"/>
        </w:rPr>
        <w:t>由上表可知，项目周边敏感点满足《声环境质量标准》（</w:t>
      </w:r>
      <w:r>
        <w:rPr>
          <w:rFonts w:ascii="Times New Roman" w:hAnsi="Times New Roman" w:eastAsia="Times New Roman" w:cs="Times New Roman"/>
          <w:spacing w:val="-2"/>
          <w:sz w:val="24"/>
          <w:szCs w:val="24"/>
        </w:rPr>
        <w:t>GB 3096-2008</w:t>
      </w:r>
      <w:r>
        <w:rPr>
          <w:rFonts w:ascii="宋体" w:hAnsi="宋体" w:eastAsia="宋体" w:cs="宋体"/>
          <w:spacing w:val="-2"/>
          <w:sz w:val="24"/>
          <w:szCs w:val="24"/>
        </w:rPr>
        <w:t>）中的</w:t>
      </w:r>
      <w:r>
        <w:rPr>
          <w:rFonts w:ascii="Times New Roman" w:hAnsi="Times New Roman" w:eastAsia="Times New Roman" w:cs="Times New Roman"/>
          <w:spacing w:val="-2"/>
          <w:sz w:val="24"/>
          <w:szCs w:val="24"/>
        </w:rPr>
        <w:t>2</w:t>
      </w:r>
      <w:r>
        <w:rPr>
          <w:rFonts w:ascii="宋体" w:hAnsi="宋体" w:eastAsia="宋体" w:cs="宋体"/>
          <w:spacing w:val="-2"/>
          <w:sz w:val="24"/>
          <w:szCs w:val="24"/>
        </w:rPr>
        <w:t>类</w:t>
      </w:r>
      <w:r>
        <w:rPr>
          <w:rFonts w:ascii="宋体" w:hAnsi="宋体" w:eastAsia="宋体" w:cs="宋体"/>
          <w:spacing w:val="-4"/>
          <w:sz w:val="24"/>
          <w:szCs w:val="24"/>
        </w:rPr>
        <w:t>标准。</w:t>
      </w:r>
    </w:p>
    <w:p w14:paraId="6F950889">
      <w:pPr>
        <w:keepNext w:val="0"/>
        <w:keepLines w:val="0"/>
        <w:pageBreakBefore w:val="0"/>
        <w:widowControl/>
        <w:kinsoku/>
        <w:wordWrap/>
        <w:overflowPunct/>
        <w:autoSpaceDE/>
        <w:autoSpaceDN/>
        <w:bidi w:val="0"/>
        <w:adjustRightInd/>
        <w:snapToGrid/>
        <w:spacing w:line="360" w:lineRule="auto"/>
        <w:ind w:left="0" w:leftChars="0" w:right="0" w:firstLine="0" w:firstLineChars="0"/>
        <w:textAlignment w:val="auto"/>
        <w:outlineLvl w:val="2"/>
        <w:rPr>
          <w:rFonts w:ascii="宋体" w:hAnsi="宋体" w:eastAsia="宋体" w:cs="宋体"/>
          <w:sz w:val="28"/>
          <w:szCs w:val="28"/>
        </w:rPr>
      </w:pPr>
      <w:r>
        <w:rPr>
          <w:rFonts w:ascii="Times New Roman" w:hAnsi="Times New Roman" w:eastAsia="Times New Roman" w:cs="Times New Roman"/>
          <w:b/>
          <w:bCs/>
          <w:spacing w:val="-2"/>
          <w:sz w:val="28"/>
          <w:szCs w:val="28"/>
        </w:rPr>
        <w:t xml:space="preserve">4.2.6 </w:t>
      </w:r>
      <w:r>
        <w:rPr>
          <w:rFonts w:ascii="宋体" w:hAnsi="宋体" w:eastAsia="宋体" w:cs="宋体"/>
          <w:b/>
          <w:bCs/>
          <w:spacing w:val="-2"/>
          <w:sz w:val="28"/>
          <w:szCs w:val="28"/>
        </w:rPr>
        <w:t>底泥现状监测</w:t>
      </w:r>
    </w:p>
    <w:p w14:paraId="6105430C">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1</w:t>
      </w:r>
      <w:r>
        <w:rPr>
          <w:rFonts w:ascii="宋体" w:hAnsi="宋体" w:eastAsia="宋体" w:cs="宋体"/>
          <w:spacing w:val="-3"/>
          <w:sz w:val="24"/>
          <w:szCs w:val="24"/>
        </w:rPr>
        <w:t>）监测点位</w:t>
      </w:r>
    </w:p>
    <w:p w14:paraId="0C9A205C">
      <w:pPr>
        <w:keepNext w:val="0"/>
        <w:keepLines w:val="0"/>
        <w:pageBreakBefore w:val="0"/>
        <w:widowControl/>
        <w:kinsoku/>
        <w:wordWrap/>
        <w:overflowPunct/>
        <w:autoSpaceDE/>
        <w:autoSpaceDN/>
        <w:bidi w:val="0"/>
        <w:adjustRightInd/>
        <w:snapToGrid/>
        <w:spacing w:line="360" w:lineRule="auto"/>
        <w:ind w:left="0" w:right="0" w:firstLine="482"/>
        <w:textAlignment w:val="auto"/>
        <w:rPr>
          <w:rFonts w:ascii="宋体" w:hAnsi="宋体" w:eastAsia="宋体" w:cs="宋体"/>
          <w:sz w:val="24"/>
          <w:szCs w:val="24"/>
        </w:rPr>
      </w:pPr>
      <w:r>
        <w:rPr>
          <w:rFonts w:ascii="宋体" w:hAnsi="宋体" w:eastAsia="宋体" w:cs="宋体"/>
          <w:spacing w:val="-2"/>
          <w:sz w:val="24"/>
          <w:szCs w:val="24"/>
        </w:rPr>
        <w:t>为了解项目周边底泥环境质量，建设单位委托湖南恩尼检测有限公司进行监测，具体内容见下。</w:t>
      </w:r>
    </w:p>
    <w:p w14:paraId="21B23139">
      <w:pPr>
        <w:keepNext w:val="0"/>
        <w:keepLines w:val="0"/>
        <w:pageBreakBefore w:val="0"/>
        <w:widowControl/>
        <w:kinsoku/>
        <w:wordWrap/>
        <w:overflowPunct/>
        <w:autoSpaceDE/>
        <w:autoSpaceDN/>
        <w:bidi w:val="0"/>
        <w:adjustRightInd/>
        <w:snapToGrid/>
        <w:spacing w:line="240" w:lineRule="auto"/>
        <w:ind w:left="0" w:leftChars="0" w:right="0" w:firstLine="0" w:firstLineChars="0"/>
        <w:jc w:val="center"/>
        <w:textAlignment w:val="auto"/>
        <w:rPr>
          <w:rFonts w:ascii="宋体" w:hAnsi="宋体" w:eastAsia="宋体" w:cs="宋体"/>
          <w:sz w:val="21"/>
          <w:szCs w:val="21"/>
        </w:rPr>
      </w:pPr>
      <w:r>
        <w:rPr>
          <w:rFonts w:ascii="宋体" w:hAnsi="宋体" w:eastAsia="宋体" w:cs="宋体"/>
          <w:b/>
          <w:bCs/>
          <w:spacing w:val="-2"/>
          <w:sz w:val="21"/>
          <w:szCs w:val="21"/>
        </w:rPr>
        <w:t>表</w:t>
      </w:r>
      <w:r>
        <w:rPr>
          <w:rFonts w:ascii="Times New Roman" w:hAnsi="Times New Roman" w:eastAsia="Times New Roman" w:cs="Times New Roman"/>
          <w:b/>
          <w:bCs/>
          <w:spacing w:val="-2"/>
          <w:sz w:val="21"/>
          <w:szCs w:val="21"/>
        </w:rPr>
        <w:t>4.2-1</w:t>
      </w:r>
      <w:r>
        <w:rPr>
          <w:rFonts w:hint="eastAsia" w:eastAsia="宋体" w:cs="Times New Roman"/>
          <w:b/>
          <w:bCs/>
          <w:spacing w:val="-2"/>
          <w:sz w:val="21"/>
          <w:szCs w:val="21"/>
          <w:lang w:val="en-US" w:eastAsia="zh-CN"/>
        </w:rPr>
        <w:t>3</w:t>
      </w:r>
      <w:r>
        <w:rPr>
          <w:rFonts w:ascii="Times New Roman" w:hAnsi="Times New Roman" w:eastAsia="Times New Roman" w:cs="Times New Roman"/>
          <w:b/>
          <w:bCs/>
          <w:spacing w:val="-2"/>
          <w:sz w:val="21"/>
          <w:szCs w:val="21"/>
        </w:rPr>
        <w:t xml:space="preserve">  </w:t>
      </w:r>
      <w:r>
        <w:rPr>
          <w:rFonts w:ascii="宋体" w:hAnsi="宋体" w:eastAsia="宋体" w:cs="宋体"/>
          <w:b/>
          <w:bCs/>
          <w:spacing w:val="-2"/>
          <w:sz w:val="21"/>
          <w:szCs w:val="21"/>
        </w:rPr>
        <w:t>底泥环境质量现状监测点位情况</w:t>
      </w:r>
    </w:p>
    <w:tbl>
      <w:tblPr>
        <w:tblStyle w:val="111"/>
        <w:tblW w:w="9295"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35"/>
        <w:gridCol w:w="4946"/>
        <w:gridCol w:w="3314"/>
      </w:tblGrid>
      <w:tr w14:paraId="7C2780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1035" w:type="dxa"/>
            <w:tcBorders>
              <w:tl2br w:val="nil"/>
              <w:tr2bl w:val="nil"/>
            </w:tcBorders>
            <w:vAlign w:val="center"/>
          </w:tcPr>
          <w:p w14:paraId="653D493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3"/>
              </w:rPr>
              <w:t>编号</w:t>
            </w:r>
          </w:p>
        </w:tc>
        <w:tc>
          <w:tcPr>
            <w:tcW w:w="4946" w:type="dxa"/>
            <w:tcBorders>
              <w:tl2br w:val="nil"/>
              <w:tr2bl w:val="nil"/>
            </w:tcBorders>
            <w:vAlign w:val="center"/>
          </w:tcPr>
          <w:p w14:paraId="7AA7775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采样位置</w:t>
            </w:r>
          </w:p>
        </w:tc>
        <w:tc>
          <w:tcPr>
            <w:tcW w:w="3314" w:type="dxa"/>
            <w:tcBorders>
              <w:tl2br w:val="nil"/>
              <w:tr2bl w:val="nil"/>
            </w:tcBorders>
            <w:vAlign w:val="center"/>
          </w:tcPr>
          <w:p w14:paraId="7DF6F65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监测因子</w:t>
            </w:r>
          </w:p>
        </w:tc>
      </w:tr>
      <w:tr w14:paraId="217288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035" w:type="dxa"/>
            <w:tcBorders>
              <w:tl2br w:val="nil"/>
              <w:tr2bl w:val="nil"/>
            </w:tcBorders>
            <w:vAlign w:val="center"/>
          </w:tcPr>
          <w:p w14:paraId="51A266E4">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M1</w:t>
            </w:r>
          </w:p>
        </w:tc>
        <w:tc>
          <w:tcPr>
            <w:tcW w:w="4946" w:type="dxa"/>
            <w:tcBorders>
              <w:tl2br w:val="nil"/>
              <w:tr2bl w:val="nil"/>
            </w:tcBorders>
            <w:vAlign w:val="center"/>
          </w:tcPr>
          <w:p w14:paraId="2D128A0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万古（白荆）水库</w:t>
            </w:r>
          </w:p>
        </w:tc>
        <w:tc>
          <w:tcPr>
            <w:tcW w:w="3314" w:type="dxa"/>
            <w:vMerge w:val="restart"/>
            <w:tcBorders>
              <w:tl2br w:val="nil"/>
              <w:tr2bl w:val="nil"/>
            </w:tcBorders>
            <w:vAlign w:val="center"/>
          </w:tcPr>
          <w:p w14:paraId="70A44EA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砷、镉、铬（六价）、铜、锌、铅、</w:t>
            </w:r>
            <w:r>
              <w:rPr>
                <w:spacing w:val="8"/>
              </w:rPr>
              <w:t>汞、镍、铬、氰化物</w:t>
            </w:r>
          </w:p>
        </w:tc>
      </w:tr>
      <w:tr w14:paraId="3E20BB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3" w:hRule="atLeast"/>
        </w:trPr>
        <w:tc>
          <w:tcPr>
            <w:tcW w:w="1035" w:type="dxa"/>
            <w:tcBorders>
              <w:tl2br w:val="nil"/>
              <w:tr2bl w:val="nil"/>
            </w:tcBorders>
            <w:vAlign w:val="center"/>
          </w:tcPr>
          <w:p w14:paraId="3DD80462">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M2</w:t>
            </w:r>
          </w:p>
        </w:tc>
        <w:tc>
          <w:tcPr>
            <w:tcW w:w="4946" w:type="dxa"/>
            <w:tcBorders>
              <w:tl2br w:val="nil"/>
              <w:tr2bl w:val="nil"/>
            </w:tcBorders>
            <w:vAlign w:val="center"/>
          </w:tcPr>
          <w:p w14:paraId="7E3BC84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无名小溪断面</w:t>
            </w:r>
          </w:p>
        </w:tc>
        <w:tc>
          <w:tcPr>
            <w:tcW w:w="3314" w:type="dxa"/>
            <w:vMerge w:val="continue"/>
            <w:tcBorders>
              <w:tl2br w:val="nil"/>
              <w:tr2bl w:val="nil"/>
            </w:tcBorders>
            <w:vAlign w:val="center"/>
          </w:tcPr>
          <w:p w14:paraId="23197F0C">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r>
    </w:tbl>
    <w:p w14:paraId="1B213998">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2</w:t>
      </w:r>
      <w:r>
        <w:rPr>
          <w:rFonts w:ascii="宋体" w:hAnsi="宋体" w:eastAsia="宋体" w:cs="宋体"/>
          <w:spacing w:val="-3"/>
          <w:sz w:val="24"/>
          <w:szCs w:val="24"/>
        </w:rPr>
        <w:t>）监测时间及频次</w:t>
      </w:r>
    </w:p>
    <w:p w14:paraId="3EE53893">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9"/>
          <w:sz w:val="24"/>
          <w:szCs w:val="24"/>
        </w:rPr>
        <w:t>2026</w:t>
      </w:r>
      <w:r>
        <w:rPr>
          <w:rFonts w:ascii="宋体" w:hAnsi="宋体" w:eastAsia="宋体" w:cs="宋体"/>
          <w:spacing w:val="-9"/>
          <w:sz w:val="24"/>
          <w:szCs w:val="24"/>
        </w:rPr>
        <w:t>年</w:t>
      </w:r>
      <w:r>
        <w:rPr>
          <w:rFonts w:ascii="Times New Roman" w:hAnsi="Times New Roman" w:eastAsia="Times New Roman" w:cs="Times New Roman"/>
          <w:spacing w:val="-9"/>
          <w:sz w:val="24"/>
          <w:szCs w:val="24"/>
        </w:rPr>
        <w:t>1</w:t>
      </w:r>
      <w:r>
        <w:rPr>
          <w:rFonts w:ascii="宋体" w:hAnsi="宋体" w:eastAsia="宋体" w:cs="宋体"/>
          <w:spacing w:val="-9"/>
          <w:sz w:val="24"/>
          <w:szCs w:val="24"/>
        </w:rPr>
        <w:t>月</w:t>
      </w:r>
      <w:r>
        <w:rPr>
          <w:rFonts w:ascii="Times New Roman" w:hAnsi="Times New Roman" w:eastAsia="Times New Roman" w:cs="Times New Roman"/>
          <w:spacing w:val="-9"/>
          <w:sz w:val="24"/>
          <w:szCs w:val="24"/>
        </w:rPr>
        <w:t>31</w:t>
      </w:r>
      <w:r>
        <w:rPr>
          <w:rFonts w:ascii="宋体" w:hAnsi="宋体" w:eastAsia="宋体" w:cs="宋体"/>
          <w:spacing w:val="-9"/>
          <w:sz w:val="24"/>
          <w:szCs w:val="24"/>
        </w:rPr>
        <w:t>日，监测</w:t>
      </w:r>
      <w:r>
        <w:rPr>
          <w:rFonts w:ascii="Times New Roman" w:hAnsi="Times New Roman" w:eastAsia="Times New Roman" w:cs="Times New Roman"/>
          <w:spacing w:val="-9"/>
          <w:sz w:val="24"/>
          <w:szCs w:val="24"/>
        </w:rPr>
        <w:t>1</w:t>
      </w:r>
      <w:r>
        <w:rPr>
          <w:rFonts w:ascii="宋体" w:hAnsi="宋体" w:eastAsia="宋体" w:cs="宋体"/>
          <w:spacing w:val="-9"/>
          <w:sz w:val="24"/>
          <w:szCs w:val="24"/>
        </w:rPr>
        <w:t>天。</w:t>
      </w:r>
    </w:p>
    <w:p w14:paraId="35138370">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3"/>
          <w:sz w:val="24"/>
          <w:szCs w:val="24"/>
        </w:rPr>
        <w:t>（</w:t>
      </w:r>
      <w:r>
        <w:rPr>
          <w:rFonts w:ascii="Times New Roman" w:hAnsi="Times New Roman" w:eastAsia="Times New Roman" w:cs="Times New Roman"/>
          <w:spacing w:val="-3"/>
          <w:sz w:val="24"/>
          <w:szCs w:val="24"/>
        </w:rPr>
        <w:t>3</w:t>
      </w:r>
      <w:r>
        <w:rPr>
          <w:rFonts w:ascii="宋体" w:hAnsi="宋体" w:eastAsia="宋体" w:cs="宋体"/>
          <w:spacing w:val="-3"/>
          <w:sz w:val="24"/>
          <w:szCs w:val="24"/>
        </w:rPr>
        <w:t>）监测结果与评价</w:t>
      </w:r>
    </w:p>
    <w:p w14:paraId="346110D4">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hint="eastAsia" w:ascii="宋体" w:hAnsi="宋体" w:cs="宋体"/>
          <w:spacing w:val="-2"/>
          <w:sz w:val="24"/>
          <w:szCs w:val="24"/>
          <w:lang w:val="en-US" w:eastAsia="zh-CN"/>
        </w:rPr>
        <w:t>底泥</w:t>
      </w:r>
      <w:r>
        <w:rPr>
          <w:rFonts w:ascii="宋体" w:hAnsi="宋体" w:eastAsia="宋体" w:cs="宋体"/>
          <w:spacing w:val="-2"/>
          <w:sz w:val="24"/>
          <w:szCs w:val="24"/>
        </w:rPr>
        <w:t>环境质量现状监测及评价结果统计见表</w:t>
      </w:r>
      <w:r>
        <w:rPr>
          <w:rFonts w:ascii="Times New Roman" w:hAnsi="Times New Roman" w:eastAsia="Times New Roman" w:cs="Times New Roman"/>
          <w:spacing w:val="-2"/>
          <w:sz w:val="24"/>
          <w:szCs w:val="24"/>
        </w:rPr>
        <w:t>4.2-1</w:t>
      </w:r>
      <w:r>
        <w:rPr>
          <w:rFonts w:hint="eastAsia" w:eastAsia="宋体" w:cs="Times New Roman"/>
          <w:spacing w:val="-2"/>
          <w:sz w:val="24"/>
          <w:szCs w:val="24"/>
          <w:lang w:val="en-US" w:eastAsia="zh-CN"/>
        </w:rPr>
        <w:t>4</w:t>
      </w:r>
      <w:r>
        <w:rPr>
          <w:rFonts w:ascii="宋体" w:hAnsi="宋体" w:eastAsia="宋体" w:cs="宋体"/>
          <w:spacing w:val="-2"/>
          <w:sz w:val="24"/>
          <w:szCs w:val="24"/>
        </w:rPr>
        <w:t>。</w:t>
      </w:r>
    </w:p>
    <w:p w14:paraId="588F612A">
      <w:pPr>
        <w:pStyle w:val="31"/>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宋体" w:hAnsi="宋体" w:eastAsia="宋体" w:cs="宋体"/>
          <w:spacing w:val="-4"/>
          <w:sz w:val="21"/>
          <w:szCs w:val="21"/>
        </w:rPr>
      </w:pPr>
      <w:r>
        <w:rPr>
          <w:rFonts w:ascii="宋体" w:hAnsi="宋体" w:eastAsia="宋体" w:cs="宋体"/>
          <w:b/>
          <w:bCs/>
          <w:spacing w:val="-1"/>
          <w:sz w:val="21"/>
          <w:szCs w:val="21"/>
        </w:rPr>
        <w:t>表</w:t>
      </w:r>
      <w:r>
        <w:rPr>
          <w:rFonts w:ascii="Times New Roman" w:hAnsi="Times New Roman" w:eastAsia="Times New Roman" w:cs="Times New Roman"/>
          <w:b/>
          <w:bCs/>
          <w:spacing w:val="-1"/>
          <w:sz w:val="21"/>
          <w:szCs w:val="21"/>
        </w:rPr>
        <w:t>4.2-1</w:t>
      </w:r>
      <w:r>
        <w:rPr>
          <w:rFonts w:hint="eastAsia" w:eastAsia="宋体" w:cs="Times New Roman"/>
          <w:b/>
          <w:bCs/>
          <w:spacing w:val="-1"/>
          <w:sz w:val="21"/>
          <w:szCs w:val="21"/>
          <w:lang w:val="en-US" w:eastAsia="zh-CN"/>
        </w:rPr>
        <w:t>4</w:t>
      </w:r>
      <w:r>
        <w:rPr>
          <w:rFonts w:ascii="Times New Roman" w:hAnsi="Times New Roman" w:eastAsia="Times New Roman" w:cs="Times New Roman"/>
          <w:b/>
          <w:bCs/>
          <w:spacing w:val="-1"/>
          <w:sz w:val="21"/>
          <w:szCs w:val="21"/>
        </w:rPr>
        <w:t xml:space="preserve">  </w:t>
      </w:r>
      <w:r>
        <w:rPr>
          <w:rFonts w:hint="eastAsia" w:ascii="Times New Roman" w:hAnsi="Times New Roman" w:eastAsia="宋体" w:cs="Times New Roman"/>
          <w:b/>
          <w:bCs/>
          <w:spacing w:val="-1"/>
          <w:sz w:val="21"/>
          <w:szCs w:val="21"/>
          <w:lang w:val="en-US" w:eastAsia="zh-CN"/>
        </w:rPr>
        <w:t>底泥</w:t>
      </w:r>
      <w:r>
        <w:rPr>
          <w:rFonts w:ascii="宋体" w:hAnsi="宋体" w:eastAsia="宋体" w:cs="宋体"/>
          <w:b/>
          <w:bCs/>
          <w:spacing w:val="-1"/>
          <w:sz w:val="21"/>
          <w:szCs w:val="21"/>
        </w:rPr>
        <w:t>现状监测</w:t>
      </w:r>
      <w:r>
        <w:rPr>
          <w:rFonts w:ascii="宋体" w:hAnsi="宋体" w:eastAsia="宋体" w:cs="宋体"/>
          <w:b/>
          <w:bCs/>
          <w:spacing w:val="-2"/>
          <w:sz w:val="21"/>
          <w:szCs w:val="21"/>
        </w:rPr>
        <w:t>结果一览表</w:t>
      </w:r>
    </w:p>
    <w:tbl>
      <w:tblPr>
        <w:tblStyle w:val="46"/>
        <w:tblW w:w="4996"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31"/>
        <w:gridCol w:w="1212"/>
        <w:gridCol w:w="1915"/>
        <w:gridCol w:w="1278"/>
        <w:gridCol w:w="1703"/>
        <w:gridCol w:w="1746"/>
      </w:tblGrid>
      <w:tr w14:paraId="5A7BD2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71" w:type="pct"/>
            <w:tcBorders>
              <w:tl2br w:val="nil"/>
              <w:tr2bl w:val="nil"/>
            </w:tcBorders>
            <w:tcMar>
              <w:left w:w="108" w:type="dxa"/>
              <w:right w:w="108" w:type="dxa"/>
            </w:tcMar>
            <w:vAlign w:val="center"/>
          </w:tcPr>
          <w:p w14:paraId="4D6B0AD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采样点位</w:t>
            </w:r>
          </w:p>
        </w:tc>
        <w:tc>
          <w:tcPr>
            <w:tcW w:w="653" w:type="pct"/>
            <w:tcBorders>
              <w:tl2br w:val="nil"/>
              <w:tr2bl w:val="nil"/>
            </w:tcBorders>
            <w:tcMar>
              <w:left w:w="108" w:type="dxa"/>
              <w:right w:w="108" w:type="dxa"/>
            </w:tcMar>
            <w:vAlign w:val="center"/>
          </w:tcPr>
          <w:p w14:paraId="22CFD8A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采样深度</w:t>
            </w:r>
          </w:p>
        </w:tc>
        <w:tc>
          <w:tcPr>
            <w:tcW w:w="1031" w:type="pct"/>
            <w:tcBorders>
              <w:tl2br w:val="nil"/>
              <w:tr2bl w:val="nil"/>
            </w:tcBorders>
            <w:tcMar>
              <w:left w:w="108" w:type="dxa"/>
              <w:right w:w="108" w:type="dxa"/>
            </w:tcMar>
            <w:vAlign w:val="center"/>
          </w:tcPr>
          <w:p w14:paraId="6BA6298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检测项目</w:t>
            </w:r>
          </w:p>
        </w:tc>
        <w:tc>
          <w:tcPr>
            <w:tcW w:w="688" w:type="pct"/>
            <w:tcBorders>
              <w:tl2br w:val="nil"/>
              <w:tr2bl w:val="nil"/>
            </w:tcBorders>
            <w:tcMar>
              <w:left w:w="108" w:type="dxa"/>
              <w:right w:w="108" w:type="dxa"/>
            </w:tcMar>
            <w:vAlign w:val="center"/>
          </w:tcPr>
          <w:p w14:paraId="4B64792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计量单位</w:t>
            </w:r>
          </w:p>
        </w:tc>
        <w:tc>
          <w:tcPr>
            <w:tcW w:w="917" w:type="pct"/>
            <w:tcBorders>
              <w:tl2br w:val="nil"/>
              <w:tr2bl w:val="nil"/>
            </w:tcBorders>
            <w:tcMar>
              <w:left w:w="108" w:type="dxa"/>
              <w:right w:w="108" w:type="dxa"/>
            </w:tcMar>
            <w:vAlign w:val="center"/>
          </w:tcPr>
          <w:p w14:paraId="591DD3F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检测结果</w:t>
            </w:r>
          </w:p>
        </w:tc>
        <w:tc>
          <w:tcPr>
            <w:tcW w:w="938" w:type="pct"/>
            <w:tcBorders>
              <w:tl2br w:val="nil"/>
              <w:tr2bl w:val="nil"/>
            </w:tcBorders>
            <w:tcMar>
              <w:left w:w="108" w:type="dxa"/>
              <w:right w:w="108" w:type="dxa"/>
            </w:tcMar>
            <w:vAlign w:val="center"/>
          </w:tcPr>
          <w:p w14:paraId="4C0E4B8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b/>
                <w:bCs/>
              </w:rPr>
            </w:pPr>
            <w:r>
              <w:rPr>
                <w:b/>
                <w:bCs/>
              </w:rPr>
              <w:t>筛选值</w:t>
            </w:r>
          </w:p>
        </w:tc>
      </w:tr>
      <w:tr w14:paraId="327DBC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restart"/>
            <w:tcBorders>
              <w:tl2br w:val="nil"/>
              <w:tr2bl w:val="nil"/>
            </w:tcBorders>
            <w:tcMar>
              <w:left w:w="108" w:type="dxa"/>
              <w:right w:w="108" w:type="dxa"/>
            </w:tcMar>
            <w:vAlign w:val="center"/>
          </w:tcPr>
          <w:p w14:paraId="680B318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M1万古（白荆）水库</w:t>
            </w:r>
          </w:p>
        </w:tc>
        <w:tc>
          <w:tcPr>
            <w:tcW w:w="653" w:type="pct"/>
            <w:vMerge w:val="restart"/>
            <w:tcBorders>
              <w:tl2br w:val="nil"/>
              <w:tr2bl w:val="nil"/>
            </w:tcBorders>
            <w:tcMar>
              <w:left w:w="108" w:type="dxa"/>
              <w:right w:w="108" w:type="dxa"/>
            </w:tcMar>
            <w:vAlign w:val="center"/>
          </w:tcPr>
          <w:p w14:paraId="5EA0409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0-0.2m</w:t>
            </w:r>
          </w:p>
        </w:tc>
        <w:tc>
          <w:tcPr>
            <w:tcW w:w="1031" w:type="pct"/>
            <w:tcBorders>
              <w:tl2br w:val="nil"/>
              <w:tr2bl w:val="nil"/>
            </w:tcBorders>
            <w:tcMar>
              <w:left w:w="108" w:type="dxa"/>
              <w:right w:w="108" w:type="dxa"/>
            </w:tcMar>
            <w:vAlign w:val="center"/>
          </w:tcPr>
          <w:p w14:paraId="38C8FD7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pH值</w:t>
            </w:r>
          </w:p>
        </w:tc>
        <w:tc>
          <w:tcPr>
            <w:tcW w:w="688" w:type="pct"/>
            <w:tcBorders>
              <w:tl2br w:val="nil"/>
              <w:tr2bl w:val="nil"/>
            </w:tcBorders>
            <w:tcMar>
              <w:left w:w="108" w:type="dxa"/>
              <w:right w:w="108" w:type="dxa"/>
            </w:tcMar>
            <w:vAlign w:val="center"/>
          </w:tcPr>
          <w:p w14:paraId="16600E8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无量纲</w:t>
            </w:r>
          </w:p>
        </w:tc>
        <w:tc>
          <w:tcPr>
            <w:tcW w:w="917" w:type="pct"/>
            <w:tcBorders>
              <w:tl2br w:val="nil"/>
              <w:tr2bl w:val="nil"/>
            </w:tcBorders>
            <w:tcMar>
              <w:left w:w="108" w:type="dxa"/>
              <w:right w:w="108" w:type="dxa"/>
            </w:tcMar>
            <w:vAlign w:val="center"/>
          </w:tcPr>
          <w:p w14:paraId="3B6C050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7.2</w:t>
            </w:r>
          </w:p>
        </w:tc>
        <w:tc>
          <w:tcPr>
            <w:tcW w:w="938" w:type="pct"/>
            <w:tcBorders>
              <w:tl2br w:val="nil"/>
              <w:tr2bl w:val="nil"/>
            </w:tcBorders>
            <w:tcMar>
              <w:left w:w="108" w:type="dxa"/>
              <w:right w:w="108" w:type="dxa"/>
            </w:tcMar>
            <w:vAlign w:val="center"/>
          </w:tcPr>
          <w:p w14:paraId="079B441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6.5＜pH≤7.5</w:t>
            </w:r>
          </w:p>
        </w:tc>
      </w:tr>
      <w:tr w14:paraId="52EFB6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5AF1921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6F719D1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6C261DA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氰化物</w:t>
            </w:r>
          </w:p>
        </w:tc>
        <w:tc>
          <w:tcPr>
            <w:tcW w:w="688" w:type="pct"/>
            <w:tcBorders>
              <w:tl2br w:val="nil"/>
              <w:tr2bl w:val="nil"/>
            </w:tcBorders>
            <w:tcMar>
              <w:left w:w="108" w:type="dxa"/>
              <w:right w:w="108" w:type="dxa"/>
            </w:tcMar>
            <w:vAlign w:val="center"/>
          </w:tcPr>
          <w:p w14:paraId="6A62FDE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3158D63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ND</w:t>
            </w:r>
          </w:p>
        </w:tc>
        <w:tc>
          <w:tcPr>
            <w:tcW w:w="938" w:type="pct"/>
            <w:tcBorders>
              <w:tl2br w:val="nil"/>
              <w:tr2bl w:val="nil"/>
            </w:tcBorders>
            <w:tcMar>
              <w:left w:w="108" w:type="dxa"/>
              <w:right w:w="108" w:type="dxa"/>
            </w:tcMar>
            <w:vAlign w:val="center"/>
          </w:tcPr>
          <w:p w14:paraId="009A914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19ECD2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6E578FA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45DE91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0D4BF06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锌</w:t>
            </w:r>
          </w:p>
        </w:tc>
        <w:tc>
          <w:tcPr>
            <w:tcW w:w="688" w:type="pct"/>
            <w:tcBorders>
              <w:tl2br w:val="nil"/>
              <w:tr2bl w:val="nil"/>
            </w:tcBorders>
            <w:tcMar>
              <w:left w:w="108" w:type="dxa"/>
              <w:right w:w="108" w:type="dxa"/>
            </w:tcMar>
            <w:vAlign w:val="center"/>
          </w:tcPr>
          <w:p w14:paraId="4FFDF3A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53521E3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111</w:t>
            </w:r>
          </w:p>
        </w:tc>
        <w:tc>
          <w:tcPr>
            <w:tcW w:w="938" w:type="pct"/>
            <w:tcBorders>
              <w:tl2br w:val="nil"/>
              <w:tr2bl w:val="nil"/>
            </w:tcBorders>
            <w:tcMar>
              <w:left w:w="108" w:type="dxa"/>
              <w:right w:w="108" w:type="dxa"/>
            </w:tcMar>
            <w:vAlign w:val="center"/>
          </w:tcPr>
          <w:p w14:paraId="528CD6F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250</w:t>
            </w:r>
          </w:p>
        </w:tc>
      </w:tr>
      <w:tr w14:paraId="5F33B5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7F212EA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2E8AC6C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434C301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铜</w:t>
            </w:r>
          </w:p>
        </w:tc>
        <w:tc>
          <w:tcPr>
            <w:tcW w:w="688" w:type="pct"/>
            <w:tcBorders>
              <w:tl2br w:val="nil"/>
              <w:tr2bl w:val="nil"/>
            </w:tcBorders>
            <w:tcMar>
              <w:left w:w="108" w:type="dxa"/>
              <w:right w:w="108" w:type="dxa"/>
            </w:tcMar>
            <w:vAlign w:val="center"/>
          </w:tcPr>
          <w:p w14:paraId="0533792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6CB8DD0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28</w:t>
            </w:r>
          </w:p>
        </w:tc>
        <w:tc>
          <w:tcPr>
            <w:tcW w:w="938" w:type="pct"/>
            <w:tcBorders>
              <w:tl2br w:val="nil"/>
              <w:tr2bl w:val="nil"/>
            </w:tcBorders>
            <w:tcMar>
              <w:left w:w="108" w:type="dxa"/>
              <w:right w:w="108" w:type="dxa"/>
            </w:tcMar>
            <w:vAlign w:val="center"/>
          </w:tcPr>
          <w:p w14:paraId="4CACA51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72F264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7345BBA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67D5C1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3F32D71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镍</w:t>
            </w:r>
          </w:p>
        </w:tc>
        <w:tc>
          <w:tcPr>
            <w:tcW w:w="688" w:type="pct"/>
            <w:tcBorders>
              <w:tl2br w:val="nil"/>
              <w:tr2bl w:val="nil"/>
            </w:tcBorders>
            <w:tcMar>
              <w:left w:w="108" w:type="dxa"/>
              <w:right w:w="108" w:type="dxa"/>
            </w:tcMar>
            <w:vAlign w:val="center"/>
          </w:tcPr>
          <w:p w14:paraId="29F6ECB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0248484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33</w:t>
            </w:r>
          </w:p>
        </w:tc>
        <w:tc>
          <w:tcPr>
            <w:tcW w:w="938" w:type="pct"/>
            <w:tcBorders>
              <w:tl2br w:val="nil"/>
              <w:tr2bl w:val="nil"/>
            </w:tcBorders>
            <w:tcMar>
              <w:left w:w="108" w:type="dxa"/>
              <w:right w:w="108" w:type="dxa"/>
            </w:tcMar>
            <w:vAlign w:val="center"/>
          </w:tcPr>
          <w:p w14:paraId="119578B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100</w:t>
            </w:r>
          </w:p>
        </w:tc>
      </w:tr>
      <w:tr w14:paraId="770FE4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771" w:type="pct"/>
            <w:vMerge w:val="continue"/>
            <w:tcBorders>
              <w:tl2br w:val="nil"/>
              <w:tr2bl w:val="nil"/>
            </w:tcBorders>
            <w:tcMar>
              <w:left w:w="108" w:type="dxa"/>
              <w:right w:w="108" w:type="dxa"/>
            </w:tcMar>
            <w:vAlign w:val="center"/>
          </w:tcPr>
          <w:p w14:paraId="51B8A21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645BA58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1A5669F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铬（总铬）</w:t>
            </w:r>
          </w:p>
        </w:tc>
        <w:tc>
          <w:tcPr>
            <w:tcW w:w="688" w:type="pct"/>
            <w:tcBorders>
              <w:tl2br w:val="nil"/>
              <w:tr2bl w:val="nil"/>
            </w:tcBorders>
            <w:tcMar>
              <w:left w:w="108" w:type="dxa"/>
              <w:right w:w="108" w:type="dxa"/>
            </w:tcMar>
            <w:vAlign w:val="center"/>
          </w:tcPr>
          <w:p w14:paraId="26CC6A2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4758FC9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160</w:t>
            </w:r>
          </w:p>
        </w:tc>
        <w:tc>
          <w:tcPr>
            <w:tcW w:w="938" w:type="pct"/>
            <w:tcBorders>
              <w:tl2br w:val="nil"/>
              <w:tr2bl w:val="nil"/>
            </w:tcBorders>
            <w:tcMar>
              <w:left w:w="108" w:type="dxa"/>
              <w:right w:w="108" w:type="dxa"/>
            </w:tcMar>
            <w:vAlign w:val="center"/>
          </w:tcPr>
          <w:p w14:paraId="62FF9FF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200</w:t>
            </w:r>
          </w:p>
        </w:tc>
      </w:tr>
      <w:tr w14:paraId="0E7ED6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27C18BE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4CF4E8F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15E4E51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镉</w:t>
            </w:r>
          </w:p>
        </w:tc>
        <w:tc>
          <w:tcPr>
            <w:tcW w:w="688" w:type="pct"/>
            <w:tcBorders>
              <w:tl2br w:val="nil"/>
              <w:tr2bl w:val="nil"/>
            </w:tcBorders>
            <w:tcMar>
              <w:left w:w="108" w:type="dxa"/>
              <w:right w:w="108" w:type="dxa"/>
            </w:tcMar>
            <w:vAlign w:val="center"/>
          </w:tcPr>
          <w:p w14:paraId="6AD2B80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322613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ND</w:t>
            </w:r>
          </w:p>
        </w:tc>
        <w:tc>
          <w:tcPr>
            <w:tcW w:w="938" w:type="pct"/>
            <w:tcBorders>
              <w:tl2br w:val="nil"/>
              <w:tr2bl w:val="nil"/>
            </w:tcBorders>
            <w:tcMar>
              <w:left w:w="108" w:type="dxa"/>
              <w:right w:w="108" w:type="dxa"/>
            </w:tcMar>
            <w:vAlign w:val="center"/>
          </w:tcPr>
          <w:p w14:paraId="1247FE4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0.3</w:t>
            </w:r>
          </w:p>
        </w:tc>
      </w:tr>
      <w:tr w14:paraId="6C400C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0E7690A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45E2925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5FAB00A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汞（总汞）</w:t>
            </w:r>
          </w:p>
        </w:tc>
        <w:tc>
          <w:tcPr>
            <w:tcW w:w="688" w:type="pct"/>
            <w:tcBorders>
              <w:tl2br w:val="nil"/>
              <w:tr2bl w:val="nil"/>
            </w:tcBorders>
            <w:tcMar>
              <w:left w:w="108" w:type="dxa"/>
              <w:right w:w="108" w:type="dxa"/>
            </w:tcMar>
            <w:vAlign w:val="center"/>
          </w:tcPr>
          <w:p w14:paraId="61ED937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2141E17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0.086</w:t>
            </w:r>
          </w:p>
        </w:tc>
        <w:tc>
          <w:tcPr>
            <w:tcW w:w="938" w:type="pct"/>
            <w:tcBorders>
              <w:tl2br w:val="nil"/>
              <w:tr2bl w:val="nil"/>
            </w:tcBorders>
            <w:tcMar>
              <w:left w:w="108" w:type="dxa"/>
              <w:right w:w="108" w:type="dxa"/>
            </w:tcMar>
            <w:vAlign w:val="center"/>
          </w:tcPr>
          <w:p w14:paraId="1770CC7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2.4</w:t>
            </w:r>
          </w:p>
        </w:tc>
      </w:tr>
      <w:tr w14:paraId="2C314B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4147EDB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534CCFF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6E76BD2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砷</w:t>
            </w:r>
          </w:p>
        </w:tc>
        <w:tc>
          <w:tcPr>
            <w:tcW w:w="688" w:type="pct"/>
            <w:tcBorders>
              <w:tl2br w:val="nil"/>
              <w:tr2bl w:val="nil"/>
            </w:tcBorders>
            <w:tcMar>
              <w:left w:w="108" w:type="dxa"/>
              <w:right w:w="108" w:type="dxa"/>
            </w:tcMar>
            <w:vAlign w:val="center"/>
          </w:tcPr>
          <w:p w14:paraId="6AEED36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2754B62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39.7</w:t>
            </w:r>
          </w:p>
        </w:tc>
        <w:tc>
          <w:tcPr>
            <w:tcW w:w="938" w:type="pct"/>
            <w:tcBorders>
              <w:tl2br w:val="nil"/>
              <w:tr2bl w:val="nil"/>
            </w:tcBorders>
            <w:tcMar>
              <w:left w:w="108" w:type="dxa"/>
              <w:right w:w="108" w:type="dxa"/>
            </w:tcMar>
            <w:vAlign w:val="center"/>
          </w:tcPr>
          <w:p w14:paraId="4AE31E5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30</w:t>
            </w:r>
          </w:p>
        </w:tc>
      </w:tr>
      <w:tr w14:paraId="4AD6D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5EB3DB5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2BBD896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5D95CEF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六价铬</w:t>
            </w:r>
          </w:p>
        </w:tc>
        <w:tc>
          <w:tcPr>
            <w:tcW w:w="688" w:type="pct"/>
            <w:tcBorders>
              <w:tl2br w:val="nil"/>
              <w:tr2bl w:val="nil"/>
            </w:tcBorders>
            <w:tcMar>
              <w:left w:w="108" w:type="dxa"/>
              <w:right w:w="108" w:type="dxa"/>
            </w:tcMar>
            <w:vAlign w:val="center"/>
          </w:tcPr>
          <w:p w14:paraId="4F33717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7AD4A55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ND</w:t>
            </w:r>
          </w:p>
        </w:tc>
        <w:tc>
          <w:tcPr>
            <w:tcW w:w="938" w:type="pct"/>
            <w:tcBorders>
              <w:tl2br w:val="nil"/>
              <w:tr2bl w:val="nil"/>
            </w:tcBorders>
            <w:tcMar>
              <w:left w:w="108" w:type="dxa"/>
              <w:right w:w="108" w:type="dxa"/>
            </w:tcMar>
            <w:vAlign w:val="center"/>
          </w:tcPr>
          <w:p w14:paraId="5150E99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w:t>
            </w:r>
          </w:p>
        </w:tc>
      </w:tr>
      <w:tr w14:paraId="566B0C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tcMar>
              <w:left w:w="108" w:type="dxa"/>
              <w:right w:w="108" w:type="dxa"/>
            </w:tcMar>
            <w:vAlign w:val="center"/>
          </w:tcPr>
          <w:p w14:paraId="44808E4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tcMar>
              <w:left w:w="108" w:type="dxa"/>
              <w:right w:w="108" w:type="dxa"/>
            </w:tcMar>
            <w:vAlign w:val="center"/>
          </w:tcPr>
          <w:p w14:paraId="5DABB8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tcMar>
              <w:left w:w="108" w:type="dxa"/>
              <w:right w:w="108" w:type="dxa"/>
            </w:tcMar>
            <w:vAlign w:val="center"/>
          </w:tcPr>
          <w:p w14:paraId="3D21816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eastAsia="宋体"/>
                <w:lang w:eastAsia="zh-CN"/>
              </w:rPr>
            </w:pPr>
            <w:r>
              <w:t>铅</w:t>
            </w:r>
          </w:p>
        </w:tc>
        <w:tc>
          <w:tcPr>
            <w:tcW w:w="688" w:type="pct"/>
            <w:tcBorders>
              <w:tl2br w:val="nil"/>
              <w:tr2bl w:val="nil"/>
            </w:tcBorders>
            <w:tcMar>
              <w:left w:w="108" w:type="dxa"/>
              <w:right w:w="108" w:type="dxa"/>
            </w:tcMar>
            <w:vAlign w:val="center"/>
          </w:tcPr>
          <w:p w14:paraId="0F8084A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mg/kg</w:t>
            </w:r>
          </w:p>
        </w:tc>
        <w:tc>
          <w:tcPr>
            <w:tcW w:w="917" w:type="pct"/>
            <w:tcBorders>
              <w:tl2br w:val="nil"/>
              <w:tr2bl w:val="nil"/>
            </w:tcBorders>
            <w:tcMar>
              <w:left w:w="108" w:type="dxa"/>
              <w:right w:w="108" w:type="dxa"/>
            </w:tcMar>
            <w:vAlign w:val="center"/>
          </w:tcPr>
          <w:p w14:paraId="2104EFB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25</w:t>
            </w:r>
          </w:p>
        </w:tc>
        <w:tc>
          <w:tcPr>
            <w:tcW w:w="938" w:type="pct"/>
            <w:tcBorders>
              <w:tl2br w:val="nil"/>
              <w:tr2bl w:val="nil"/>
            </w:tcBorders>
            <w:tcMar>
              <w:left w:w="108" w:type="dxa"/>
              <w:right w:w="108" w:type="dxa"/>
            </w:tcMar>
            <w:vAlign w:val="center"/>
          </w:tcPr>
          <w:p w14:paraId="52906E0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r>
              <w:t>120</w:t>
            </w:r>
          </w:p>
        </w:tc>
      </w:tr>
      <w:tr w14:paraId="0FBF8F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restart"/>
            <w:tcBorders>
              <w:tl2br w:val="nil"/>
              <w:tr2bl w:val="nil"/>
            </w:tcBorders>
            <w:shd w:val="clear" w:color="auto" w:fill="auto"/>
            <w:tcMar>
              <w:left w:w="108" w:type="dxa"/>
              <w:right w:w="108" w:type="dxa"/>
            </w:tcMar>
            <w:vAlign w:val="center"/>
          </w:tcPr>
          <w:p w14:paraId="71259C6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M2无名小溪断面</w:t>
            </w:r>
          </w:p>
        </w:tc>
        <w:tc>
          <w:tcPr>
            <w:tcW w:w="653" w:type="pct"/>
            <w:vMerge w:val="restart"/>
            <w:tcBorders>
              <w:tl2br w:val="nil"/>
              <w:tr2bl w:val="nil"/>
            </w:tcBorders>
            <w:shd w:val="clear" w:color="auto" w:fill="auto"/>
            <w:tcMar>
              <w:left w:w="108" w:type="dxa"/>
              <w:right w:w="108" w:type="dxa"/>
            </w:tcMar>
            <w:vAlign w:val="center"/>
          </w:tcPr>
          <w:p w14:paraId="340A975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0-0.2m</w:t>
            </w:r>
          </w:p>
        </w:tc>
        <w:tc>
          <w:tcPr>
            <w:tcW w:w="1031" w:type="pct"/>
            <w:tcBorders>
              <w:tl2br w:val="nil"/>
              <w:tr2bl w:val="nil"/>
            </w:tcBorders>
            <w:shd w:val="clear" w:color="auto" w:fill="auto"/>
            <w:tcMar>
              <w:left w:w="108" w:type="dxa"/>
              <w:right w:w="108" w:type="dxa"/>
            </w:tcMar>
            <w:vAlign w:val="center"/>
          </w:tcPr>
          <w:p w14:paraId="2C901B9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pH值</w:t>
            </w:r>
          </w:p>
        </w:tc>
        <w:tc>
          <w:tcPr>
            <w:tcW w:w="688" w:type="pct"/>
            <w:tcBorders>
              <w:tl2br w:val="nil"/>
              <w:tr2bl w:val="nil"/>
            </w:tcBorders>
            <w:shd w:val="clear" w:color="auto" w:fill="auto"/>
            <w:tcMar>
              <w:left w:w="108" w:type="dxa"/>
              <w:right w:w="108" w:type="dxa"/>
            </w:tcMar>
            <w:vAlign w:val="center"/>
          </w:tcPr>
          <w:p w14:paraId="2DDD282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无量纲</w:t>
            </w:r>
          </w:p>
        </w:tc>
        <w:tc>
          <w:tcPr>
            <w:tcW w:w="917" w:type="pct"/>
            <w:tcBorders>
              <w:tl2br w:val="nil"/>
              <w:tr2bl w:val="nil"/>
            </w:tcBorders>
            <w:shd w:val="clear" w:color="auto" w:fill="auto"/>
            <w:tcMar>
              <w:left w:w="108" w:type="dxa"/>
              <w:right w:w="108" w:type="dxa"/>
            </w:tcMar>
            <w:vAlign w:val="center"/>
          </w:tcPr>
          <w:p w14:paraId="23768F7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7.6</w:t>
            </w:r>
          </w:p>
        </w:tc>
        <w:tc>
          <w:tcPr>
            <w:tcW w:w="938" w:type="pct"/>
            <w:tcBorders>
              <w:tl2br w:val="nil"/>
              <w:tr2bl w:val="nil"/>
            </w:tcBorders>
            <w:shd w:val="clear" w:color="auto" w:fill="auto"/>
            <w:tcMar>
              <w:left w:w="108" w:type="dxa"/>
              <w:right w:w="108" w:type="dxa"/>
            </w:tcMar>
            <w:vAlign w:val="center"/>
          </w:tcPr>
          <w:p w14:paraId="22E9D7E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6.5＜pH≤7.5</w:t>
            </w:r>
          </w:p>
        </w:tc>
      </w:tr>
      <w:tr w14:paraId="628CD9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1658187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5EDA07A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69BFF67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氰化物</w:t>
            </w:r>
          </w:p>
        </w:tc>
        <w:tc>
          <w:tcPr>
            <w:tcW w:w="688" w:type="pct"/>
            <w:tcBorders>
              <w:tl2br w:val="nil"/>
              <w:tr2bl w:val="nil"/>
            </w:tcBorders>
            <w:shd w:val="clear" w:color="auto" w:fill="auto"/>
            <w:vAlign w:val="center"/>
          </w:tcPr>
          <w:p w14:paraId="30B2BBA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118094B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938" w:type="pct"/>
            <w:tcBorders>
              <w:tl2br w:val="nil"/>
              <w:tr2bl w:val="nil"/>
            </w:tcBorders>
            <w:shd w:val="clear" w:color="auto" w:fill="auto"/>
            <w:vAlign w:val="center"/>
          </w:tcPr>
          <w:p w14:paraId="7270803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w:t>
            </w:r>
          </w:p>
        </w:tc>
      </w:tr>
      <w:tr w14:paraId="61D4EF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187412B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07BBAAA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7DDF668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锌</w:t>
            </w:r>
          </w:p>
        </w:tc>
        <w:tc>
          <w:tcPr>
            <w:tcW w:w="688" w:type="pct"/>
            <w:tcBorders>
              <w:tl2br w:val="nil"/>
              <w:tr2bl w:val="nil"/>
            </w:tcBorders>
            <w:shd w:val="clear" w:color="auto" w:fill="auto"/>
            <w:vAlign w:val="center"/>
          </w:tcPr>
          <w:p w14:paraId="44F6B10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0645E3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109</w:t>
            </w:r>
          </w:p>
        </w:tc>
        <w:tc>
          <w:tcPr>
            <w:tcW w:w="938" w:type="pct"/>
            <w:tcBorders>
              <w:tl2br w:val="nil"/>
              <w:tr2bl w:val="nil"/>
            </w:tcBorders>
            <w:shd w:val="clear" w:color="auto" w:fill="auto"/>
            <w:vAlign w:val="center"/>
          </w:tcPr>
          <w:p w14:paraId="45F397F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250</w:t>
            </w:r>
          </w:p>
        </w:tc>
      </w:tr>
      <w:tr w14:paraId="2EC1D9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44BC9D3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4515FF4C">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0509442D">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铜</w:t>
            </w:r>
          </w:p>
        </w:tc>
        <w:tc>
          <w:tcPr>
            <w:tcW w:w="688" w:type="pct"/>
            <w:tcBorders>
              <w:tl2br w:val="nil"/>
              <w:tr2bl w:val="nil"/>
            </w:tcBorders>
            <w:shd w:val="clear" w:color="auto" w:fill="auto"/>
            <w:vAlign w:val="center"/>
          </w:tcPr>
          <w:p w14:paraId="0615BBBA">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378F16D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27</w:t>
            </w:r>
          </w:p>
        </w:tc>
        <w:tc>
          <w:tcPr>
            <w:tcW w:w="938" w:type="pct"/>
            <w:tcBorders>
              <w:tl2br w:val="nil"/>
              <w:tr2bl w:val="nil"/>
            </w:tcBorders>
            <w:shd w:val="clear" w:color="auto" w:fill="auto"/>
            <w:vAlign w:val="center"/>
          </w:tcPr>
          <w:p w14:paraId="60F59FB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100</w:t>
            </w:r>
          </w:p>
        </w:tc>
      </w:tr>
      <w:tr w14:paraId="2239AF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434F5A7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72D1612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3DD78DD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镍</w:t>
            </w:r>
          </w:p>
        </w:tc>
        <w:tc>
          <w:tcPr>
            <w:tcW w:w="688" w:type="pct"/>
            <w:tcBorders>
              <w:tl2br w:val="nil"/>
              <w:tr2bl w:val="nil"/>
            </w:tcBorders>
            <w:shd w:val="clear" w:color="auto" w:fill="auto"/>
            <w:vAlign w:val="center"/>
          </w:tcPr>
          <w:p w14:paraId="7FC3EC1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5A18261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33</w:t>
            </w:r>
          </w:p>
        </w:tc>
        <w:tc>
          <w:tcPr>
            <w:tcW w:w="938" w:type="pct"/>
            <w:tcBorders>
              <w:tl2br w:val="nil"/>
              <w:tr2bl w:val="nil"/>
            </w:tcBorders>
            <w:shd w:val="clear" w:color="auto" w:fill="auto"/>
            <w:vAlign w:val="center"/>
          </w:tcPr>
          <w:p w14:paraId="317AB2D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100</w:t>
            </w:r>
          </w:p>
        </w:tc>
      </w:tr>
      <w:tr w14:paraId="30CEDF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0E0E69C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110E796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5D3BD93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铬（总铬）</w:t>
            </w:r>
          </w:p>
        </w:tc>
        <w:tc>
          <w:tcPr>
            <w:tcW w:w="688" w:type="pct"/>
            <w:tcBorders>
              <w:tl2br w:val="nil"/>
              <w:tr2bl w:val="nil"/>
            </w:tcBorders>
            <w:shd w:val="clear" w:color="auto" w:fill="auto"/>
            <w:vAlign w:val="center"/>
          </w:tcPr>
          <w:p w14:paraId="6FE065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39B6982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147</w:t>
            </w:r>
          </w:p>
        </w:tc>
        <w:tc>
          <w:tcPr>
            <w:tcW w:w="938" w:type="pct"/>
            <w:tcBorders>
              <w:tl2br w:val="nil"/>
              <w:tr2bl w:val="nil"/>
            </w:tcBorders>
            <w:shd w:val="clear" w:color="auto" w:fill="auto"/>
            <w:vAlign w:val="center"/>
          </w:tcPr>
          <w:p w14:paraId="0AA1D3F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200</w:t>
            </w:r>
          </w:p>
        </w:tc>
      </w:tr>
      <w:tr w14:paraId="6AC490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23DF9085">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77980F9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6E4434E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镉</w:t>
            </w:r>
          </w:p>
        </w:tc>
        <w:tc>
          <w:tcPr>
            <w:tcW w:w="688" w:type="pct"/>
            <w:tcBorders>
              <w:tl2br w:val="nil"/>
              <w:tr2bl w:val="nil"/>
            </w:tcBorders>
            <w:shd w:val="clear" w:color="auto" w:fill="auto"/>
            <w:vAlign w:val="center"/>
          </w:tcPr>
          <w:p w14:paraId="3A9771B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0D7BECE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938" w:type="pct"/>
            <w:tcBorders>
              <w:tl2br w:val="nil"/>
              <w:tr2bl w:val="nil"/>
            </w:tcBorders>
            <w:shd w:val="clear" w:color="auto" w:fill="auto"/>
            <w:vAlign w:val="center"/>
          </w:tcPr>
          <w:p w14:paraId="397FF6D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0.3</w:t>
            </w:r>
          </w:p>
        </w:tc>
      </w:tr>
      <w:tr w14:paraId="637C88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48491FC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059279A1">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12C1724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汞（总汞）</w:t>
            </w:r>
          </w:p>
        </w:tc>
        <w:tc>
          <w:tcPr>
            <w:tcW w:w="688" w:type="pct"/>
            <w:tcBorders>
              <w:tl2br w:val="nil"/>
              <w:tr2bl w:val="nil"/>
            </w:tcBorders>
            <w:shd w:val="clear" w:color="auto" w:fill="auto"/>
            <w:vAlign w:val="center"/>
          </w:tcPr>
          <w:p w14:paraId="03CA0862">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4A8B662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0.076</w:t>
            </w:r>
          </w:p>
        </w:tc>
        <w:tc>
          <w:tcPr>
            <w:tcW w:w="938" w:type="pct"/>
            <w:tcBorders>
              <w:tl2br w:val="nil"/>
              <w:tr2bl w:val="nil"/>
            </w:tcBorders>
            <w:shd w:val="clear" w:color="auto" w:fill="auto"/>
            <w:vAlign w:val="center"/>
          </w:tcPr>
          <w:p w14:paraId="4F94F2EE">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2.4</w:t>
            </w:r>
          </w:p>
        </w:tc>
      </w:tr>
      <w:tr w14:paraId="3519EE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6E8A624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6A33FFA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530AE56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砷</w:t>
            </w:r>
          </w:p>
        </w:tc>
        <w:tc>
          <w:tcPr>
            <w:tcW w:w="688" w:type="pct"/>
            <w:tcBorders>
              <w:tl2br w:val="nil"/>
              <w:tr2bl w:val="nil"/>
            </w:tcBorders>
            <w:shd w:val="clear" w:color="auto" w:fill="auto"/>
            <w:vAlign w:val="center"/>
          </w:tcPr>
          <w:p w14:paraId="790E4D1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5EA390E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44.3</w:t>
            </w:r>
          </w:p>
        </w:tc>
        <w:tc>
          <w:tcPr>
            <w:tcW w:w="938" w:type="pct"/>
            <w:tcBorders>
              <w:tl2br w:val="nil"/>
              <w:tr2bl w:val="nil"/>
            </w:tcBorders>
            <w:shd w:val="clear" w:color="auto" w:fill="auto"/>
            <w:vAlign w:val="center"/>
          </w:tcPr>
          <w:p w14:paraId="4C4B0A3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30</w:t>
            </w:r>
          </w:p>
        </w:tc>
      </w:tr>
      <w:tr w14:paraId="4532E5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vAlign w:val="center"/>
          </w:tcPr>
          <w:p w14:paraId="11B45D2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653" w:type="pct"/>
            <w:vMerge w:val="continue"/>
            <w:tcBorders>
              <w:tl2br w:val="nil"/>
              <w:tr2bl w:val="nil"/>
            </w:tcBorders>
            <w:vAlign w:val="center"/>
          </w:tcPr>
          <w:p w14:paraId="1B349EE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pPr>
          </w:p>
        </w:tc>
        <w:tc>
          <w:tcPr>
            <w:tcW w:w="1031" w:type="pct"/>
            <w:tcBorders>
              <w:tl2br w:val="nil"/>
              <w:tr2bl w:val="nil"/>
            </w:tcBorders>
            <w:shd w:val="clear" w:color="auto" w:fill="auto"/>
            <w:vAlign w:val="center"/>
          </w:tcPr>
          <w:p w14:paraId="7EC70724">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六价铬</w:t>
            </w:r>
          </w:p>
        </w:tc>
        <w:tc>
          <w:tcPr>
            <w:tcW w:w="688" w:type="pct"/>
            <w:tcBorders>
              <w:tl2br w:val="nil"/>
              <w:tr2bl w:val="nil"/>
            </w:tcBorders>
            <w:shd w:val="clear" w:color="auto" w:fill="auto"/>
            <w:vAlign w:val="center"/>
          </w:tcPr>
          <w:p w14:paraId="4C0DAA98">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45EC3C8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ND</w:t>
            </w:r>
          </w:p>
        </w:tc>
        <w:tc>
          <w:tcPr>
            <w:tcW w:w="938" w:type="pct"/>
            <w:tcBorders>
              <w:tl2br w:val="nil"/>
              <w:tr2bl w:val="nil"/>
            </w:tcBorders>
            <w:shd w:val="clear" w:color="auto" w:fill="auto"/>
            <w:vAlign w:val="center"/>
          </w:tcPr>
          <w:p w14:paraId="0C0E2D0F">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w:t>
            </w:r>
          </w:p>
        </w:tc>
      </w:tr>
      <w:tr w14:paraId="7DF1F6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771" w:type="pct"/>
            <w:vMerge w:val="continue"/>
            <w:tcBorders>
              <w:tl2br w:val="nil"/>
              <w:tr2bl w:val="nil"/>
            </w:tcBorders>
            <w:shd w:val="clear" w:color="auto" w:fill="auto"/>
            <w:vAlign w:val="center"/>
          </w:tcPr>
          <w:p w14:paraId="6713216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p>
        </w:tc>
        <w:tc>
          <w:tcPr>
            <w:tcW w:w="653" w:type="pct"/>
            <w:vMerge w:val="continue"/>
            <w:tcBorders>
              <w:tl2br w:val="nil"/>
              <w:tr2bl w:val="nil"/>
            </w:tcBorders>
            <w:shd w:val="clear" w:color="auto" w:fill="auto"/>
            <w:vAlign w:val="center"/>
          </w:tcPr>
          <w:p w14:paraId="0FE06197">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p>
        </w:tc>
        <w:tc>
          <w:tcPr>
            <w:tcW w:w="1031" w:type="pct"/>
            <w:tcBorders>
              <w:tl2br w:val="nil"/>
              <w:tr2bl w:val="nil"/>
            </w:tcBorders>
            <w:shd w:val="clear" w:color="auto" w:fill="auto"/>
            <w:vAlign w:val="center"/>
          </w:tcPr>
          <w:p w14:paraId="3D51524B">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lang w:val="en-US" w:eastAsia="zh-CN" w:bidi="ar-SA"/>
              </w:rPr>
            </w:pPr>
            <w:r>
              <w:t>铅</w:t>
            </w:r>
          </w:p>
        </w:tc>
        <w:tc>
          <w:tcPr>
            <w:tcW w:w="688" w:type="pct"/>
            <w:tcBorders>
              <w:tl2br w:val="nil"/>
              <w:tr2bl w:val="nil"/>
            </w:tcBorders>
            <w:shd w:val="clear" w:color="auto" w:fill="auto"/>
            <w:vAlign w:val="center"/>
          </w:tcPr>
          <w:p w14:paraId="51CAD249">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mg/kg</w:t>
            </w:r>
          </w:p>
        </w:tc>
        <w:tc>
          <w:tcPr>
            <w:tcW w:w="917" w:type="pct"/>
            <w:tcBorders>
              <w:tl2br w:val="nil"/>
              <w:tr2bl w:val="nil"/>
            </w:tcBorders>
            <w:shd w:val="clear" w:color="auto" w:fill="auto"/>
            <w:vAlign w:val="center"/>
          </w:tcPr>
          <w:p w14:paraId="44EE784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28</w:t>
            </w:r>
          </w:p>
        </w:tc>
        <w:tc>
          <w:tcPr>
            <w:tcW w:w="938" w:type="pct"/>
            <w:tcBorders>
              <w:tl2br w:val="nil"/>
              <w:tr2bl w:val="nil"/>
            </w:tcBorders>
            <w:shd w:val="clear" w:color="auto" w:fill="auto"/>
            <w:vAlign w:val="center"/>
          </w:tcPr>
          <w:p w14:paraId="431D3F16">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lang w:val="en-US" w:eastAsia="zh-CN" w:bidi="ar-SA"/>
              </w:rPr>
            </w:pPr>
            <w:r>
              <w:t>120</w:t>
            </w:r>
          </w:p>
        </w:tc>
      </w:tr>
      <w:tr w14:paraId="2A6612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c>
          <w:tcPr>
            <w:tcW w:w="5000" w:type="pct"/>
            <w:gridSpan w:val="6"/>
            <w:tcBorders>
              <w:tl2br w:val="nil"/>
              <w:tr2bl w:val="nil"/>
            </w:tcBorders>
            <w:shd w:val="clear" w:color="auto" w:fill="auto"/>
            <w:vAlign w:val="center"/>
          </w:tcPr>
          <w:p w14:paraId="3D871446">
            <w:pPr>
              <w:keepNext w:val="0"/>
              <w:keepLines w:val="0"/>
              <w:pageBreakBefore w:val="0"/>
              <w:widowControl/>
              <w:kinsoku/>
              <w:wordWrap/>
              <w:overflowPunct/>
              <w:topLinePunct/>
              <w:autoSpaceDE/>
              <w:autoSpaceDN/>
              <w:bidi w:val="0"/>
              <w:adjustRightInd/>
              <w:snapToGrid/>
              <w:spacing w:line="240" w:lineRule="auto"/>
              <w:ind w:left="0" w:firstLine="0" w:firstLineChars="0"/>
              <w:jc w:val="left"/>
              <w:textAlignment w:val="auto"/>
            </w:pPr>
            <w:r>
              <w:t>备注：1、“ND”表示检测结果低于本方法检出限，未检出；</w:t>
            </w:r>
          </w:p>
          <w:p w14:paraId="008FC628">
            <w:pPr>
              <w:keepNext w:val="0"/>
              <w:keepLines w:val="0"/>
              <w:pageBreakBefore w:val="0"/>
              <w:widowControl/>
              <w:kinsoku/>
              <w:wordWrap/>
              <w:overflowPunct/>
              <w:topLinePunct/>
              <w:autoSpaceDE/>
              <w:autoSpaceDN/>
              <w:bidi w:val="0"/>
              <w:adjustRightInd/>
              <w:snapToGrid/>
              <w:spacing w:line="240" w:lineRule="auto"/>
              <w:ind w:left="0" w:firstLine="630" w:firstLineChars="300"/>
              <w:jc w:val="left"/>
              <w:textAlignment w:val="auto"/>
            </w:pPr>
            <w:r>
              <w:t>2、执行《土壤环境质量 农用地土壤污染风险管控标准》（试行）（GB15618-2018）表1中其他标准。</w:t>
            </w:r>
          </w:p>
        </w:tc>
      </w:tr>
    </w:tbl>
    <w:p w14:paraId="2AC88091">
      <w:pPr>
        <w:pStyle w:val="31"/>
        <w:topLinePunct w:val="0"/>
        <w:snapToGrid/>
        <w:rPr>
          <w:rFonts w:hint="default" w:ascii="Times New Roman" w:hAnsi="Times New Roman" w:eastAsia="宋体" w:cs="Times New Roman"/>
          <w:color w:val="auto"/>
          <w:sz w:val="24"/>
          <w:highlight w:val="none"/>
          <w:u w:val="none" w:color="auto"/>
          <w:lang w:val="en-US" w:eastAsia="zh-CN"/>
        </w:rPr>
      </w:pPr>
      <w:r>
        <w:rPr>
          <w:rFonts w:hint="eastAsia" w:cs="Times New Roman"/>
          <w:color w:val="auto"/>
          <w:sz w:val="24"/>
          <w:highlight w:val="none"/>
          <w:u w:val="none" w:color="auto"/>
          <w:lang w:val="en-US" w:eastAsia="zh-CN"/>
        </w:rPr>
        <w:t>根据上表可知，底泥除砷外，其他因子均符合《土壤环境质量 农用地土壤污染风险管控标准》（试行）（GB15618-2018）表1中其他标准，其中砷超标原因为：项目地为治理区域，根据</w:t>
      </w:r>
      <w:r>
        <w:rPr>
          <w:rFonts w:hint="default" w:ascii="Times New Roman" w:hAnsi="Times New Roman" w:cs="Times New Roman"/>
          <w:sz w:val="24"/>
          <w:szCs w:val="24"/>
        </w:rPr>
        <w:t>污染状况调查报告</w:t>
      </w:r>
      <w:r>
        <w:rPr>
          <w:rFonts w:hint="eastAsia" w:ascii="Times New Roman" w:hAnsi="Times New Roman" w:cs="Times New Roman"/>
          <w:sz w:val="24"/>
          <w:szCs w:val="24"/>
          <w:lang w:val="en-US" w:eastAsia="zh-CN"/>
        </w:rPr>
        <w:t>可知，监测点位位置因受到污染，底泥存在砷超标情况。</w:t>
      </w:r>
    </w:p>
    <w:p w14:paraId="398D173E">
      <w:pPr>
        <w:pStyle w:val="31"/>
        <w:topLinePunct w:val="0"/>
        <w:snapToGrid/>
        <w:ind w:firstLine="480"/>
        <w:rPr>
          <w:rFonts w:hint="default" w:ascii="Times New Roman" w:hAnsi="Times New Roman" w:cs="Times New Roman"/>
          <w:color w:val="auto"/>
          <w:sz w:val="24"/>
          <w:highlight w:val="none"/>
          <w:u w:val="none" w:color="auto"/>
        </w:rPr>
      </w:pPr>
    </w:p>
    <w:p w14:paraId="2881EC0D">
      <w:pPr>
        <w:pStyle w:val="31"/>
        <w:topLinePunct w:val="0"/>
        <w:snapToGrid/>
        <w:ind w:firstLine="480"/>
        <w:rPr>
          <w:rFonts w:hint="default" w:ascii="Times New Roman" w:hAnsi="Times New Roman" w:cs="Times New Roman"/>
          <w:color w:val="auto"/>
          <w:sz w:val="24"/>
          <w:highlight w:val="none"/>
          <w:u w:val="none" w:color="auto"/>
        </w:rPr>
      </w:pPr>
    </w:p>
    <w:p w14:paraId="0CD2704B">
      <w:pPr>
        <w:pStyle w:val="31"/>
        <w:topLinePunct w:val="0"/>
        <w:snapToGrid/>
        <w:ind w:firstLine="480"/>
        <w:rPr>
          <w:rFonts w:hint="default" w:ascii="Times New Roman" w:hAnsi="Times New Roman" w:cs="Times New Roman"/>
          <w:color w:val="auto"/>
          <w:sz w:val="24"/>
          <w:highlight w:val="none"/>
          <w:u w:val="none" w:color="auto"/>
        </w:rPr>
        <w:sectPr>
          <w:headerReference r:id="rId13" w:type="default"/>
          <w:footerReference r:id="rId14" w:type="default"/>
          <w:pgSz w:w="11910" w:h="16840"/>
          <w:pgMar w:top="1417" w:right="1417" w:bottom="1417" w:left="1417" w:header="878" w:footer="1213" w:gutter="0"/>
          <w:pgBorders>
            <w:top w:val="none" w:sz="0" w:space="0"/>
            <w:left w:val="none" w:sz="0" w:space="0"/>
            <w:bottom w:val="none" w:sz="0" w:space="0"/>
            <w:right w:val="none" w:sz="0" w:space="0"/>
          </w:pgBorders>
          <w:pgNumType w:fmt="decimal"/>
          <w:cols w:space="720" w:num="1"/>
          <w:docGrid w:type="lines" w:linePitch="333" w:charSpace="0"/>
        </w:sectPr>
      </w:pPr>
    </w:p>
    <w:p w14:paraId="4C4CB07D">
      <w:pPr>
        <w:pStyle w:val="2"/>
        <w:keepNext w:val="0"/>
        <w:keepLines w:val="0"/>
        <w:pageBreakBefore w:val="0"/>
        <w:widowControl w:val="0"/>
        <w:numPr>
          <w:ilvl w:val="0"/>
          <w:numId w:val="0"/>
        </w:numPr>
        <w:kinsoku/>
        <w:topLinePunct w:val="0"/>
        <w:bidi w:val="0"/>
        <w:snapToGrid w:val="0"/>
        <w:spacing w:before="0" w:after="0"/>
        <w:rPr>
          <w:rFonts w:hint="default" w:ascii="Times New Roman" w:hAnsi="Times New Roman" w:eastAsia="宋体" w:cs="Times New Roman"/>
          <w:color w:val="auto"/>
          <w:highlight w:val="none"/>
          <w:u w:val="none" w:color="auto"/>
        </w:rPr>
      </w:pPr>
      <w:bookmarkStart w:id="424" w:name="_Toc19496"/>
      <w:bookmarkStart w:id="425" w:name="_Toc9253"/>
      <w:bookmarkStart w:id="426" w:name="_Toc10376"/>
      <w:bookmarkStart w:id="427" w:name="_Toc24225"/>
      <w:bookmarkStart w:id="428" w:name="_Toc18361"/>
      <w:bookmarkStart w:id="429" w:name="_Toc25379"/>
      <w:bookmarkStart w:id="430" w:name="_Toc11825"/>
      <w:bookmarkStart w:id="431" w:name="_Toc28158"/>
      <w:bookmarkStart w:id="432" w:name="_Toc22739"/>
      <w:bookmarkStart w:id="433" w:name="_Toc23746"/>
      <w:bookmarkStart w:id="434" w:name="_Toc3451"/>
      <w:bookmarkStart w:id="435" w:name="_Toc32443"/>
      <w:r>
        <w:rPr>
          <w:rFonts w:hint="eastAsia" w:cs="Times New Roman"/>
          <w:color w:val="auto"/>
          <w:sz w:val="36"/>
          <w:szCs w:val="36"/>
          <w:highlight w:val="none"/>
          <w:u w:val="none" w:color="auto"/>
          <w:lang w:val="en-US" w:eastAsia="zh-CN"/>
        </w:rPr>
        <w:t>5</w:t>
      </w:r>
      <w:r>
        <w:rPr>
          <w:rFonts w:hint="default" w:ascii="Times New Roman" w:hAnsi="Times New Roman" w:eastAsia="宋体" w:cs="Times New Roman"/>
          <w:color w:val="auto"/>
          <w:highlight w:val="none"/>
          <w:u w:val="none" w:color="auto"/>
        </w:rPr>
        <w:t xml:space="preserve"> </w:t>
      </w:r>
      <w:r>
        <w:rPr>
          <w:rFonts w:hint="default" w:ascii="Times New Roman" w:hAnsi="Times New Roman" w:eastAsia="宋体" w:cs="Times New Roman"/>
          <w:color w:val="auto"/>
          <w:sz w:val="36"/>
          <w:szCs w:val="36"/>
          <w:highlight w:val="none"/>
          <w:u w:val="none" w:color="auto"/>
        </w:rPr>
        <w:t>环境影响预测与评价</w:t>
      </w:r>
      <w:bookmarkEnd w:id="363"/>
      <w:bookmarkEnd w:id="424"/>
      <w:bookmarkEnd w:id="425"/>
      <w:bookmarkEnd w:id="426"/>
      <w:bookmarkEnd w:id="427"/>
      <w:bookmarkEnd w:id="428"/>
      <w:bookmarkEnd w:id="429"/>
      <w:bookmarkEnd w:id="430"/>
      <w:bookmarkEnd w:id="431"/>
      <w:bookmarkEnd w:id="432"/>
      <w:bookmarkEnd w:id="433"/>
      <w:bookmarkEnd w:id="434"/>
      <w:bookmarkEnd w:id="435"/>
    </w:p>
    <w:p w14:paraId="01D5946C">
      <w:pPr>
        <w:pStyle w:val="3"/>
        <w:pageBreakBefore w:val="0"/>
        <w:widowControl w:val="0"/>
        <w:numPr>
          <w:ilvl w:val="0"/>
          <w:numId w:val="0"/>
        </w:numPr>
        <w:kinsoku/>
        <w:topLinePunct w:val="0"/>
        <w:bidi w:val="0"/>
        <w:snapToGrid w:val="0"/>
        <w:spacing w:before="0" w:beforeLines="0" w:after="0" w:afterLines="0" w:line="360" w:lineRule="auto"/>
        <w:rPr>
          <w:rFonts w:hint="default" w:ascii="Times New Roman" w:hAnsi="Times New Roman" w:eastAsia="宋体" w:cs="Times New Roman"/>
          <w:color w:val="auto"/>
          <w:sz w:val="30"/>
          <w:szCs w:val="30"/>
          <w:highlight w:val="none"/>
          <w:u w:val="none" w:color="auto"/>
          <w:lang w:val="en-US"/>
        </w:rPr>
      </w:pPr>
      <w:bookmarkStart w:id="436" w:name="_bookmark40"/>
      <w:bookmarkEnd w:id="436"/>
      <w:bookmarkStart w:id="437" w:name="_Toc28696"/>
      <w:bookmarkStart w:id="438" w:name="_Toc3518"/>
      <w:bookmarkStart w:id="439" w:name="_Toc5126"/>
      <w:bookmarkStart w:id="440" w:name="_Toc29388"/>
      <w:bookmarkStart w:id="441" w:name="_Toc6700"/>
      <w:bookmarkStart w:id="442" w:name="_Toc8969"/>
      <w:bookmarkStart w:id="443" w:name="_Toc795"/>
      <w:bookmarkStart w:id="444" w:name="_Toc20984"/>
      <w:bookmarkStart w:id="445" w:name="_Toc21937"/>
      <w:bookmarkStart w:id="446" w:name="_Toc11260"/>
      <w:bookmarkStart w:id="447" w:name="_Toc18793"/>
      <w:bookmarkStart w:id="448" w:name="_Toc29006"/>
      <w:bookmarkStart w:id="449" w:name="_Toc11705"/>
      <w:r>
        <w:rPr>
          <w:rFonts w:hint="eastAsia" w:ascii="Times New Roman" w:hAnsi="Times New Roman" w:eastAsia="宋体" w:cs="Times New Roman"/>
          <w:color w:val="auto"/>
          <w:sz w:val="30"/>
          <w:szCs w:val="30"/>
          <w:highlight w:val="none"/>
          <w:u w:val="none" w:color="auto"/>
          <w:lang w:val="en-US" w:eastAsia="zh-CN"/>
        </w:rPr>
        <w:t>5</w:t>
      </w:r>
      <w:r>
        <w:rPr>
          <w:rFonts w:hint="default" w:ascii="Times New Roman" w:hAnsi="Times New Roman" w:eastAsia="宋体" w:cs="Times New Roman"/>
          <w:color w:val="auto"/>
          <w:sz w:val="30"/>
          <w:szCs w:val="30"/>
          <w:highlight w:val="none"/>
          <w:u w:val="none" w:color="auto"/>
          <w:lang w:val="en-US"/>
        </w:rPr>
        <w:t>.1施工期环境影响分析</w:t>
      </w:r>
      <w:bookmarkEnd w:id="437"/>
      <w:bookmarkEnd w:id="438"/>
      <w:bookmarkEnd w:id="439"/>
    </w:p>
    <w:bookmarkEnd w:id="440"/>
    <w:bookmarkEnd w:id="441"/>
    <w:bookmarkEnd w:id="442"/>
    <w:bookmarkEnd w:id="443"/>
    <w:bookmarkEnd w:id="444"/>
    <w:bookmarkEnd w:id="445"/>
    <w:bookmarkEnd w:id="446"/>
    <w:bookmarkEnd w:id="447"/>
    <w:bookmarkEnd w:id="448"/>
    <w:bookmarkEnd w:id="449"/>
    <w:p w14:paraId="523E8B8B">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5.1.1大气环境影响分析</w:t>
      </w:r>
    </w:p>
    <w:p w14:paraId="0FC3D284">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施工期产生的大气环境污染物主要来源：废渣清挖和填埋扬尘、装卸料扬尘、取土场开挖扬尘、车辆运输扬尘、车辆和机械燃油尾气等。</w:t>
      </w:r>
    </w:p>
    <w:p w14:paraId="6C01FA26">
      <w:pPr>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（1）扬尘</w:t>
      </w:r>
    </w:p>
    <w:p w14:paraId="227D8B48">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施工场地内扬尘量的大小与诸多因素有关，它对环境的影响是一个复杂且较难定量的问题。而且施工作业面会发生变化，而非固定污染源。因此，本评价采用类比法，利用已有的施工场地实测资料对环境空气的影响进行分析。</w:t>
      </w:r>
    </w:p>
    <w:p w14:paraId="1839F909">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据北京市环境保护科学研究院在北京地区对多个建筑工程施工工地的扬尘情况进行测定：当风速为2.4m/s时，工地内TSP浓度为上风向对照点的1.5~2.3倍，平均1.88倍；扬尘的影响区域为其下风向100m之内，TSP浓度为上风向对照点的1.4~2.5倍，平均1.5倍。为了用定量的方法说明本项目施工场地扬尘对周围环境的影响程度，应用上述资料推算出施工场地内和下风向100m区域内的TSP浓度，结果见表5.1-1。应当指出：表5.1-1中的预测值并非施工扬尘对环境空气的实际贡献值，而只用以说明其对周围环境的污染影响程度。从表5.1-1可知，施工场地扬尘对场地内的污染比下风向更严重，但扬尘影响的范围较小，在风速2.4m/s时，这一污染影响春秋季大于冬夏季。</w:t>
      </w:r>
    </w:p>
    <w:p w14:paraId="02BD740D">
      <w:pPr>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表5.1-1  施工扬尘TSP影响情况一览表    单位：mg/m</w:t>
      </w:r>
      <w:r>
        <w:rPr>
          <w:rFonts w:hint="default" w:ascii="Times New Roman" w:hAnsi="Times New Roman" w:cs="Times New Roman"/>
          <w:b/>
          <w:bCs/>
          <w:sz w:val="21"/>
          <w:szCs w:val="21"/>
          <w:highlight w:val="none"/>
          <w:vertAlign w:val="superscript"/>
          <w:lang w:val="en-US" w:eastAsia="zh-CN"/>
        </w:rPr>
        <w:t>3</w:t>
      </w:r>
    </w:p>
    <w:tbl>
      <w:tblPr>
        <w:tblStyle w:val="46"/>
        <w:tblW w:w="502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605"/>
        <w:gridCol w:w="1065"/>
        <w:gridCol w:w="1068"/>
        <w:gridCol w:w="1068"/>
        <w:gridCol w:w="1070"/>
        <w:gridCol w:w="1068"/>
        <w:gridCol w:w="1068"/>
        <w:gridCol w:w="1068"/>
        <w:gridCol w:w="1077"/>
      </w:tblGrid>
      <w:tr w14:paraId="1CFEFE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0" w:hRule="atLeast"/>
          <w:tblHeader/>
          <w:jc w:val="center"/>
        </w:trPr>
        <w:tc>
          <w:tcPr>
            <w:tcW w:w="331" w:type="pct"/>
            <w:vMerge w:val="restart"/>
            <w:noWrap w:val="0"/>
            <w:vAlign w:val="center"/>
          </w:tcPr>
          <w:p w14:paraId="1C84B9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时间</w:t>
            </w:r>
          </w:p>
        </w:tc>
        <w:tc>
          <w:tcPr>
            <w:tcW w:w="2332" w:type="pct"/>
            <w:gridSpan w:val="4"/>
            <w:noWrap w:val="0"/>
            <w:vAlign w:val="center"/>
          </w:tcPr>
          <w:p w14:paraId="10F96C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施工现场</w:t>
            </w:r>
          </w:p>
        </w:tc>
        <w:tc>
          <w:tcPr>
            <w:tcW w:w="2336" w:type="pct"/>
            <w:gridSpan w:val="4"/>
            <w:noWrap w:val="0"/>
            <w:vAlign w:val="center"/>
          </w:tcPr>
          <w:p w14:paraId="116AA4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影响区域（下风向100m）</w:t>
            </w:r>
          </w:p>
        </w:tc>
      </w:tr>
      <w:tr w14:paraId="38872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0" w:hRule="atLeast"/>
          <w:tblHeader/>
          <w:jc w:val="center"/>
        </w:trPr>
        <w:tc>
          <w:tcPr>
            <w:tcW w:w="331" w:type="pct"/>
            <w:vMerge w:val="continue"/>
            <w:noWrap w:val="0"/>
            <w:vAlign w:val="center"/>
          </w:tcPr>
          <w:p w14:paraId="2E4831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p>
        </w:tc>
        <w:tc>
          <w:tcPr>
            <w:tcW w:w="582" w:type="pct"/>
            <w:noWrap w:val="0"/>
            <w:vAlign w:val="center"/>
          </w:tcPr>
          <w:p w14:paraId="384B9C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对照点最大值</w:t>
            </w:r>
          </w:p>
        </w:tc>
        <w:tc>
          <w:tcPr>
            <w:tcW w:w="583" w:type="pct"/>
            <w:noWrap w:val="0"/>
            <w:vAlign w:val="center"/>
          </w:tcPr>
          <w:p w14:paraId="14B563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最大超标倍数</w:t>
            </w:r>
          </w:p>
        </w:tc>
        <w:tc>
          <w:tcPr>
            <w:tcW w:w="583" w:type="pct"/>
            <w:noWrap w:val="0"/>
            <w:vAlign w:val="center"/>
          </w:tcPr>
          <w:p w14:paraId="26CABB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最大预测值</w:t>
            </w:r>
          </w:p>
        </w:tc>
        <w:tc>
          <w:tcPr>
            <w:tcW w:w="583" w:type="pct"/>
            <w:noWrap w:val="0"/>
            <w:vAlign w:val="center"/>
          </w:tcPr>
          <w:p w14:paraId="5AB87C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最大超标倍数</w:t>
            </w:r>
          </w:p>
        </w:tc>
        <w:tc>
          <w:tcPr>
            <w:tcW w:w="583" w:type="pct"/>
            <w:noWrap w:val="0"/>
            <w:vAlign w:val="center"/>
          </w:tcPr>
          <w:p w14:paraId="715F56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对照点最大值</w:t>
            </w:r>
          </w:p>
        </w:tc>
        <w:tc>
          <w:tcPr>
            <w:tcW w:w="583" w:type="pct"/>
            <w:noWrap w:val="0"/>
            <w:vAlign w:val="center"/>
          </w:tcPr>
          <w:p w14:paraId="078364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最大超标倍数</w:t>
            </w:r>
          </w:p>
        </w:tc>
        <w:tc>
          <w:tcPr>
            <w:tcW w:w="583" w:type="pct"/>
            <w:noWrap w:val="0"/>
            <w:vAlign w:val="center"/>
          </w:tcPr>
          <w:p w14:paraId="0C1057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最大预测值</w:t>
            </w:r>
          </w:p>
        </w:tc>
        <w:tc>
          <w:tcPr>
            <w:tcW w:w="587" w:type="pct"/>
            <w:noWrap w:val="0"/>
            <w:vAlign w:val="center"/>
          </w:tcPr>
          <w:p w14:paraId="2F5A6F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最大超标倍数</w:t>
            </w:r>
          </w:p>
        </w:tc>
      </w:tr>
      <w:tr w14:paraId="3DD3E4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331" w:type="pct"/>
            <w:noWrap w:val="0"/>
            <w:vAlign w:val="center"/>
          </w:tcPr>
          <w:p w14:paraId="23D105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春</w:t>
            </w:r>
          </w:p>
        </w:tc>
        <w:tc>
          <w:tcPr>
            <w:tcW w:w="582" w:type="pct"/>
            <w:noWrap w:val="0"/>
            <w:vAlign w:val="center"/>
          </w:tcPr>
          <w:p w14:paraId="30AB04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0.59</w:t>
            </w:r>
          </w:p>
        </w:tc>
        <w:tc>
          <w:tcPr>
            <w:tcW w:w="583" w:type="pct"/>
            <w:noWrap w:val="0"/>
            <w:vAlign w:val="center"/>
          </w:tcPr>
          <w:p w14:paraId="0B4AD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0.97</w:t>
            </w:r>
          </w:p>
        </w:tc>
        <w:tc>
          <w:tcPr>
            <w:tcW w:w="583" w:type="pct"/>
            <w:noWrap w:val="0"/>
            <w:vAlign w:val="center"/>
          </w:tcPr>
          <w:p w14:paraId="60D0E6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1.11</w:t>
            </w:r>
          </w:p>
        </w:tc>
        <w:tc>
          <w:tcPr>
            <w:tcW w:w="583" w:type="pct"/>
            <w:noWrap w:val="0"/>
            <w:vAlign w:val="center"/>
          </w:tcPr>
          <w:p w14:paraId="6BE6F4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2.70</w:t>
            </w:r>
          </w:p>
        </w:tc>
        <w:tc>
          <w:tcPr>
            <w:tcW w:w="583" w:type="pct"/>
            <w:noWrap w:val="0"/>
            <w:vAlign w:val="center"/>
          </w:tcPr>
          <w:p w14:paraId="1A18E5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0.59</w:t>
            </w:r>
          </w:p>
        </w:tc>
        <w:tc>
          <w:tcPr>
            <w:tcW w:w="583" w:type="pct"/>
            <w:noWrap w:val="0"/>
            <w:vAlign w:val="center"/>
          </w:tcPr>
          <w:p w14:paraId="4BE549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0.97</w:t>
            </w:r>
          </w:p>
        </w:tc>
        <w:tc>
          <w:tcPr>
            <w:tcW w:w="583" w:type="pct"/>
            <w:noWrap w:val="0"/>
            <w:vAlign w:val="center"/>
          </w:tcPr>
          <w:p w14:paraId="358DA1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0.89</w:t>
            </w:r>
          </w:p>
        </w:tc>
        <w:tc>
          <w:tcPr>
            <w:tcW w:w="587" w:type="pct"/>
            <w:noWrap w:val="0"/>
            <w:vAlign w:val="center"/>
          </w:tcPr>
          <w:p w14:paraId="527B0E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1.96</w:t>
            </w:r>
          </w:p>
        </w:tc>
      </w:tr>
      <w:tr w14:paraId="734108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331" w:type="pct"/>
            <w:noWrap w:val="0"/>
            <w:vAlign w:val="center"/>
          </w:tcPr>
          <w:p w14:paraId="53F7D6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夏</w:t>
            </w:r>
          </w:p>
        </w:tc>
        <w:tc>
          <w:tcPr>
            <w:tcW w:w="582" w:type="pct"/>
            <w:noWrap w:val="0"/>
            <w:vAlign w:val="center"/>
          </w:tcPr>
          <w:p w14:paraId="09CD30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0.40</w:t>
            </w:r>
          </w:p>
        </w:tc>
        <w:tc>
          <w:tcPr>
            <w:tcW w:w="583" w:type="pct"/>
            <w:noWrap w:val="0"/>
            <w:vAlign w:val="center"/>
          </w:tcPr>
          <w:p w14:paraId="291B43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0.33</w:t>
            </w:r>
          </w:p>
        </w:tc>
        <w:tc>
          <w:tcPr>
            <w:tcW w:w="583" w:type="pct"/>
            <w:noWrap w:val="0"/>
            <w:vAlign w:val="center"/>
          </w:tcPr>
          <w:p w14:paraId="4CC8E5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0.75</w:t>
            </w:r>
          </w:p>
        </w:tc>
        <w:tc>
          <w:tcPr>
            <w:tcW w:w="583" w:type="pct"/>
            <w:noWrap w:val="0"/>
            <w:vAlign w:val="center"/>
          </w:tcPr>
          <w:p w14:paraId="62486B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1.50</w:t>
            </w:r>
          </w:p>
        </w:tc>
        <w:tc>
          <w:tcPr>
            <w:tcW w:w="583" w:type="pct"/>
            <w:noWrap w:val="0"/>
            <w:vAlign w:val="center"/>
          </w:tcPr>
          <w:p w14:paraId="6180A5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0.40</w:t>
            </w:r>
          </w:p>
        </w:tc>
        <w:tc>
          <w:tcPr>
            <w:tcW w:w="583" w:type="pct"/>
            <w:noWrap w:val="0"/>
            <w:vAlign w:val="center"/>
          </w:tcPr>
          <w:p w14:paraId="0D86A4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0.33</w:t>
            </w:r>
          </w:p>
        </w:tc>
        <w:tc>
          <w:tcPr>
            <w:tcW w:w="583" w:type="pct"/>
            <w:noWrap w:val="0"/>
            <w:vAlign w:val="center"/>
          </w:tcPr>
          <w:p w14:paraId="258F03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0.60</w:t>
            </w:r>
          </w:p>
        </w:tc>
        <w:tc>
          <w:tcPr>
            <w:tcW w:w="587" w:type="pct"/>
            <w:noWrap w:val="0"/>
            <w:vAlign w:val="center"/>
          </w:tcPr>
          <w:p w14:paraId="15D3A0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1.00</w:t>
            </w:r>
          </w:p>
        </w:tc>
      </w:tr>
      <w:tr w14:paraId="03F12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331" w:type="pct"/>
            <w:noWrap w:val="0"/>
            <w:vAlign w:val="center"/>
          </w:tcPr>
          <w:p w14:paraId="157B73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秋</w:t>
            </w:r>
          </w:p>
        </w:tc>
        <w:tc>
          <w:tcPr>
            <w:tcW w:w="582" w:type="pct"/>
            <w:noWrap w:val="0"/>
            <w:vAlign w:val="center"/>
          </w:tcPr>
          <w:p w14:paraId="3C323D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0.88</w:t>
            </w:r>
          </w:p>
        </w:tc>
        <w:tc>
          <w:tcPr>
            <w:tcW w:w="583" w:type="pct"/>
            <w:noWrap w:val="0"/>
            <w:vAlign w:val="center"/>
          </w:tcPr>
          <w:p w14:paraId="536FB0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1.93</w:t>
            </w:r>
          </w:p>
        </w:tc>
        <w:tc>
          <w:tcPr>
            <w:tcW w:w="583" w:type="pct"/>
            <w:noWrap w:val="0"/>
            <w:vAlign w:val="center"/>
          </w:tcPr>
          <w:p w14:paraId="0EE884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1.65</w:t>
            </w:r>
          </w:p>
        </w:tc>
        <w:tc>
          <w:tcPr>
            <w:tcW w:w="583" w:type="pct"/>
            <w:noWrap w:val="0"/>
            <w:vAlign w:val="center"/>
          </w:tcPr>
          <w:p w14:paraId="194DA2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4.5</w:t>
            </w:r>
          </w:p>
        </w:tc>
        <w:tc>
          <w:tcPr>
            <w:tcW w:w="583" w:type="pct"/>
            <w:noWrap w:val="0"/>
            <w:vAlign w:val="center"/>
          </w:tcPr>
          <w:p w14:paraId="208ED5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0.88</w:t>
            </w:r>
          </w:p>
        </w:tc>
        <w:tc>
          <w:tcPr>
            <w:tcW w:w="583" w:type="pct"/>
            <w:noWrap w:val="0"/>
            <w:vAlign w:val="center"/>
          </w:tcPr>
          <w:p w14:paraId="4166C3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1.93</w:t>
            </w:r>
          </w:p>
        </w:tc>
        <w:tc>
          <w:tcPr>
            <w:tcW w:w="583" w:type="pct"/>
            <w:noWrap w:val="0"/>
            <w:vAlign w:val="center"/>
          </w:tcPr>
          <w:p w14:paraId="16A34D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1.32</w:t>
            </w:r>
          </w:p>
        </w:tc>
        <w:tc>
          <w:tcPr>
            <w:tcW w:w="587" w:type="pct"/>
            <w:noWrap w:val="0"/>
            <w:vAlign w:val="center"/>
          </w:tcPr>
          <w:p w14:paraId="55C3E0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3.40</w:t>
            </w:r>
          </w:p>
        </w:tc>
      </w:tr>
      <w:tr w14:paraId="5B4361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331" w:type="pct"/>
            <w:noWrap w:val="0"/>
            <w:vAlign w:val="center"/>
          </w:tcPr>
          <w:p w14:paraId="48C3FA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冬</w:t>
            </w:r>
          </w:p>
        </w:tc>
        <w:tc>
          <w:tcPr>
            <w:tcW w:w="582" w:type="pct"/>
            <w:noWrap w:val="0"/>
            <w:vAlign w:val="center"/>
          </w:tcPr>
          <w:p w14:paraId="5E614C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0.49</w:t>
            </w:r>
          </w:p>
        </w:tc>
        <w:tc>
          <w:tcPr>
            <w:tcW w:w="583" w:type="pct"/>
            <w:noWrap w:val="0"/>
            <w:vAlign w:val="center"/>
          </w:tcPr>
          <w:p w14:paraId="3C8883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0.63</w:t>
            </w:r>
          </w:p>
        </w:tc>
        <w:tc>
          <w:tcPr>
            <w:tcW w:w="583" w:type="pct"/>
            <w:noWrap w:val="0"/>
            <w:vAlign w:val="center"/>
          </w:tcPr>
          <w:p w14:paraId="08ECCB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0.92</w:t>
            </w:r>
          </w:p>
        </w:tc>
        <w:tc>
          <w:tcPr>
            <w:tcW w:w="583" w:type="pct"/>
            <w:noWrap w:val="0"/>
            <w:vAlign w:val="center"/>
          </w:tcPr>
          <w:p w14:paraId="3A220D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2.07</w:t>
            </w:r>
          </w:p>
        </w:tc>
        <w:tc>
          <w:tcPr>
            <w:tcW w:w="583" w:type="pct"/>
            <w:noWrap w:val="0"/>
            <w:vAlign w:val="center"/>
          </w:tcPr>
          <w:p w14:paraId="4DA75E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0.49</w:t>
            </w:r>
          </w:p>
        </w:tc>
        <w:tc>
          <w:tcPr>
            <w:tcW w:w="583" w:type="pct"/>
            <w:noWrap w:val="0"/>
            <w:vAlign w:val="center"/>
          </w:tcPr>
          <w:p w14:paraId="34A38B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0.63</w:t>
            </w:r>
          </w:p>
        </w:tc>
        <w:tc>
          <w:tcPr>
            <w:tcW w:w="583" w:type="pct"/>
            <w:noWrap w:val="0"/>
            <w:vAlign w:val="center"/>
          </w:tcPr>
          <w:p w14:paraId="0C3963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0.74</w:t>
            </w:r>
          </w:p>
        </w:tc>
        <w:tc>
          <w:tcPr>
            <w:tcW w:w="587" w:type="pct"/>
            <w:noWrap w:val="0"/>
            <w:vAlign w:val="center"/>
          </w:tcPr>
          <w:p w14:paraId="0A2A33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1.46</w:t>
            </w:r>
          </w:p>
        </w:tc>
      </w:tr>
      <w:tr w14:paraId="73912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5000" w:type="pct"/>
            <w:gridSpan w:val="9"/>
            <w:noWrap w:val="0"/>
            <w:vAlign w:val="center"/>
          </w:tcPr>
          <w:p w14:paraId="70C8A88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sz w:val="21"/>
                <w:szCs w:val="21"/>
                <w:highlight w:val="none"/>
                <w:lang w:val="en-US" w:eastAsia="zh-CN"/>
              </w:rPr>
            </w:pPr>
            <w:r>
              <w:rPr>
                <w:rFonts w:hint="eastAsia"/>
                <w:sz w:val="21"/>
                <w:szCs w:val="21"/>
                <w:highlight w:val="none"/>
                <w:lang w:val="en-US" w:eastAsia="zh-CN"/>
              </w:rPr>
              <w:t>*预测值：关系倍数与对照点浓度值相乘所得。</w:t>
            </w:r>
          </w:p>
        </w:tc>
      </w:tr>
    </w:tbl>
    <w:p w14:paraId="1A0F6A99">
      <w:pPr>
        <w:rPr>
          <w:rFonts w:hint="eastAsia"/>
          <w:sz w:val="24"/>
          <w:szCs w:val="24"/>
          <w:highlight w:val="none"/>
          <w:lang w:val="en-US" w:eastAsia="zh-CN"/>
        </w:rPr>
      </w:pPr>
      <w:r>
        <w:rPr>
          <w:rFonts w:hint="eastAsia"/>
          <w:sz w:val="24"/>
          <w:szCs w:val="24"/>
          <w:highlight w:val="none"/>
          <w:lang w:val="en-US" w:eastAsia="zh-CN"/>
        </w:rPr>
        <w:t>扬尘的产生量与施工队的文明作业程度和管理水平密切相关，扬尘量也受当时的风速、湿度、温度等气象要素影响。一般情况下，施工工地、施工道路在自然风作用下产生的扬尘所影响的范围在100m以内。在治理期间对车辆行驶的路面实施洒水抑尘，每天洒水4~5次，可使扬尘减少70%左右，表5.1-2为施工场地洒水抑尘的试验结果。</w:t>
      </w:r>
    </w:p>
    <w:p w14:paraId="5DDD38BF">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表5.1-2  施工场地洒水抑尘试验结果</w:t>
      </w:r>
    </w:p>
    <w:tbl>
      <w:tblPr>
        <w:tblStyle w:val="4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84"/>
        <w:gridCol w:w="1675"/>
        <w:gridCol w:w="1275"/>
        <w:gridCol w:w="1151"/>
        <w:gridCol w:w="1151"/>
        <w:gridCol w:w="1152"/>
      </w:tblGrid>
      <w:tr w14:paraId="22C56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53" w:type="pct"/>
            <w:gridSpan w:val="2"/>
            <w:tcBorders>
              <w:bottom w:val="single" w:color="auto" w:sz="4" w:space="0"/>
              <w:right w:val="single" w:color="auto" w:sz="4" w:space="0"/>
            </w:tcBorders>
            <w:noWrap w:val="0"/>
            <w:vAlign w:val="center"/>
          </w:tcPr>
          <w:p w14:paraId="1518B7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距离（m）</w:t>
            </w:r>
          </w:p>
        </w:tc>
        <w:tc>
          <w:tcPr>
            <w:tcW w:w="686" w:type="pct"/>
            <w:tcBorders>
              <w:left w:val="single" w:color="auto" w:sz="4" w:space="0"/>
              <w:bottom w:val="single" w:color="auto" w:sz="4" w:space="0"/>
              <w:right w:val="single" w:color="auto" w:sz="4" w:space="0"/>
            </w:tcBorders>
            <w:noWrap w:val="0"/>
            <w:vAlign w:val="center"/>
          </w:tcPr>
          <w:p w14:paraId="7FFB2D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5</w:t>
            </w:r>
          </w:p>
        </w:tc>
        <w:tc>
          <w:tcPr>
            <w:tcW w:w="619" w:type="pct"/>
            <w:tcBorders>
              <w:left w:val="single" w:color="auto" w:sz="4" w:space="0"/>
              <w:bottom w:val="single" w:color="auto" w:sz="4" w:space="0"/>
              <w:right w:val="single" w:color="auto" w:sz="4" w:space="0"/>
            </w:tcBorders>
            <w:noWrap w:val="0"/>
            <w:vAlign w:val="center"/>
          </w:tcPr>
          <w:p w14:paraId="428891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20</w:t>
            </w:r>
          </w:p>
        </w:tc>
        <w:tc>
          <w:tcPr>
            <w:tcW w:w="619" w:type="pct"/>
            <w:tcBorders>
              <w:left w:val="single" w:color="auto" w:sz="4" w:space="0"/>
              <w:bottom w:val="single" w:color="auto" w:sz="4" w:space="0"/>
              <w:right w:val="single" w:color="auto" w:sz="4" w:space="0"/>
            </w:tcBorders>
            <w:noWrap w:val="0"/>
            <w:vAlign w:val="center"/>
          </w:tcPr>
          <w:p w14:paraId="26B1D6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50</w:t>
            </w:r>
          </w:p>
        </w:tc>
        <w:tc>
          <w:tcPr>
            <w:tcW w:w="620" w:type="pct"/>
            <w:tcBorders>
              <w:left w:val="single" w:color="auto" w:sz="4" w:space="0"/>
              <w:bottom w:val="single" w:color="auto" w:sz="4" w:space="0"/>
            </w:tcBorders>
            <w:noWrap w:val="0"/>
            <w:vAlign w:val="center"/>
          </w:tcPr>
          <w:p w14:paraId="002415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100</w:t>
            </w:r>
          </w:p>
        </w:tc>
      </w:tr>
      <w:tr w14:paraId="634686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52" w:type="pct"/>
            <w:vMerge w:val="restart"/>
            <w:tcBorders>
              <w:top w:val="single" w:color="auto" w:sz="4" w:space="0"/>
              <w:bottom w:val="single" w:color="auto" w:sz="4" w:space="0"/>
              <w:right w:val="single" w:color="auto" w:sz="4" w:space="0"/>
            </w:tcBorders>
            <w:noWrap w:val="0"/>
            <w:vAlign w:val="center"/>
          </w:tcPr>
          <w:p w14:paraId="44DA27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TSP小时平均浓度（mg/m</w:t>
            </w:r>
            <w:r>
              <w:rPr>
                <w:rFonts w:hint="eastAsia"/>
                <w:sz w:val="21"/>
                <w:szCs w:val="21"/>
                <w:highlight w:val="none"/>
                <w:vertAlign w:val="superscript"/>
                <w:lang w:val="en-US" w:eastAsia="zh-CN"/>
              </w:rPr>
              <w:t>3</w:t>
            </w:r>
            <w:r>
              <w:rPr>
                <w:rFonts w:hint="eastAsia"/>
                <w:sz w:val="21"/>
                <w:szCs w:val="21"/>
                <w:highlight w:val="none"/>
                <w:lang w:val="en-US" w:eastAsia="zh-CN"/>
              </w:rPr>
              <w:t>）</w:t>
            </w:r>
          </w:p>
        </w:tc>
        <w:tc>
          <w:tcPr>
            <w:tcW w:w="900" w:type="pct"/>
            <w:tcBorders>
              <w:top w:val="single" w:color="auto" w:sz="4" w:space="0"/>
              <w:left w:val="single" w:color="auto" w:sz="4" w:space="0"/>
              <w:bottom w:val="single" w:color="auto" w:sz="4" w:space="0"/>
              <w:right w:val="single" w:color="auto" w:sz="4" w:space="0"/>
            </w:tcBorders>
            <w:noWrap w:val="0"/>
            <w:vAlign w:val="center"/>
          </w:tcPr>
          <w:p w14:paraId="19DE11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不洒水</w:t>
            </w:r>
          </w:p>
        </w:tc>
        <w:tc>
          <w:tcPr>
            <w:tcW w:w="686" w:type="pct"/>
            <w:tcBorders>
              <w:top w:val="single" w:color="auto" w:sz="4" w:space="0"/>
              <w:left w:val="single" w:color="auto" w:sz="4" w:space="0"/>
              <w:bottom w:val="single" w:color="auto" w:sz="4" w:space="0"/>
              <w:right w:val="single" w:color="auto" w:sz="4" w:space="0"/>
            </w:tcBorders>
            <w:noWrap w:val="0"/>
            <w:vAlign w:val="center"/>
          </w:tcPr>
          <w:p w14:paraId="4D5FD0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10.14</w:t>
            </w:r>
          </w:p>
        </w:tc>
        <w:tc>
          <w:tcPr>
            <w:tcW w:w="619" w:type="pct"/>
            <w:tcBorders>
              <w:top w:val="single" w:color="auto" w:sz="4" w:space="0"/>
              <w:left w:val="single" w:color="auto" w:sz="4" w:space="0"/>
              <w:bottom w:val="single" w:color="auto" w:sz="4" w:space="0"/>
              <w:right w:val="single" w:color="auto" w:sz="4" w:space="0"/>
            </w:tcBorders>
            <w:noWrap w:val="0"/>
            <w:vAlign w:val="center"/>
          </w:tcPr>
          <w:p w14:paraId="07D050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2.89</w:t>
            </w:r>
          </w:p>
        </w:tc>
        <w:tc>
          <w:tcPr>
            <w:tcW w:w="619" w:type="pct"/>
            <w:tcBorders>
              <w:top w:val="single" w:color="auto" w:sz="4" w:space="0"/>
              <w:left w:val="single" w:color="auto" w:sz="4" w:space="0"/>
              <w:bottom w:val="single" w:color="auto" w:sz="4" w:space="0"/>
              <w:right w:val="single" w:color="auto" w:sz="4" w:space="0"/>
            </w:tcBorders>
            <w:noWrap w:val="0"/>
            <w:vAlign w:val="center"/>
          </w:tcPr>
          <w:p w14:paraId="06F2A0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1.15</w:t>
            </w:r>
          </w:p>
        </w:tc>
        <w:tc>
          <w:tcPr>
            <w:tcW w:w="620" w:type="pct"/>
            <w:tcBorders>
              <w:top w:val="single" w:color="auto" w:sz="4" w:space="0"/>
              <w:left w:val="single" w:color="auto" w:sz="4" w:space="0"/>
              <w:bottom w:val="single" w:color="auto" w:sz="4" w:space="0"/>
            </w:tcBorders>
            <w:noWrap w:val="0"/>
            <w:vAlign w:val="center"/>
          </w:tcPr>
          <w:p w14:paraId="6A10DF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0.86</w:t>
            </w:r>
          </w:p>
        </w:tc>
      </w:tr>
      <w:tr w14:paraId="3E08E3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52" w:type="pct"/>
            <w:vMerge w:val="continue"/>
            <w:tcBorders>
              <w:top w:val="single" w:color="auto" w:sz="4" w:space="0"/>
              <w:right w:val="single" w:color="auto" w:sz="4" w:space="0"/>
            </w:tcBorders>
            <w:noWrap w:val="0"/>
            <w:vAlign w:val="center"/>
          </w:tcPr>
          <w:p w14:paraId="7DE403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900" w:type="pct"/>
            <w:tcBorders>
              <w:top w:val="single" w:color="auto" w:sz="4" w:space="0"/>
              <w:left w:val="single" w:color="auto" w:sz="4" w:space="0"/>
              <w:right w:val="single" w:color="auto" w:sz="4" w:space="0"/>
            </w:tcBorders>
            <w:noWrap w:val="0"/>
            <w:vAlign w:val="center"/>
          </w:tcPr>
          <w:p w14:paraId="537775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洒水</w:t>
            </w:r>
          </w:p>
        </w:tc>
        <w:tc>
          <w:tcPr>
            <w:tcW w:w="686" w:type="pct"/>
            <w:tcBorders>
              <w:top w:val="single" w:color="auto" w:sz="4" w:space="0"/>
              <w:left w:val="single" w:color="auto" w:sz="4" w:space="0"/>
              <w:right w:val="single" w:color="auto" w:sz="4" w:space="0"/>
            </w:tcBorders>
            <w:noWrap w:val="0"/>
            <w:vAlign w:val="center"/>
          </w:tcPr>
          <w:p w14:paraId="43DD2E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2.01</w:t>
            </w:r>
          </w:p>
        </w:tc>
        <w:tc>
          <w:tcPr>
            <w:tcW w:w="619" w:type="pct"/>
            <w:tcBorders>
              <w:top w:val="single" w:color="auto" w:sz="4" w:space="0"/>
              <w:left w:val="single" w:color="auto" w:sz="4" w:space="0"/>
              <w:right w:val="single" w:color="auto" w:sz="4" w:space="0"/>
            </w:tcBorders>
            <w:noWrap w:val="0"/>
            <w:vAlign w:val="center"/>
          </w:tcPr>
          <w:p w14:paraId="4ADFCC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1.4</w:t>
            </w:r>
          </w:p>
        </w:tc>
        <w:tc>
          <w:tcPr>
            <w:tcW w:w="619" w:type="pct"/>
            <w:tcBorders>
              <w:top w:val="single" w:color="auto" w:sz="4" w:space="0"/>
              <w:left w:val="single" w:color="auto" w:sz="4" w:space="0"/>
              <w:right w:val="single" w:color="auto" w:sz="4" w:space="0"/>
            </w:tcBorders>
            <w:noWrap w:val="0"/>
            <w:vAlign w:val="center"/>
          </w:tcPr>
          <w:p w14:paraId="1A068A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0.67</w:t>
            </w:r>
          </w:p>
        </w:tc>
        <w:tc>
          <w:tcPr>
            <w:tcW w:w="620" w:type="pct"/>
            <w:tcBorders>
              <w:top w:val="single" w:color="auto" w:sz="4" w:space="0"/>
              <w:left w:val="single" w:color="auto" w:sz="4" w:space="0"/>
            </w:tcBorders>
            <w:noWrap w:val="0"/>
            <w:vAlign w:val="center"/>
          </w:tcPr>
          <w:p w14:paraId="1E6BEA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0.60</w:t>
            </w:r>
          </w:p>
        </w:tc>
      </w:tr>
    </w:tbl>
    <w:p w14:paraId="2AE429DE">
      <w:pPr>
        <w:rPr>
          <w:rFonts w:hint="eastAsia"/>
          <w:sz w:val="24"/>
          <w:szCs w:val="24"/>
          <w:highlight w:val="none"/>
          <w:lang w:val="en-US" w:eastAsia="zh-CN"/>
        </w:rPr>
      </w:pPr>
      <w:r>
        <w:rPr>
          <w:rFonts w:hint="eastAsia"/>
          <w:sz w:val="24"/>
          <w:szCs w:val="24"/>
          <w:highlight w:val="none"/>
          <w:lang w:val="en-US" w:eastAsia="zh-CN"/>
        </w:rPr>
        <w:t>可见每天对施工场地及道路洒水4~5次进行抑尘，可有效地控制施工扬尘，并且可将TSP的污染距离缩小到20~50m范围，最大限度地降低对施工场地周围居民的影响。另项目施工期间需对取土场设置不低于1.8m高的围挡，同时对填埋场施工区域进行洒水抑尘，以减轻施工期扬尘对周边影响。</w:t>
      </w:r>
    </w:p>
    <w:p w14:paraId="7074C9D8">
      <w:pPr>
        <w:rPr>
          <w:rFonts w:hint="eastAsia"/>
          <w:sz w:val="24"/>
          <w:szCs w:val="24"/>
          <w:highlight w:val="none"/>
          <w:lang w:val="en-US" w:eastAsia="zh-CN"/>
        </w:rPr>
      </w:pPr>
      <w:r>
        <w:rPr>
          <w:rFonts w:hint="eastAsia"/>
          <w:sz w:val="24"/>
          <w:szCs w:val="24"/>
          <w:highlight w:val="none"/>
          <w:lang w:val="en-US" w:eastAsia="zh-CN"/>
        </w:rPr>
        <w:t>项目治理期间，项目施工建筑材料运输、施工土石方运输过程均会产生车辆运输扬尘。运输车辆在道路上过程带起尘土形成粉尘废气等对施工场地周围及运输线路两侧居民等敏感点造成不良影响，应采取措施降低影响。</w:t>
      </w:r>
    </w:p>
    <w:p w14:paraId="0B1E159C">
      <w:pPr>
        <w:rPr>
          <w:rFonts w:hint="eastAsia"/>
          <w:sz w:val="24"/>
          <w:szCs w:val="24"/>
          <w:highlight w:val="none"/>
          <w:lang w:val="en-US" w:eastAsia="zh-CN"/>
        </w:rPr>
      </w:pPr>
      <w:r>
        <w:rPr>
          <w:rFonts w:hint="eastAsia"/>
          <w:sz w:val="24"/>
          <w:szCs w:val="24"/>
          <w:highlight w:val="none"/>
          <w:lang w:val="en-US" w:eastAsia="zh-CN"/>
        </w:rPr>
        <w:t>建设单位、施工单位在施工过程中采取对出场车辆清理干净，对道路进行清理，并洒水增湿以及运输车辆运输砂石等不要装载过满，并采取遮盖、封闭措施后，车辆运行动力起尘影响大大降低。</w:t>
      </w:r>
    </w:p>
    <w:p w14:paraId="7B7FAEB4">
      <w:pPr>
        <w:rPr>
          <w:rFonts w:hint="eastAsia"/>
          <w:b/>
          <w:bCs/>
          <w:sz w:val="24"/>
          <w:szCs w:val="24"/>
          <w:highlight w:val="none"/>
          <w:lang w:val="en-US" w:eastAsia="zh-CN"/>
        </w:rPr>
      </w:pPr>
      <w:r>
        <w:rPr>
          <w:rFonts w:hint="eastAsia"/>
          <w:b/>
          <w:bCs/>
          <w:sz w:val="24"/>
          <w:szCs w:val="24"/>
          <w:highlight w:val="none"/>
          <w:lang w:val="en-US" w:eastAsia="zh-CN"/>
        </w:rPr>
        <w:t>（2）施工机械柴油燃烧废气与运输车辆尾气</w:t>
      </w:r>
    </w:p>
    <w:p w14:paraId="672BFF49">
      <w:pPr>
        <w:rPr>
          <w:rFonts w:hint="eastAsia"/>
          <w:sz w:val="24"/>
          <w:szCs w:val="24"/>
          <w:highlight w:val="none"/>
          <w:lang w:val="en-US" w:eastAsia="zh-CN"/>
        </w:rPr>
      </w:pPr>
      <w:r>
        <w:rPr>
          <w:rFonts w:hint="eastAsia"/>
          <w:sz w:val="24"/>
          <w:szCs w:val="24"/>
          <w:highlight w:val="none"/>
          <w:lang w:val="en-US" w:eastAsia="zh-CN"/>
        </w:rPr>
        <w:t>施工机械设备和运输及施工车辆的尾气排放属无组织排放，污染物排放量的大小与交通量成比例，与车辆的类型以及运行的工况有关。项目在建设过程中，随着各类机动车辆和施工机械进入施工地区，必然造成车辆尾气排放量的相应增加，释放出一定量的NO</w:t>
      </w:r>
      <w:r>
        <w:rPr>
          <w:rFonts w:hint="eastAsia"/>
          <w:sz w:val="24"/>
          <w:szCs w:val="24"/>
          <w:highlight w:val="none"/>
          <w:vertAlign w:val="subscript"/>
          <w:lang w:val="en-US" w:eastAsia="zh-CN"/>
        </w:rPr>
        <w:t>2</w:t>
      </w:r>
      <w:r>
        <w:rPr>
          <w:rFonts w:hint="eastAsia"/>
          <w:sz w:val="24"/>
          <w:szCs w:val="24"/>
          <w:highlight w:val="none"/>
          <w:lang w:val="en-US" w:eastAsia="zh-CN"/>
        </w:rPr>
        <w:t>、CO、C</w:t>
      </w:r>
      <w:r>
        <w:rPr>
          <w:rFonts w:hint="eastAsia"/>
          <w:sz w:val="24"/>
          <w:szCs w:val="24"/>
          <w:highlight w:val="none"/>
          <w:vertAlign w:val="subscript"/>
          <w:lang w:val="en-US" w:eastAsia="zh-CN"/>
        </w:rPr>
        <w:t>m</w:t>
      </w:r>
      <w:r>
        <w:rPr>
          <w:rFonts w:hint="eastAsia"/>
          <w:sz w:val="24"/>
          <w:szCs w:val="24"/>
          <w:highlight w:val="none"/>
          <w:lang w:val="en-US" w:eastAsia="zh-CN"/>
        </w:rPr>
        <w:t>H</w:t>
      </w:r>
      <w:r>
        <w:rPr>
          <w:rFonts w:hint="eastAsia"/>
          <w:sz w:val="24"/>
          <w:szCs w:val="24"/>
          <w:highlight w:val="none"/>
          <w:vertAlign w:val="subscript"/>
          <w:lang w:val="en-US" w:eastAsia="zh-CN"/>
        </w:rPr>
        <w:t>n</w:t>
      </w:r>
      <w:r>
        <w:rPr>
          <w:rFonts w:hint="eastAsia"/>
          <w:sz w:val="24"/>
          <w:szCs w:val="24"/>
          <w:highlight w:val="none"/>
          <w:lang w:val="en-US" w:eastAsia="zh-CN"/>
        </w:rPr>
        <w:t>等大气污染物，且随着车辆行驶形成流动污染源，对区域环境空气造成污染。</w:t>
      </w:r>
    </w:p>
    <w:p w14:paraId="54F1B3EF">
      <w:pPr>
        <w:rPr>
          <w:rFonts w:hint="eastAsia"/>
          <w:sz w:val="24"/>
          <w:szCs w:val="24"/>
          <w:highlight w:val="none"/>
          <w:lang w:val="en-US" w:eastAsia="zh-CN"/>
        </w:rPr>
      </w:pPr>
      <w:r>
        <w:rPr>
          <w:rFonts w:hint="eastAsia"/>
          <w:sz w:val="24"/>
          <w:szCs w:val="24"/>
          <w:highlight w:val="none"/>
          <w:lang w:val="en-US" w:eastAsia="zh-CN"/>
        </w:rPr>
        <w:t>施工过程中应加强施工机械和车辆的维护保养，严禁使用报废车辆，由于施工机械和运输车辆等排放的废气产生量较小，项目拟建地较开阔，空气流动性好，废气扩散快，对当地的空气环境影响较小。本项目施工机械废气对大气环境的影响可接受。</w:t>
      </w:r>
    </w:p>
    <w:p w14:paraId="7BEAD00E">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5.1.2水环境影响分析</w:t>
      </w:r>
    </w:p>
    <w:p w14:paraId="488BE769">
      <w:pPr>
        <w:rPr>
          <w:rFonts w:hint="default"/>
          <w:b/>
          <w:bCs/>
          <w:sz w:val="24"/>
          <w:szCs w:val="24"/>
          <w:highlight w:val="none"/>
          <w:lang w:val="en-US" w:eastAsia="zh-CN"/>
        </w:rPr>
      </w:pPr>
      <w:r>
        <w:rPr>
          <w:rFonts w:hint="eastAsia"/>
          <w:b/>
          <w:bCs/>
          <w:sz w:val="24"/>
          <w:szCs w:val="24"/>
          <w:highlight w:val="none"/>
          <w:lang w:val="en-US" w:eastAsia="zh-CN"/>
        </w:rPr>
        <w:t>（1）施工废水对地表水环境影响分析</w:t>
      </w:r>
    </w:p>
    <w:p w14:paraId="140D111B">
      <w:pPr>
        <w:rPr>
          <w:rFonts w:hint="eastAsia"/>
          <w:sz w:val="24"/>
          <w:szCs w:val="24"/>
          <w:highlight w:val="none"/>
          <w:lang w:val="en-US" w:eastAsia="zh-CN"/>
        </w:rPr>
      </w:pPr>
      <w:r>
        <w:rPr>
          <w:rFonts w:hint="eastAsia"/>
          <w:sz w:val="24"/>
          <w:szCs w:val="24"/>
          <w:highlight w:val="none"/>
          <w:lang w:val="en-US" w:eastAsia="zh-CN"/>
        </w:rPr>
        <w:t>本工程施工过程中产生的废水主要来自施工期间产生的施工废水和施工人员的生活污水。</w:t>
      </w:r>
    </w:p>
    <w:p w14:paraId="792C1D4A">
      <w:pPr>
        <w:rPr>
          <w:rFonts w:hint="eastAsia"/>
          <w:sz w:val="24"/>
          <w:szCs w:val="24"/>
          <w:highlight w:val="none"/>
          <w:lang w:val="en-US" w:eastAsia="zh-CN"/>
        </w:rPr>
      </w:pPr>
      <w:r>
        <w:rPr>
          <w:rFonts w:hint="eastAsia"/>
          <w:sz w:val="24"/>
          <w:szCs w:val="24"/>
          <w:highlight w:val="none"/>
          <w:lang w:val="en-US" w:eastAsia="zh-CN"/>
        </w:rPr>
        <w:t>本工程施工人员利用工程区附近居民区民房作为生活办公，生活污水通过化粪池处理后用于周边农肥，不外排。</w:t>
      </w:r>
    </w:p>
    <w:p w14:paraId="07705EED">
      <w:pPr>
        <w:rPr>
          <w:rFonts w:hint="eastAsia"/>
          <w:sz w:val="24"/>
          <w:szCs w:val="24"/>
          <w:highlight w:val="none"/>
          <w:lang w:val="en-US" w:eastAsia="zh-CN"/>
        </w:rPr>
      </w:pPr>
      <w:r>
        <w:rPr>
          <w:rFonts w:hint="eastAsia"/>
          <w:sz w:val="24"/>
          <w:szCs w:val="24"/>
          <w:highlight w:val="none"/>
          <w:lang w:val="en-US" w:eastAsia="zh-CN"/>
        </w:rPr>
        <w:t>施工废水主要来自</w:t>
      </w:r>
      <w:r>
        <w:rPr>
          <w:rFonts w:hint="eastAsia"/>
          <w:sz w:val="24"/>
          <w:szCs w:val="24"/>
        </w:rPr>
        <w:t>雨季清挖过程中产生的淋溶水</w:t>
      </w:r>
      <w:r>
        <w:rPr>
          <w:rFonts w:hint="eastAsia"/>
          <w:sz w:val="24"/>
          <w:szCs w:val="24"/>
          <w:highlight w:val="none"/>
          <w:lang w:val="en-US" w:eastAsia="zh-CN"/>
        </w:rPr>
        <w:t>；施工设备、车辆的清洗用水；渗滤液等，这类废水均含有一定的泥沙和油污，还有少量的重金属离子等。</w:t>
      </w:r>
    </w:p>
    <w:p w14:paraId="59222504">
      <w:pPr>
        <w:rPr>
          <w:rFonts w:hint="eastAsia"/>
          <w:sz w:val="24"/>
          <w:szCs w:val="24"/>
          <w:highlight w:val="none"/>
          <w:lang w:val="en-US" w:eastAsia="zh-CN"/>
        </w:rPr>
      </w:pPr>
      <w:r>
        <w:rPr>
          <w:rFonts w:hint="eastAsia"/>
          <w:sz w:val="24"/>
          <w:szCs w:val="24"/>
          <w:highlight w:val="none"/>
          <w:lang w:val="en-US" w:eastAsia="zh-CN"/>
        </w:rPr>
        <w:t>项目产生的车辆清洗废水经沉淀池处理后回用于车辆清洗或洒水抑尘，不外排；淋溶水及渗滤液等经项目重金属一体化污水处理设施处理后送至湖南黄金天岳矿业有限公司垂拱洞尾矿库废水处理站进一步处理后外排。</w:t>
      </w:r>
    </w:p>
    <w:p w14:paraId="294C0C11">
      <w:pPr>
        <w:rPr>
          <w:rFonts w:hint="eastAsia"/>
          <w:sz w:val="24"/>
          <w:szCs w:val="24"/>
          <w:highlight w:val="none"/>
          <w:lang w:val="en-US" w:eastAsia="zh-CN"/>
        </w:rPr>
      </w:pPr>
      <w:r>
        <w:rPr>
          <w:rFonts w:hint="eastAsia"/>
          <w:sz w:val="24"/>
          <w:szCs w:val="24"/>
          <w:highlight w:val="none"/>
          <w:lang w:val="en-US" w:eastAsia="zh-CN"/>
        </w:rPr>
        <w:t>项目不进行涉水施工，施工过程需加强管理，物料堆存需远离居民区及农田，且及时修建截排水沟，以防止受污染的废水流入周边农田，对周围环境造成一定影响。</w:t>
      </w:r>
    </w:p>
    <w:p w14:paraId="48CA3E5F">
      <w:pPr>
        <w:rPr>
          <w:rFonts w:hint="eastAsia"/>
          <w:sz w:val="24"/>
          <w:szCs w:val="24"/>
          <w:highlight w:val="none"/>
          <w:lang w:val="en-US" w:eastAsia="zh-CN"/>
        </w:rPr>
      </w:pPr>
      <w:r>
        <w:rPr>
          <w:rFonts w:hint="eastAsia"/>
          <w:sz w:val="24"/>
          <w:szCs w:val="24"/>
          <w:highlight w:val="none"/>
          <w:lang w:val="en-US" w:eastAsia="zh-CN"/>
        </w:rPr>
        <w:t>另建设方在施工期应及时做好水土保持设施，对开挖的地块及时夯实、铺膜覆土、快速绿化，防止暴雨时造成较大的水土流失，污染附近水体；在项目污染物施工区域修筑临时排水沟，防止施工期雨水直接流入外环境，造成周边环境污染。</w:t>
      </w:r>
    </w:p>
    <w:p w14:paraId="3EC56C56">
      <w:pPr>
        <w:rPr>
          <w:rFonts w:hint="eastAsia"/>
          <w:sz w:val="24"/>
          <w:szCs w:val="24"/>
          <w:highlight w:val="none"/>
          <w:lang w:val="en-US" w:eastAsia="zh-CN"/>
        </w:rPr>
      </w:pPr>
      <w:r>
        <w:rPr>
          <w:rFonts w:hint="eastAsia"/>
          <w:sz w:val="24"/>
          <w:szCs w:val="24"/>
          <w:highlight w:val="none"/>
          <w:lang w:val="en-US" w:eastAsia="zh-CN"/>
        </w:rPr>
        <w:t>按照上述措施正确施工对周边地表水环境影响可控。</w:t>
      </w:r>
    </w:p>
    <w:p w14:paraId="17331D72">
      <w:pPr>
        <w:rPr>
          <w:rFonts w:hint="default"/>
          <w:b/>
          <w:bCs/>
          <w:sz w:val="24"/>
          <w:szCs w:val="24"/>
          <w:highlight w:val="none"/>
          <w:lang w:val="en-US" w:eastAsia="zh-CN"/>
        </w:rPr>
      </w:pPr>
      <w:r>
        <w:rPr>
          <w:rFonts w:hint="eastAsia"/>
          <w:b/>
          <w:bCs/>
          <w:sz w:val="24"/>
          <w:szCs w:val="24"/>
          <w:highlight w:val="none"/>
          <w:lang w:val="en-US" w:eastAsia="zh-CN"/>
        </w:rPr>
        <w:t>（2）施工废水对地下水环境影响分析</w:t>
      </w:r>
    </w:p>
    <w:p w14:paraId="14348F78">
      <w:pPr>
        <w:rPr>
          <w:rFonts w:hint="eastAsia"/>
          <w:sz w:val="24"/>
          <w:szCs w:val="24"/>
          <w:highlight w:val="none"/>
          <w:lang w:val="en-US" w:eastAsia="zh-CN"/>
        </w:rPr>
      </w:pPr>
      <w:r>
        <w:rPr>
          <w:rFonts w:hint="eastAsia"/>
          <w:sz w:val="24"/>
          <w:szCs w:val="24"/>
          <w:highlight w:val="none"/>
          <w:lang w:val="en-US" w:eastAsia="zh-CN"/>
        </w:rPr>
        <w:t>①地下水受污染途径</w:t>
      </w:r>
    </w:p>
    <w:p w14:paraId="5A7D4EFC">
      <w:pPr>
        <w:rPr>
          <w:rFonts w:hint="eastAsia"/>
          <w:sz w:val="24"/>
          <w:szCs w:val="24"/>
          <w:highlight w:val="none"/>
          <w:lang w:val="en-US" w:eastAsia="zh-CN"/>
        </w:rPr>
      </w:pPr>
      <w:r>
        <w:rPr>
          <w:rFonts w:hint="eastAsia"/>
          <w:sz w:val="24"/>
          <w:szCs w:val="24"/>
          <w:highlight w:val="none"/>
          <w:lang w:val="en-US" w:eastAsia="zh-CN"/>
        </w:rPr>
        <w:t>地下水可能的受污染途径是：若未做好雨水收集及防渗措施的情况下，雨水冲刷施工区地面，淋溶水将无法得到完全收集处理而从地表下渗；固体废物的堆放如不合理，可能因为受到地表径流或雨水冲刷而导致污染物下渗；污水处理收集设施若达不到防渗要求，污染物有可能逐渐下渗；各类废水易发生泄漏、污染地下水。</w:t>
      </w:r>
    </w:p>
    <w:p w14:paraId="5A71C9C9">
      <w:pPr>
        <w:rPr>
          <w:rFonts w:hint="eastAsia"/>
          <w:sz w:val="24"/>
          <w:szCs w:val="24"/>
          <w:highlight w:val="none"/>
          <w:lang w:val="en-US" w:eastAsia="zh-CN"/>
        </w:rPr>
      </w:pPr>
      <w:r>
        <w:rPr>
          <w:rFonts w:hint="eastAsia"/>
          <w:sz w:val="24"/>
          <w:szCs w:val="24"/>
          <w:highlight w:val="none"/>
          <w:lang w:val="en-US" w:eastAsia="zh-CN"/>
        </w:rPr>
        <w:t>②施工废水</w:t>
      </w:r>
    </w:p>
    <w:p w14:paraId="7A724856">
      <w:pPr>
        <w:rPr>
          <w:rFonts w:hint="eastAsia"/>
          <w:sz w:val="24"/>
          <w:szCs w:val="24"/>
          <w:highlight w:val="none"/>
          <w:lang w:val="en-US" w:eastAsia="zh-CN"/>
        </w:rPr>
      </w:pPr>
      <w:r>
        <w:rPr>
          <w:rFonts w:hint="eastAsia"/>
          <w:sz w:val="24"/>
          <w:szCs w:val="24"/>
          <w:highlight w:val="none"/>
          <w:lang w:val="en-US" w:eastAsia="zh-CN"/>
        </w:rPr>
        <w:t>施工废水主要来自施工场地产生的淋溶水、车辆清洗废水及渗滤液等。</w:t>
      </w:r>
    </w:p>
    <w:p w14:paraId="38D129C3">
      <w:pPr>
        <w:rPr>
          <w:rFonts w:hint="eastAsia"/>
          <w:sz w:val="24"/>
          <w:szCs w:val="24"/>
          <w:highlight w:val="none"/>
          <w:lang w:val="en-US" w:eastAsia="zh-CN"/>
        </w:rPr>
      </w:pPr>
      <w:r>
        <w:rPr>
          <w:rFonts w:hint="eastAsia"/>
          <w:sz w:val="24"/>
          <w:szCs w:val="24"/>
          <w:highlight w:val="none"/>
          <w:lang w:val="en-US" w:eastAsia="zh-CN"/>
        </w:rPr>
        <w:t>根据项目地质勘探报告，在钻探过程中未发现孔内积水，根据工程经验场地内地下水类型主要为赋存于人工填土中的上层滞水。上层滞水主要受大气降水补给，向地表蒸发和向地势低洼处排泄，不具承压性。由于场地地势相对较高，有通畅的排泄条件，所以人工填土中未发现地下水。</w:t>
      </w:r>
    </w:p>
    <w:p w14:paraId="3F064CFD">
      <w:pPr>
        <w:rPr>
          <w:rFonts w:hint="eastAsia"/>
          <w:sz w:val="24"/>
          <w:szCs w:val="24"/>
          <w:highlight w:val="none"/>
          <w:lang w:val="en-US" w:eastAsia="zh-CN"/>
        </w:rPr>
      </w:pPr>
      <w:r>
        <w:rPr>
          <w:rFonts w:hint="eastAsia"/>
          <w:sz w:val="24"/>
          <w:szCs w:val="24"/>
          <w:highlight w:val="none"/>
          <w:lang w:val="en-US" w:eastAsia="zh-CN"/>
        </w:rPr>
        <w:t>项目只对历史遗留重金属废渣及受污染土壤进行清运，挖掘深度有限，不会对地下水含水层造成影响，因此项目施工废水对地下水影响不大。</w:t>
      </w:r>
    </w:p>
    <w:p w14:paraId="2F8AD295">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5.1.3声环境影响分析</w:t>
      </w:r>
    </w:p>
    <w:p w14:paraId="0FAFD6C0">
      <w:pPr>
        <w:keepNext w:val="0"/>
        <w:keepLines w:val="0"/>
        <w:pageBreakBefore w:val="0"/>
        <w:widowControl w:val="0"/>
        <w:kinsoku/>
        <w:wordWrap/>
        <w:overflowPunct/>
        <w:topLinePunct w:val="0"/>
        <w:autoSpaceDE/>
        <w:autoSpaceDN/>
        <w:bidi w:val="0"/>
        <w:adjustRightInd/>
        <w:snapToGrid/>
        <w:textAlignment w:val="auto"/>
        <w:rPr>
          <w:rFonts w:hint="eastAsia"/>
          <w:b/>
          <w:bCs/>
          <w:sz w:val="24"/>
          <w:szCs w:val="24"/>
          <w:highlight w:val="none"/>
          <w:lang w:val="en-US" w:eastAsia="zh-CN"/>
        </w:rPr>
      </w:pPr>
      <w:r>
        <w:rPr>
          <w:rFonts w:hint="eastAsia"/>
          <w:b/>
          <w:bCs/>
          <w:sz w:val="24"/>
          <w:szCs w:val="24"/>
          <w:highlight w:val="none"/>
          <w:lang w:val="en-US" w:eastAsia="zh-CN"/>
        </w:rPr>
        <w:t>（1）噪声源强</w:t>
      </w:r>
    </w:p>
    <w:p w14:paraId="0A3ECCC7">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本项目在施工期间施工机械会产生噪声，对区域的附近居民区产生影响。施工机械主要有挖掘机、推土机、装载机、压实机、水泵等，运输车辆包括自卸汽车。经类比调查，其噪声源的源强为78~90dB（A）。</w:t>
      </w:r>
    </w:p>
    <w:p w14:paraId="18D40EAC">
      <w:pPr>
        <w:bidi w:val="0"/>
        <w:rPr>
          <w:rFonts w:hint="default"/>
          <w:b/>
          <w:bCs/>
          <w:sz w:val="24"/>
          <w:szCs w:val="24"/>
          <w:highlight w:val="none"/>
          <w:lang w:val="en-US" w:eastAsia="zh-CN"/>
        </w:rPr>
      </w:pPr>
      <w:r>
        <w:rPr>
          <w:rFonts w:hint="eastAsia"/>
          <w:b/>
          <w:bCs/>
          <w:sz w:val="24"/>
          <w:szCs w:val="24"/>
          <w:highlight w:val="none"/>
          <w:lang w:val="en-US" w:eastAsia="zh-CN"/>
        </w:rPr>
        <w:t>（2）噪声预测模式</w:t>
      </w:r>
    </w:p>
    <w:p w14:paraId="29BCD1B2">
      <w:pPr>
        <w:bidi w:val="0"/>
        <w:rPr>
          <w:rFonts w:hint="eastAsia"/>
          <w:sz w:val="24"/>
          <w:szCs w:val="24"/>
          <w:highlight w:val="none"/>
          <w:lang w:val="en-US" w:eastAsia="zh-CN"/>
        </w:rPr>
      </w:pPr>
      <w:r>
        <w:rPr>
          <w:rFonts w:hint="eastAsia"/>
          <w:sz w:val="24"/>
          <w:szCs w:val="24"/>
          <w:highlight w:val="none"/>
          <w:lang w:val="en-US" w:eastAsia="zh-CN"/>
        </w:rPr>
        <w:t>户外声传播衰减包括几何发散（A</w:t>
      </w:r>
      <w:r>
        <w:rPr>
          <w:rFonts w:hint="eastAsia"/>
          <w:sz w:val="24"/>
          <w:szCs w:val="24"/>
          <w:highlight w:val="none"/>
          <w:vertAlign w:val="subscript"/>
          <w:lang w:val="en-US" w:eastAsia="zh-CN"/>
        </w:rPr>
        <w:t>div</w:t>
      </w:r>
      <w:r>
        <w:rPr>
          <w:rFonts w:hint="eastAsia"/>
          <w:sz w:val="24"/>
          <w:szCs w:val="24"/>
          <w:highlight w:val="none"/>
          <w:lang w:val="en-US" w:eastAsia="zh-CN"/>
        </w:rPr>
        <w:t>）、大气吸收（A</w:t>
      </w:r>
      <w:r>
        <w:rPr>
          <w:rFonts w:hint="eastAsia"/>
          <w:sz w:val="24"/>
          <w:szCs w:val="24"/>
          <w:highlight w:val="none"/>
          <w:vertAlign w:val="subscript"/>
          <w:lang w:val="en-US" w:eastAsia="zh-CN"/>
        </w:rPr>
        <w:t>atm</w:t>
      </w:r>
      <w:r>
        <w:rPr>
          <w:rFonts w:hint="eastAsia"/>
          <w:sz w:val="24"/>
          <w:szCs w:val="24"/>
          <w:highlight w:val="none"/>
          <w:lang w:val="en-US" w:eastAsia="zh-CN"/>
        </w:rPr>
        <w:t>）、地面效应（A</w:t>
      </w:r>
      <w:r>
        <w:rPr>
          <w:rFonts w:hint="eastAsia"/>
          <w:sz w:val="24"/>
          <w:szCs w:val="24"/>
          <w:highlight w:val="none"/>
          <w:vertAlign w:val="subscript"/>
          <w:lang w:val="en-US" w:eastAsia="zh-CN"/>
        </w:rPr>
        <w:t>gr</w:t>
      </w:r>
      <w:r>
        <w:rPr>
          <w:rFonts w:hint="eastAsia"/>
          <w:sz w:val="24"/>
          <w:szCs w:val="24"/>
          <w:highlight w:val="none"/>
          <w:lang w:val="en-US" w:eastAsia="zh-CN"/>
        </w:rPr>
        <w:t>）、障碍物屏蔽（A</w:t>
      </w:r>
      <w:r>
        <w:rPr>
          <w:rFonts w:hint="eastAsia"/>
          <w:sz w:val="24"/>
          <w:szCs w:val="24"/>
          <w:highlight w:val="none"/>
          <w:vertAlign w:val="subscript"/>
          <w:lang w:val="en-US" w:eastAsia="zh-CN"/>
        </w:rPr>
        <w:t>bar</w:t>
      </w:r>
      <w:r>
        <w:rPr>
          <w:rFonts w:hint="eastAsia"/>
          <w:sz w:val="24"/>
          <w:szCs w:val="24"/>
          <w:highlight w:val="none"/>
          <w:lang w:val="en-US" w:eastAsia="zh-CN"/>
        </w:rPr>
        <w:t>）、其他多方面效应（A</w:t>
      </w:r>
      <w:r>
        <w:rPr>
          <w:rFonts w:hint="eastAsia"/>
          <w:sz w:val="24"/>
          <w:szCs w:val="24"/>
          <w:highlight w:val="none"/>
          <w:vertAlign w:val="subscript"/>
          <w:lang w:val="en-US" w:eastAsia="zh-CN"/>
        </w:rPr>
        <w:t>misc</w:t>
      </w:r>
      <w:r>
        <w:rPr>
          <w:rFonts w:hint="eastAsia"/>
          <w:sz w:val="24"/>
          <w:szCs w:val="24"/>
          <w:highlight w:val="none"/>
          <w:lang w:val="en-US" w:eastAsia="zh-CN"/>
        </w:rPr>
        <w:t>）引起的衰减。</w:t>
      </w:r>
    </w:p>
    <w:p w14:paraId="7D9B3CA9">
      <w:pPr>
        <w:bidi w:val="0"/>
        <w:rPr>
          <w:rFonts w:hint="default"/>
          <w:sz w:val="24"/>
          <w:szCs w:val="24"/>
          <w:highlight w:val="none"/>
          <w:lang w:val="en-US" w:eastAsia="zh-CN"/>
        </w:rPr>
      </w:pPr>
      <w:r>
        <w:rPr>
          <w:rFonts w:hint="eastAsia"/>
          <w:sz w:val="24"/>
          <w:szCs w:val="24"/>
          <w:highlight w:val="none"/>
          <w:lang w:val="en-US" w:eastAsia="zh-CN"/>
        </w:rPr>
        <w:t>①基本公式</w:t>
      </w:r>
    </w:p>
    <w:p w14:paraId="417A0F6E">
      <w:pPr>
        <w:bidi w:val="0"/>
        <w:rPr>
          <w:rFonts w:hint="eastAsia"/>
          <w:sz w:val="24"/>
          <w:szCs w:val="24"/>
          <w:highlight w:val="none"/>
          <w:lang w:val="en-US" w:eastAsia="zh-CN"/>
        </w:rPr>
      </w:pPr>
      <w:r>
        <w:rPr>
          <w:rFonts w:hint="eastAsia"/>
          <w:sz w:val="24"/>
          <w:szCs w:val="24"/>
          <w:highlight w:val="none"/>
          <w:lang w:val="en-US" w:eastAsia="zh-CN"/>
        </w:rPr>
        <w:t>a）在环境影响评价中，应根据声源声功率级或参考位置处的声压级、户外声传播衰减，计算预测点的声级，分别按下列公式计算。</w:t>
      </w:r>
    </w:p>
    <w:p w14:paraId="75B3BFA4">
      <w:pPr>
        <w:bidi w:val="0"/>
        <w:ind w:left="0" w:leftChars="0" w:firstLine="0" w:firstLineChars="0"/>
        <w:jc w:val="center"/>
        <w:rPr>
          <w:rFonts w:hint="eastAsia"/>
          <w:sz w:val="24"/>
          <w:szCs w:val="24"/>
          <w:highlight w:val="none"/>
          <w:lang w:val="en-US" w:eastAsia="zh-CN"/>
        </w:rPr>
      </w:pPr>
      <w:r>
        <w:rPr>
          <w:rFonts w:hint="eastAsia"/>
          <w:position w:val="-14"/>
          <w:sz w:val="24"/>
          <w:szCs w:val="24"/>
          <w:highlight w:val="none"/>
          <w:lang w:val="en-US" w:eastAsia="zh-CN"/>
        </w:rPr>
        <w:object>
          <v:shape id="_x0000_i1033" o:spt="75" type="#_x0000_t75" style="height:19pt;width:249pt;" o:ole="t" filled="f" o:preferrelative="t" stroked="f" coordsize="21600,21600">
            <v:path/>
            <v:fill on="f" focussize="0,0"/>
            <v:stroke on="f"/>
            <v:imagedata r:id="rId94" o:title=""/>
            <o:lock v:ext="edit" aspectratio="t"/>
            <w10:wrap type="none"/>
            <w10:anchorlock/>
          </v:shape>
          <o:OLEObject Type="Embed" ProgID="Equation.KSEE3" ShapeID="_x0000_i1033" DrawAspect="Content" ObjectID="_1468075733" r:id="rId93">
            <o:LockedField>false</o:LockedField>
          </o:OLEObject>
        </w:object>
      </w:r>
    </w:p>
    <w:p w14:paraId="1D8D7F93">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p</w:t>
      </w:r>
      <w:r>
        <w:rPr>
          <w:rFonts w:hint="eastAsia"/>
          <w:sz w:val="24"/>
          <w:szCs w:val="24"/>
          <w:highlight w:val="none"/>
          <w:lang w:val="en-US" w:eastAsia="zh-CN"/>
        </w:rPr>
        <w:t>（r）——预测点处声压级，dB；</w:t>
      </w:r>
    </w:p>
    <w:p w14:paraId="2FA8D42E">
      <w:pPr>
        <w:bidi w:val="0"/>
        <w:ind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w</w:t>
      </w:r>
      <w:r>
        <w:rPr>
          <w:rFonts w:hint="eastAsia"/>
          <w:sz w:val="24"/>
          <w:szCs w:val="24"/>
          <w:highlight w:val="none"/>
          <w:lang w:val="en-US" w:eastAsia="zh-CN"/>
        </w:rPr>
        <w:t>——由点声源产生的声功率级（A计权或倍频带），dB；</w:t>
      </w:r>
    </w:p>
    <w:p w14:paraId="3540F5FF">
      <w:pPr>
        <w:bidi w:val="0"/>
        <w:ind w:firstLine="1440" w:firstLineChars="600"/>
        <w:rPr>
          <w:rFonts w:hint="eastAsia"/>
          <w:sz w:val="24"/>
          <w:szCs w:val="24"/>
          <w:highlight w:val="none"/>
          <w:lang w:val="en-US" w:eastAsia="zh-CN"/>
        </w:rPr>
      </w:pPr>
      <w:r>
        <w:rPr>
          <w:rFonts w:hint="eastAsia"/>
          <w:sz w:val="24"/>
          <w:szCs w:val="24"/>
          <w:highlight w:val="none"/>
          <w:lang w:val="en-US" w:eastAsia="zh-CN"/>
        </w:rPr>
        <w:t>D</w:t>
      </w:r>
      <w:r>
        <w:rPr>
          <w:rFonts w:hint="eastAsia"/>
          <w:sz w:val="24"/>
          <w:szCs w:val="24"/>
          <w:highlight w:val="none"/>
          <w:vertAlign w:val="subscript"/>
          <w:lang w:val="en-US" w:eastAsia="zh-CN"/>
        </w:rPr>
        <w:t>C</w:t>
      </w:r>
      <w:r>
        <w:rPr>
          <w:rFonts w:hint="eastAsia"/>
          <w:sz w:val="24"/>
          <w:szCs w:val="24"/>
          <w:highlight w:val="none"/>
          <w:lang w:val="en-US" w:eastAsia="zh-CN"/>
        </w:rPr>
        <w:t>——指向性校正，它描述点声源的等效连续声压级与产生声功率级L</w:t>
      </w:r>
      <w:r>
        <w:rPr>
          <w:rFonts w:hint="eastAsia"/>
          <w:sz w:val="24"/>
          <w:szCs w:val="24"/>
          <w:highlight w:val="none"/>
          <w:vertAlign w:val="subscript"/>
          <w:lang w:val="en-US" w:eastAsia="zh-CN"/>
        </w:rPr>
        <w:t>w</w:t>
      </w:r>
      <w:r>
        <w:rPr>
          <w:rFonts w:hint="eastAsia"/>
          <w:sz w:val="24"/>
          <w:szCs w:val="24"/>
          <w:highlight w:val="none"/>
          <w:lang w:val="en-US" w:eastAsia="zh-CN"/>
        </w:rPr>
        <w:t>的全向点声源在规定方向的声级的偏差程度，dB；</w:t>
      </w:r>
    </w:p>
    <w:p w14:paraId="2F2E21FC">
      <w:pPr>
        <w:bidi w:val="0"/>
        <w:ind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div</w:t>
      </w:r>
      <w:r>
        <w:rPr>
          <w:rFonts w:hint="eastAsia"/>
          <w:sz w:val="24"/>
          <w:szCs w:val="24"/>
          <w:highlight w:val="none"/>
          <w:lang w:val="en-US" w:eastAsia="zh-CN"/>
        </w:rPr>
        <w:t>——几何发散引起的衰减，dB；</w:t>
      </w:r>
    </w:p>
    <w:p w14:paraId="787CF978">
      <w:pPr>
        <w:bidi w:val="0"/>
        <w:ind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atm</w:t>
      </w:r>
      <w:r>
        <w:rPr>
          <w:rFonts w:hint="eastAsia"/>
          <w:sz w:val="24"/>
          <w:szCs w:val="24"/>
          <w:highlight w:val="none"/>
          <w:lang w:val="en-US" w:eastAsia="zh-CN"/>
        </w:rPr>
        <w:t>——大气吸收引起的衰减，dB；</w:t>
      </w:r>
    </w:p>
    <w:p w14:paraId="133D3FA9">
      <w:pPr>
        <w:bidi w:val="0"/>
        <w:ind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gr</w:t>
      </w:r>
      <w:r>
        <w:rPr>
          <w:rFonts w:hint="eastAsia"/>
          <w:sz w:val="24"/>
          <w:szCs w:val="24"/>
          <w:highlight w:val="none"/>
          <w:lang w:val="en-US" w:eastAsia="zh-CN"/>
        </w:rPr>
        <w:t>——地面效应引起的衰减，dB；</w:t>
      </w:r>
    </w:p>
    <w:p w14:paraId="1C33A549">
      <w:pPr>
        <w:bidi w:val="0"/>
        <w:ind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bar</w:t>
      </w:r>
      <w:r>
        <w:rPr>
          <w:rFonts w:hint="eastAsia"/>
          <w:sz w:val="24"/>
          <w:szCs w:val="24"/>
          <w:highlight w:val="none"/>
          <w:lang w:val="en-US" w:eastAsia="zh-CN"/>
        </w:rPr>
        <w:t xml:space="preserve"> ——障碍物屏蔽引起的衰减，dB；</w:t>
      </w:r>
    </w:p>
    <w:p w14:paraId="5EAE4780">
      <w:pPr>
        <w:bidi w:val="0"/>
        <w:ind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misc</w:t>
      </w:r>
      <w:r>
        <w:rPr>
          <w:rFonts w:hint="eastAsia"/>
          <w:sz w:val="24"/>
          <w:szCs w:val="24"/>
          <w:highlight w:val="none"/>
          <w:lang w:val="en-US" w:eastAsia="zh-CN"/>
        </w:rPr>
        <w:t>——其他多方面效应引起的衰减，dB。</w:t>
      </w:r>
    </w:p>
    <w:p w14:paraId="12F67DFC">
      <w:pPr>
        <w:bidi w:val="0"/>
        <w:ind w:left="0" w:leftChars="0" w:firstLine="0" w:firstLineChars="0"/>
        <w:jc w:val="center"/>
        <w:rPr>
          <w:rFonts w:hint="eastAsia"/>
          <w:sz w:val="24"/>
          <w:szCs w:val="24"/>
          <w:highlight w:val="none"/>
          <w:lang w:val="en-US" w:eastAsia="zh-CN"/>
        </w:rPr>
      </w:pPr>
      <w:r>
        <w:rPr>
          <w:rFonts w:hint="eastAsia"/>
          <w:position w:val="-14"/>
          <w:sz w:val="24"/>
          <w:szCs w:val="24"/>
          <w:highlight w:val="none"/>
          <w:lang w:val="en-US" w:eastAsia="zh-CN"/>
        </w:rPr>
        <w:object>
          <v:shape id="_x0000_i1034" o:spt="75" type="#_x0000_t75" style="height:19pt;width:262pt;" o:ole="t" filled="f" o:preferrelative="t" stroked="f" coordsize="21600,21600">
            <v:path/>
            <v:fill on="f" focussize="0,0"/>
            <v:stroke on="f"/>
            <v:imagedata r:id="rId96" o:title=""/>
            <o:lock v:ext="edit" aspectratio="t"/>
            <w10:wrap type="none"/>
            <w10:anchorlock/>
          </v:shape>
          <o:OLEObject Type="Embed" ProgID="Equation.KSEE3" ShapeID="_x0000_i1034" DrawAspect="Content" ObjectID="_1468075734" r:id="rId95">
            <o:LockedField>false</o:LockedField>
          </o:OLEObject>
        </w:object>
      </w:r>
    </w:p>
    <w:p w14:paraId="40F9B039">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p</w:t>
      </w:r>
      <w:r>
        <w:rPr>
          <w:rFonts w:hint="eastAsia"/>
          <w:sz w:val="24"/>
          <w:szCs w:val="24"/>
          <w:highlight w:val="none"/>
          <w:vertAlign w:val="baseline"/>
          <w:lang w:val="en-US" w:eastAsia="zh-CN"/>
        </w:rPr>
        <w:t>（r）</w:t>
      </w:r>
      <w:r>
        <w:rPr>
          <w:rFonts w:hint="eastAsia"/>
          <w:sz w:val="24"/>
          <w:szCs w:val="24"/>
          <w:highlight w:val="none"/>
          <w:lang w:val="en-US" w:eastAsia="zh-CN"/>
        </w:rPr>
        <w:t>——预测点处声压级，dB；</w:t>
      </w:r>
    </w:p>
    <w:p w14:paraId="6022ABC3">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p</w:t>
      </w:r>
      <w:r>
        <w:rPr>
          <w:rFonts w:hint="eastAsia"/>
          <w:sz w:val="24"/>
          <w:szCs w:val="24"/>
          <w:highlight w:val="none"/>
          <w:vertAlign w:val="baseline"/>
          <w:lang w:val="en-US" w:eastAsia="zh-CN"/>
        </w:rPr>
        <w:t>（r</w:t>
      </w:r>
      <w:r>
        <w:rPr>
          <w:rFonts w:hint="eastAsia"/>
          <w:sz w:val="24"/>
          <w:szCs w:val="24"/>
          <w:highlight w:val="none"/>
          <w:vertAlign w:val="subscript"/>
          <w:lang w:val="en-US" w:eastAsia="zh-CN"/>
        </w:rPr>
        <w:t>0</w:t>
      </w:r>
      <w:r>
        <w:rPr>
          <w:rFonts w:hint="eastAsia"/>
          <w:sz w:val="24"/>
          <w:szCs w:val="24"/>
          <w:highlight w:val="none"/>
          <w:vertAlign w:val="baseline"/>
          <w:lang w:val="en-US" w:eastAsia="zh-CN"/>
        </w:rPr>
        <w:t>）</w:t>
      </w:r>
      <w:r>
        <w:rPr>
          <w:rFonts w:hint="eastAsia"/>
          <w:sz w:val="24"/>
          <w:szCs w:val="24"/>
          <w:highlight w:val="none"/>
          <w:lang w:val="en-US" w:eastAsia="zh-CN"/>
        </w:rPr>
        <w:t>——参考位置r0处的声压级，dB；</w:t>
      </w:r>
    </w:p>
    <w:p w14:paraId="3BCC2B1B">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D</w:t>
      </w:r>
      <w:r>
        <w:rPr>
          <w:rFonts w:hint="eastAsia"/>
          <w:sz w:val="24"/>
          <w:szCs w:val="24"/>
          <w:highlight w:val="none"/>
          <w:vertAlign w:val="subscript"/>
          <w:lang w:val="en-US" w:eastAsia="zh-CN"/>
        </w:rPr>
        <w:t>C</w:t>
      </w:r>
      <w:r>
        <w:rPr>
          <w:rFonts w:hint="eastAsia"/>
          <w:sz w:val="24"/>
          <w:szCs w:val="24"/>
          <w:highlight w:val="none"/>
          <w:lang w:val="en-US" w:eastAsia="zh-CN"/>
        </w:rPr>
        <w:t>——指向性校正，它描述点声源的等效连续声压级与产生声功率级Lw的全向点声源在规定方向的声级的偏差程度，dB；</w:t>
      </w:r>
    </w:p>
    <w:p w14:paraId="7D5AA923">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div</w:t>
      </w:r>
      <w:r>
        <w:rPr>
          <w:rFonts w:hint="eastAsia"/>
          <w:sz w:val="24"/>
          <w:szCs w:val="24"/>
          <w:highlight w:val="none"/>
          <w:lang w:val="en-US" w:eastAsia="zh-CN"/>
        </w:rPr>
        <w:t>——几何发散引起的衰减，dB；</w:t>
      </w:r>
    </w:p>
    <w:p w14:paraId="633EC4B1">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atm</w:t>
      </w:r>
      <w:r>
        <w:rPr>
          <w:rFonts w:hint="eastAsia"/>
          <w:sz w:val="24"/>
          <w:szCs w:val="24"/>
          <w:highlight w:val="none"/>
          <w:lang w:val="en-US" w:eastAsia="zh-CN"/>
        </w:rPr>
        <w:t>——大气吸收引起的衰减，dB；</w:t>
      </w:r>
    </w:p>
    <w:p w14:paraId="5C15467C">
      <w:pPr>
        <w:bidi w:val="0"/>
        <w:ind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gr</w:t>
      </w:r>
      <w:r>
        <w:rPr>
          <w:rFonts w:hint="eastAsia"/>
          <w:sz w:val="24"/>
          <w:szCs w:val="24"/>
          <w:highlight w:val="none"/>
          <w:lang w:val="en-US" w:eastAsia="zh-CN"/>
        </w:rPr>
        <w:t>——地面效应引起的衰减，dB；</w:t>
      </w:r>
    </w:p>
    <w:p w14:paraId="20713516">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bar</w:t>
      </w:r>
      <w:r>
        <w:rPr>
          <w:rFonts w:hint="eastAsia"/>
          <w:sz w:val="24"/>
          <w:szCs w:val="24"/>
          <w:highlight w:val="none"/>
          <w:lang w:val="en-US" w:eastAsia="zh-CN"/>
        </w:rPr>
        <w:t>——障碍物屏蔽引起的衰减，dB；</w:t>
      </w:r>
    </w:p>
    <w:p w14:paraId="028872B5">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misc</w:t>
      </w:r>
      <w:r>
        <w:rPr>
          <w:rFonts w:hint="eastAsia"/>
          <w:sz w:val="24"/>
          <w:szCs w:val="24"/>
          <w:highlight w:val="none"/>
          <w:lang w:val="en-US" w:eastAsia="zh-CN"/>
        </w:rPr>
        <w:t>——其他多方面效应引起的衰减，dB。</w:t>
      </w:r>
    </w:p>
    <w:p w14:paraId="2B44FA3F">
      <w:pPr>
        <w:bidi w:val="0"/>
        <w:rPr>
          <w:rFonts w:hint="eastAsia"/>
          <w:sz w:val="24"/>
          <w:szCs w:val="24"/>
          <w:highlight w:val="none"/>
          <w:lang w:val="en-US" w:eastAsia="zh-CN"/>
        </w:rPr>
      </w:pPr>
      <w:r>
        <w:rPr>
          <w:rFonts w:hint="eastAsia"/>
          <w:sz w:val="24"/>
          <w:szCs w:val="24"/>
          <w:highlight w:val="none"/>
          <w:lang w:val="en-US" w:eastAsia="zh-CN"/>
        </w:rPr>
        <w:t>b）预测点的A声级L</w:t>
      </w:r>
      <w:r>
        <w:rPr>
          <w:rFonts w:hint="eastAsia"/>
          <w:sz w:val="24"/>
          <w:szCs w:val="24"/>
          <w:highlight w:val="none"/>
          <w:vertAlign w:val="subscript"/>
          <w:lang w:val="en-US" w:eastAsia="zh-CN"/>
        </w:rPr>
        <w:t>A</w:t>
      </w:r>
      <w:r>
        <w:rPr>
          <w:rFonts w:hint="eastAsia"/>
          <w:sz w:val="24"/>
          <w:szCs w:val="24"/>
          <w:highlight w:val="none"/>
          <w:lang w:val="en-US" w:eastAsia="zh-CN"/>
        </w:rPr>
        <w:t>（r）可按下式计算，即将8个倍频带声压级合成，计算出预测点的A声级。</w:t>
      </w:r>
    </w:p>
    <w:p w14:paraId="7026C7A6">
      <w:pPr>
        <w:bidi w:val="0"/>
        <w:ind w:left="0" w:leftChars="0" w:firstLine="0" w:firstLineChars="0"/>
        <w:jc w:val="center"/>
        <w:rPr>
          <w:rFonts w:hint="eastAsia"/>
          <w:sz w:val="24"/>
          <w:szCs w:val="24"/>
          <w:highlight w:val="yellow"/>
          <w:lang w:val="en-US" w:eastAsia="zh-CN"/>
        </w:rPr>
      </w:pPr>
      <w:r>
        <w:rPr>
          <w:rFonts w:hint="eastAsia"/>
          <w:position w:val="-30"/>
          <w:sz w:val="24"/>
          <w:szCs w:val="24"/>
          <w:highlight w:val="none"/>
          <w:lang w:val="en-US" w:eastAsia="zh-CN"/>
        </w:rPr>
        <w:object>
          <v:shape id="_x0000_i1035" o:spt="75" type="#_x0000_t75" style="height:36pt;width:155.25pt;" o:ole="t" filled="f" o:preferrelative="t" stroked="f" coordsize="21600,21600">
            <v:path/>
            <v:fill on="f" focussize="0,0"/>
            <v:stroke on="f"/>
            <v:imagedata r:id="rId98" o:title=""/>
            <o:lock v:ext="edit" aspectratio="t"/>
            <w10:wrap type="none"/>
            <w10:anchorlock/>
          </v:shape>
          <o:OLEObject Type="Embed" ProgID="Equation.KSEE3" ShapeID="_x0000_i1035" DrawAspect="Content" ObjectID="_1468075735" r:id="rId97">
            <o:LockedField>false</o:LockedField>
          </o:OLEObject>
        </w:object>
      </w:r>
    </w:p>
    <w:p w14:paraId="5A986B35">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w:t>
      </w:r>
      <w:r>
        <w:rPr>
          <w:rFonts w:hint="default" w:ascii="Times New Roman" w:hAnsi="Times New Roman" w:cs="Times New Roman"/>
          <w:sz w:val="24"/>
          <w:szCs w:val="24"/>
          <w:highlight w:val="none"/>
          <w:lang w:val="en-US" w:eastAsia="zh-CN"/>
        </w:rPr>
        <w:t>L</w:t>
      </w:r>
      <w:r>
        <w:rPr>
          <w:rFonts w:hint="default" w:ascii="Times New Roman" w:hAnsi="Times New Roman" w:cs="Times New Roman"/>
          <w:sz w:val="24"/>
          <w:szCs w:val="24"/>
          <w:highlight w:val="none"/>
          <w:vertAlign w:val="subscript"/>
          <w:lang w:val="en-US" w:eastAsia="zh-CN"/>
        </w:rPr>
        <w:t>A</w:t>
      </w:r>
      <w:r>
        <w:rPr>
          <w:rFonts w:hint="eastAsia"/>
          <w:sz w:val="24"/>
          <w:szCs w:val="24"/>
          <w:highlight w:val="none"/>
          <w:lang w:val="en-US" w:eastAsia="zh-CN"/>
        </w:rPr>
        <w:t>（r）——距声源r处的A 声级，dB（A）；</w:t>
      </w:r>
    </w:p>
    <w:p w14:paraId="4EAE4632">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pi</w:t>
      </w:r>
      <w:r>
        <w:rPr>
          <w:rFonts w:hint="eastAsia"/>
          <w:sz w:val="24"/>
          <w:szCs w:val="24"/>
          <w:highlight w:val="none"/>
          <w:lang w:val="en-US" w:eastAsia="zh-CN"/>
        </w:rPr>
        <w:t>（r）——预测点（r）处，第i倍频带声压级，dB；</w:t>
      </w:r>
    </w:p>
    <w:p w14:paraId="285D2A26">
      <w:pPr>
        <w:bidi w:val="0"/>
        <w:ind w:left="0" w:leftChars="0" w:firstLine="1440" w:firstLineChars="600"/>
        <w:rPr>
          <w:rFonts w:hint="eastAsia"/>
          <w:sz w:val="24"/>
          <w:szCs w:val="24"/>
          <w:highlight w:val="none"/>
          <w:lang w:val="en-US" w:eastAsia="zh-CN"/>
        </w:rPr>
      </w:pPr>
      <w:r>
        <w:rPr>
          <w:rFonts w:hint="default" w:ascii="Times New Roman" w:hAnsi="Times New Roman" w:cs="Times New Roman"/>
          <w:sz w:val="24"/>
          <w:szCs w:val="24"/>
          <w:highlight w:val="none"/>
          <w:lang w:val="en-US" w:eastAsia="zh-CN"/>
        </w:rPr>
        <w:t>Δ</w:t>
      </w:r>
      <w:r>
        <w:rPr>
          <w:rFonts w:hint="eastAsia"/>
          <w:sz w:val="24"/>
          <w:szCs w:val="24"/>
          <w:highlight w:val="none"/>
          <w:lang w:val="en-US" w:eastAsia="zh-CN"/>
        </w:rPr>
        <w:t>L</w:t>
      </w:r>
      <w:r>
        <w:rPr>
          <w:rFonts w:hint="eastAsia"/>
          <w:sz w:val="24"/>
          <w:szCs w:val="24"/>
          <w:highlight w:val="none"/>
          <w:vertAlign w:val="subscript"/>
          <w:lang w:val="en-US" w:eastAsia="zh-CN"/>
        </w:rPr>
        <w:t>i</w:t>
      </w:r>
      <w:r>
        <w:rPr>
          <w:rFonts w:hint="eastAsia"/>
          <w:sz w:val="24"/>
          <w:szCs w:val="24"/>
          <w:highlight w:val="none"/>
          <w:lang w:val="en-US" w:eastAsia="zh-CN"/>
        </w:rPr>
        <w:t>——第i倍频带的A计权网络修正值，dB。</w:t>
      </w:r>
    </w:p>
    <w:p w14:paraId="6BF38700">
      <w:pPr>
        <w:bidi w:val="0"/>
        <w:rPr>
          <w:rFonts w:hint="eastAsia"/>
          <w:sz w:val="24"/>
          <w:szCs w:val="24"/>
          <w:lang w:val="en-US" w:eastAsia="zh-CN"/>
        </w:rPr>
      </w:pPr>
      <w:r>
        <w:rPr>
          <w:rFonts w:hint="eastAsia"/>
          <w:sz w:val="24"/>
          <w:szCs w:val="24"/>
          <w:lang w:val="en-US" w:eastAsia="zh-CN"/>
        </w:rPr>
        <w:t>c）在只考虑几何发散衰减时，可按下式计算。</w:t>
      </w:r>
    </w:p>
    <w:p w14:paraId="3CAF18F3">
      <w:pPr>
        <w:bidi w:val="0"/>
        <w:ind w:left="0" w:leftChars="0" w:firstLine="0" w:firstLineChars="0"/>
        <w:jc w:val="center"/>
        <w:rPr>
          <w:rFonts w:hint="eastAsia"/>
          <w:sz w:val="24"/>
          <w:szCs w:val="24"/>
          <w:highlight w:val="none"/>
          <w:lang w:val="en-US" w:eastAsia="zh-CN"/>
        </w:rPr>
      </w:pPr>
      <w:r>
        <w:rPr>
          <w:rFonts w:hint="eastAsia"/>
          <w:position w:val="-12"/>
          <w:sz w:val="24"/>
          <w:szCs w:val="24"/>
          <w:highlight w:val="none"/>
          <w:lang w:val="en-US" w:eastAsia="zh-CN"/>
        </w:rPr>
        <w:object>
          <v:shape id="_x0000_i1036" o:spt="75" type="#_x0000_t75" style="height:18pt;width:103.95pt;" o:ole="t" filled="f" o:preferrelative="t" stroked="f" coordsize="21600,21600">
            <v:path/>
            <v:fill on="f" focussize="0,0"/>
            <v:stroke on="f"/>
            <v:imagedata r:id="rId100" o:title=""/>
            <o:lock v:ext="edit" aspectratio="t"/>
            <w10:wrap type="none"/>
            <w10:anchorlock/>
          </v:shape>
          <o:OLEObject Type="Embed" ProgID="Equation.KSEE3" ShapeID="_x0000_i1036" DrawAspect="Content" ObjectID="_1468075736" r:id="rId99">
            <o:LockedField>false</o:LockedField>
          </o:OLEObject>
        </w:object>
      </w:r>
    </w:p>
    <w:p w14:paraId="52383513">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A</w:t>
      </w:r>
      <w:r>
        <w:rPr>
          <w:rFonts w:hint="eastAsia"/>
          <w:sz w:val="24"/>
          <w:szCs w:val="24"/>
          <w:highlight w:val="none"/>
          <w:lang w:val="en-US" w:eastAsia="zh-CN"/>
        </w:rPr>
        <w:t>（r）——距声源r处的A声级，dB（A）；</w:t>
      </w:r>
    </w:p>
    <w:p w14:paraId="6F09A3F4">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A</w:t>
      </w:r>
      <w:r>
        <w:rPr>
          <w:rFonts w:hint="eastAsia"/>
          <w:sz w:val="24"/>
          <w:szCs w:val="24"/>
          <w:highlight w:val="none"/>
          <w:lang w:val="en-US" w:eastAsia="zh-CN"/>
        </w:rPr>
        <w:t>（r</w:t>
      </w:r>
      <w:r>
        <w:rPr>
          <w:rFonts w:hint="eastAsia"/>
          <w:sz w:val="24"/>
          <w:szCs w:val="24"/>
          <w:highlight w:val="none"/>
          <w:vertAlign w:val="subscript"/>
          <w:lang w:val="en-US" w:eastAsia="zh-CN"/>
        </w:rPr>
        <w:t>0</w:t>
      </w:r>
      <w:r>
        <w:rPr>
          <w:rFonts w:hint="eastAsia"/>
          <w:sz w:val="24"/>
          <w:szCs w:val="24"/>
          <w:highlight w:val="none"/>
          <w:lang w:val="en-US" w:eastAsia="zh-CN"/>
        </w:rPr>
        <w:t>）——参考位置r</w:t>
      </w:r>
      <w:r>
        <w:rPr>
          <w:rFonts w:hint="eastAsia"/>
          <w:sz w:val="24"/>
          <w:szCs w:val="24"/>
          <w:highlight w:val="none"/>
          <w:vertAlign w:val="subscript"/>
          <w:lang w:val="en-US" w:eastAsia="zh-CN"/>
        </w:rPr>
        <w:t>0</w:t>
      </w:r>
      <w:r>
        <w:rPr>
          <w:rFonts w:hint="eastAsia"/>
          <w:sz w:val="24"/>
          <w:szCs w:val="24"/>
          <w:highlight w:val="none"/>
          <w:lang w:val="en-US" w:eastAsia="zh-CN"/>
        </w:rPr>
        <w:t>处的A声级，dB（A）；</w:t>
      </w:r>
    </w:p>
    <w:p w14:paraId="14848B6D">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A</w:t>
      </w:r>
      <w:r>
        <w:rPr>
          <w:rFonts w:hint="eastAsia"/>
          <w:sz w:val="24"/>
          <w:szCs w:val="24"/>
          <w:highlight w:val="none"/>
          <w:vertAlign w:val="subscript"/>
          <w:lang w:val="en-US" w:eastAsia="zh-CN"/>
        </w:rPr>
        <w:t>div</w:t>
      </w:r>
      <w:r>
        <w:rPr>
          <w:rFonts w:hint="eastAsia"/>
          <w:sz w:val="24"/>
          <w:szCs w:val="24"/>
          <w:highlight w:val="none"/>
          <w:lang w:val="en-US" w:eastAsia="zh-CN"/>
        </w:rPr>
        <w:t>——几何发散引起的衰减，dB。</w:t>
      </w:r>
    </w:p>
    <w:p w14:paraId="18BD006A">
      <w:pPr>
        <w:bidi w:val="0"/>
        <w:rPr>
          <w:rFonts w:hint="default"/>
          <w:sz w:val="24"/>
          <w:szCs w:val="24"/>
          <w:lang w:val="en-US" w:eastAsia="zh-CN"/>
        </w:rPr>
      </w:pPr>
      <w:r>
        <w:rPr>
          <w:rFonts w:hint="eastAsia"/>
          <w:sz w:val="24"/>
          <w:szCs w:val="24"/>
          <w:lang w:val="en-US" w:eastAsia="zh-CN"/>
        </w:rPr>
        <w:t>②衰减项</w:t>
      </w:r>
    </w:p>
    <w:p w14:paraId="38B95120">
      <w:pPr>
        <w:bidi w:val="0"/>
        <w:rPr>
          <w:rFonts w:hint="default"/>
          <w:sz w:val="24"/>
          <w:szCs w:val="24"/>
          <w:lang w:val="en-US" w:eastAsia="zh-CN"/>
        </w:rPr>
      </w:pPr>
      <w:r>
        <w:rPr>
          <w:rFonts w:hint="eastAsia"/>
          <w:sz w:val="24"/>
          <w:szCs w:val="24"/>
          <w:lang w:val="en-US" w:eastAsia="zh-CN"/>
        </w:rPr>
        <w:t>a）无指向性点声源几何发散衰减</w:t>
      </w:r>
    </w:p>
    <w:p w14:paraId="4A134689">
      <w:pPr>
        <w:bidi w:val="0"/>
        <w:ind w:left="0" w:leftChars="0" w:firstLine="0" w:firstLineChars="0"/>
        <w:jc w:val="center"/>
        <w:rPr>
          <w:rFonts w:hint="eastAsia"/>
          <w:sz w:val="24"/>
          <w:szCs w:val="24"/>
          <w:highlight w:val="yellow"/>
          <w:lang w:val="en-US" w:eastAsia="zh-CN"/>
        </w:rPr>
      </w:pPr>
      <w:r>
        <w:rPr>
          <w:rFonts w:hint="eastAsia"/>
          <w:position w:val="-14"/>
          <w:sz w:val="24"/>
          <w:szCs w:val="24"/>
          <w:highlight w:val="none"/>
          <w:lang w:val="en-US" w:eastAsia="zh-CN"/>
        </w:rPr>
        <w:object>
          <v:shape id="_x0000_i1037" o:spt="75" type="#_x0000_t75" style="height:19pt;width:139pt;" o:ole="t" filled="f" o:preferrelative="t" stroked="f" coordsize="21600,21600">
            <v:path/>
            <v:fill on="f" focussize="0,0"/>
            <v:stroke on="f"/>
            <v:imagedata r:id="rId102" o:title=""/>
            <o:lock v:ext="edit" aspectratio="t"/>
            <w10:wrap type="none"/>
            <w10:anchorlock/>
          </v:shape>
          <o:OLEObject Type="Embed" ProgID="Equation.KSEE3" ShapeID="_x0000_i1037" DrawAspect="Content" ObjectID="_1468075737" r:id="rId101">
            <o:LockedField>false</o:LockedField>
          </o:OLEObject>
        </w:object>
      </w:r>
    </w:p>
    <w:p w14:paraId="4D16FDDD">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p</w:t>
      </w:r>
      <w:r>
        <w:rPr>
          <w:rFonts w:hint="eastAsia"/>
          <w:sz w:val="24"/>
          <w:szCs w:val="24"/>
          <w:highlight w:val="none"/>
          <w:lang w:val="en-US" w:eastAsia="zh-CN"/>
        </w:rPr>
        <w:t>（r）——预测点处声压级，dB；</w:t>
      </w:r>
    </w:p>
    <w:p w14:paraId="2A07372F">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p</w:t>
      </w:r>
      <w:r>
        <w:rPr>
          <w:rFonts w:hint="eastAsia"/>
          <w:sz w:val="24"/>
          <w:szCs w:val="24"/>
          <w:highlight w:val="none"/>
          <w:lang w:val="en-US" w:eastAsia="zh-CN"/>
        </w:rPr>
        <w:t>（r</w:t>
      </w:r>
      <w:r>
        <w:rPr>
          <w:rFonts w:hint="eastAsia"/>
          <w:sz w:val="24"/>
          <w:szCs w:val="24"/>
          <w:highlight w:val="none"/>
          <w:vertAlign w:val="subscript"/>
          <w:lang w:val="en-US" w:eastAsia="zh-CN"/>
        </w:rPr>
        <w:t>0</w:t>
      </w:r>
      <w:r>
        <w:rPr>
          <w:rFonts w:hint="eastAsia"/>
          <w:sz w:val="24"/>
          <w:szCs w:val="24"/>
          <w:highlight w:val="none"/>
          <w:lang w:val="en-US" w:eastAsia="zh-CN"/>
        </w:rPr>
        <w:t>）——参考位置r</w:t>
      </w:r>
      <w:r>
        <w:rPr>
          <w:rFonts w:hint="eastAsia"/>
          <w:sz w:val="24"/>
          <w:szCs w:val="24"/>
          <w:highlight w:val="none"/>
          <w:vertAlign w:val="subscript"/>
          <w:lang w:val="en-US" w:eastAsia="zh-CN"/>
        </w:rPr>
        <w:t>0</w:t>
      </w:r>
      <w:r>
        <w:rPr>
          <w:rFonts w:hint="eastAsia"/>
          <w:sz w:val="24"/>
          <w:szCs w:val="24"/>
          <w:highlight w:val="none"/>
          <w:lang w:val="en-US" w:eastAsia="zh-CN"/>
        </w:rPr>
        <w:t>处的声压级，dB；</w:t>
      </w:r>
    </w:p>
    <w:p w14:paraId="026DA64F">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r——预测点距声源的距离；</w:t>
      </w:r>
    </w:p>
    <w:p w14:paraId="43FD2771">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w:t>
      </w:r>
      <w:r>
        <w:rPr>
          <w:rFonts w:hint="eastAsia"/>
          <w:sz w:val="24"/>
          <w:szCs w:val="24"/>
          <w:highlight w:val="none"/>
          <w:vertAlign w:val="subscript"/>
          <w:lang w:val="en-US" w:eastAsia="zh-CN"/>
        </w:rPr>
        <w:t>0</w:t>
      </w:r>
      <w:r>
        <w:rPr>
          <w:rFonts w:hint="eastAsia"/>
          <w:sz w:val="24"/>
          <w:szCs w:val="24"/>
          <w:highlight w:val="none"/>
          <w:lang w:val="en-US" w:eastAsia="zh-CN"/>
        </w:rPr>
        <w:t>——参考位置距声源的距离。</w:t>
      </w:r>
    </w:p>
    <w:p w14:paraId="702EB912">
      <w:pPr>
        <w:bidi w:val="0"/>
        <w:rPr>
          <w:rFonts w:hint="eastAsia"/>
          <w:sz w:val="24"/>
          <w:szCs w:val="24"/>
          <w:lang w:val="en-US" w:eastAsia="zh-CN"/>
        </w:rPr>
      </w:pPr>
      <w:r>
        <w:rPr>
          <w:rFonts w:hint="eastAsia"/>
          <w:sz w:val="24"/>
          <w:szCs w:val="24"/>
          <w:lang w:val="en-US" w:eastAsia="zh-CN"/>
        </w:rPr>
        <w:t>上式中第二项表示了点声源的几何发散衰减：</w:t>
      </w:r>
    </w:p>
    <w:p w14:paraId="6BEC99A6">
      <w:pPr>
        <w:bidi w:val="0"/>
        <w:ind w:left="0" w:leftChars="0" w:firstLine="0" w:firstLineChars="0"/>
        <w:jc w:val="center"/>
        <w:rPr>
          <w:rFonts w:hint="eastAsia"/>
          <w:sz w:val="24"/>
          <w:szCs w:val="24"/>
          <w:highlight w:val="yellow"/>
          <w:lang w:val="en-US" w:eastAsia="zh-CN"/>
        </w:rPr>
      </w:pPr>
      <w:r>
        <w:rPr>
          <w:rFonts w:hint="eastAsia"/>
          <w:position w:val="-12"/>
          <w:sz w:val="24"/>
          <w:szCs w:val="24"/>
          <w:highlight w:val="none"/>
          <w:lang w:val="en-US" w:eastAsia="zh-CN"/>
        </w:rPr>
        <w:object>
          <v:shape id="_x0000_i1038" o:spt="75" type="#_x0000_t75" style="height:18pt;width:92pt;" o:ole="t" filled="f" o:preferrelative="t" stroked="f" coordsize="21600,21600">
            <v:path/>
            <v:fill on="f" focussize="0,0"/>
            <v:stroke on="f"/>
            <v:imagedata r:id="rId104" o:title=""/>
            <o:lock v:ext="edit" aspectratio="t"/>
            <w10:wrap type="none"/>
            <w10:anchorlock/>
          </v:shape>
          <o:OLEObject Type="Embed" ProgID="Equation.KSEE3" ShapeID="_x0000_i1038" DrawAspect="Content" ObjectID="_1468075738" r:id="rId103">
            <o:LockedField>false</o:LockedField>
          </o:OLEObject>
        </w:object>
      </w:r>
    </w:p>
    <w:p w14:paraId="051C8C56">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式中：A</w:t>
      </w:r>
      <w:r>
        <w:rPr>
          <w:rFonts w:hint="eastAsia"/>
          <w:sz w:val="24"/>
          <w:szCs w:val="24"/>
          <w:highlight w:val="none"/>
          <w:vertAlign w:val="subscript"/>
          <w:lang w:val="en-US" w:eastAsia="zh-CN"/>
        </w:rPr>
        <w:t>div</w:t>
      </w:r>
      <w:r>
        <w:rPr>
          <w:rFonts w:hint="eastAsia"/>
          <w:sz w:val="24"/>
          <w:szCs w:val="24"/>
          <w:highlight w:val="none"/>
          <w:lang w:val="en-US" w:eastAsia="zh-CN"/>
        </w:rPr>
        <w:t>——几何发散引起的衰减，dB；</w:t>
      </w:r>
    </w:p>
    <w:p w14:paraId="3961F33E">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r——预测点距声源的距离；</w:t>
      </w:r>
    </w:p>
    <w:p w14:paraId="40DB45F3">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w:t>
      </w:r>
      <w:r>
        <w:rPr>
          <w:rFonts w:hint="eastAsia"/>
          <w:sz w:val="24"/>
          <w:szCs w:val="24"/>
          <w:highlight w:val="none"/>
          <w:vertAlign w:val="subscript"/>
          <w:lang w:val="en-US" w:eastAsia="zh-CN"/>
        </w:rPr>
        <w:t>0</w:t>
      </w:r>
      <w:r>
        <w:rPr>
          <w:rFonts w:hint="eastAsia"/>
          <w:sz w:val="24"/>
          <w:szCs w:val="24"/>
          <w:highlight w:val="none"/>
          <w:lang w:val="en-US" w:eastAsia="zh-CN"/>
        </w:rPr>
        <w:t>——参考位置距声源的距离。</w:t>
      </w:r>
    </w:p>
    <w:p w14:paraId="5C455B43">
      <w:pPr>
        <w:keepNext w:val="0"/>
        <w:keepLines w:val="0"/>
        <w:pageBreakBefore w:val="0"/>
        <w:widowControl w:val="0"/>
        <w:kinsoku/>
        <w:wordWrap/>
        <w:overflowPunct/>
        <w:topLinePunct w:val="0"/>
        <w:autoSpaceDE/>
        <w:autoSpaceDN/>
        <w:bidi w:val="0"/>
        <w:adjustRightInd/>
        <w:snapToGrid/>
        <w:jc w:val="left"/>
        <w:textAlignment w:val="auto"/>
        <w:rPr>
          <w:rFonts w:hint="eastAsia"/>
          <w:sz w:val="24"/>
          <w:szCs w:val="24"/>
          <w:lang w:val="en-US" w:eastAsia="zh-CN"/>
        </w:rPr>
      </w:pPr>
      <w:r>
        <w:rPr>
          <w:rFonts w:hint="eastAsia"/>
          <w:sz w:val="24"/>
          <w:szCs w:val="24"/>
          <w:lang w:val="en-US" w:eastAsia="zh-CN"/>
        </w:rPr>
        <w:t>如果已知点声源的倍频带声功率级或A计权声功率级（L</w:t>
      </w:r>
      <w:r>
        <w:rPr>
          <w:rFonts w:hint="eastAsia"/>
          <w:sz w:val="24"/>
          <w:szCs w:val="24"/>
          <w:vertAlign w:val="subscript"/>
          <w:lang w:val="en-US" w:eastAsia="zh-CN"/>
        </w:rPr>
        <w:t>Aw</w:t>
      </w:r>
      <w:r>
        <w:rPr>
          <w:rFonts w:hint="eastAsia"/>
          <w:sz w:val="24"/>
          <w:szCs w:val="24"/>
          <w:lang w:val="en-US" w:eastAsia="zh-CN"/>
        </w:rPr>
        <w:t>），且声源处于自由声场，则等效为下式：</w:t>
      </w:r>
    </w:p>
    <w:p w14:paraId="253259D8">
      <w:pPr>
        <w:bidi w:val="0"/>
        <w:ind w:left="0" w:leftChars="0" w:firstLine="0" w:firstLineChars="0"/>
        <w:jc w:val="center"/>
        <w:rPr>
          <w:rFonts w:hint="eastAsia"/>
          <w:sz w:val="24"/>
          <w:szCs w:val="24"/>
          <w:highlight w:val="none"/>
          <w:lang w:val="en-US" w:eastAsia="zh-CN"/>
        </w:rPr>
      </w:pPr>
      <w:r>
        <w:rPr>
          <w:rFonts w:hint="eastAsia"/>
          <w:position w:val="-14"/>
          <w:sz w:val="24"/>
          <w:szCs w:val="24"/>
          <w:highlight w:val="none"/>
          <w:lang w:val="en-US" w:eastAsia="zh-CN"/>
        </w:rPr>
        <w:object>
          <v:shape id="_x0000_i1039" o:spt="75" type="#_x0000_t75" style="height:19pt;width:116pt;" o:ole="t" filled="f" o:preferrelative="t" stroked="f" coordsize="21600,21600">
            <v:path/>
            <v:fill on="f" focussize="0,0"/>
            <v:stroke on="f"/>
            <v:imagedata r:id="rId106" o:title=""/>
            <o:lock v:ext="edit" aspectratio="t"/>
            <w10:wrap type="none"/>
            <w10:anchorlock/>
          </v:shape>
          <o:OLEObject Type="Embed" ProgID="Equation.KSEE3" ShapeID="_x0000_i1039" DrawAspect="Content" ObjectID="_1468075739" r:id="rId105">
            <o:LockedField>false</o:LockedField>
          </o:OLEObject>
        </w:object>
      </w:r>
    </w:p>
    <w:p w14:paraId="19C31229">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p</w:t>
      </w:r>
      <w:r>
        <w:rPr>
          <w:rFonts w:hint="eastAsia"/>
          <w:sz w:val="24"/>
          <w:szCs w:val="24"/>
          <w:highlight w:val="none"/>
          <w:lang w:val="en-US" w:eastAsia="zh-CN"/>
        </w:rPr>
        <w:t>（r）——预测点处声压级，dB；</w:t>
      </w:r>
    </w:p>
    <w:p w14:paraId="052A1649">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Lw——由点声源产生的倍频带声功率级，dB；</w:t>
      </w:r>
    </w:p>
    <w:p w14:paraId="313EFF07">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r——预测点距声源的距离。</w:t>
      </w:r>
    </w:p>
    <w:p w14:paraId="0DE1CEE3">
      <w:pPr>
        <w:bidi w:val="0"/>
        <w:ind w:left="0" w:leftChars="0" w:firstLine="0" w:firstLineChars="0"/>
        <w:jc w:val="center"/>
        <w:rPr>
          <w:rFonts w:hint="eastAsia"/>
          <w:sz w:val="24"/>
          <w:szCs w:val="24"/>
          <w:highlight w:val="yellow"/>
          <w:lang w:val="en-US" w:eastAsia="zh-CN"/>
        </w:rPr>
      </w:pPr>
      <w:r>
        <w:rPr>
          <w:rFonts w:hint="eastAsia"/>
          <w:position w:val="-14"/>
          <w:sz w:val="24"/>
          <w:szCs w:val="24"/>
          <w:highlight w:val="none"/>
          <w:lang w:val="en-US" w:eastAsia="zh-CN"/>
        </w:rPr>
        <w:object>
          <v:shape id="_x0000_i1040" o:spt="75" type="#_x0000_t75" style="height:19pt;width:121.95pt;" o:ole="t" filled="f" o:preferrelative="t" stroked="f" coordsize="21600,21600">
            <v:path/>
            <v:fill on="f" focussize="0,0"/>
            <v:stroke on="f"/>
            <v:imagedata r:id="rId108" o:title=""/>
            <o:lock v:ext="edit" aspectratio="t"/>
            <w10:wrap type="none"/>
            <w10:anchorlock/>
          </v:shape>
          <o:OLEObject Type="Embed" ProgID="Equation.KSEE3" ShapeID="_x0000_i1040" DrawAspect="Content" ObjectID="_1468075740" r:id="rId107">
            <o:LockedField>false</o:LockedField>
          </o:OLEObject>
        </w:object>
      </w:r>
    </w:p>
    <w:p w14:paraId="017E997E">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A</w:t>
      </w:r>
      <w:r>
        <w:rPr>
          <w:rFonts w:hint="eastAsia"/>
          <w:sz w:val="24"/>
          <w:szCs w:val="24"/>
          <w:highlight w:val="none"/>
          <w:lang w:val="en-US" w:eastAsia="zh-CN"/>
        </w:rPr>
        <w:t>（r）——距声源r处的A声级，dB（A）；</w:t>
      </w:r>
    </w:p>
    <w:p w14:paraId="5E2DD395">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Aw</w:t>
      </w:r>
      <w:r>
        <w:rPr>
          <w:rFonts w:hint="eastAsia"/>
          <w:sz w:val="24"/>
          <w:szCs w:val="24"/>
          <w:highlight w:val="none"/>
          <w:lang w:val="en-US" w:eastAsia="zh-CN"/>
        </w:rPr>
        <w:t>——点声源A计权声功率级，dB；</w:t>
      </w:r>
    </w:p>
    <w:p w14:paraId="3A809DC3">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r——预测点距声源的距离。</w:t>
      </w:r>
    </w:p>
    <w:p w14:paraId="1320BBA1">
      <w:pPr>
        <w:bidi w:val="0"/>
        <w:ind w:left="0" w:leftChars="0" w:firstLine="0" w:firstLineChars="0"/>
        <w:rPr>
          <w:rFonts w:hint="eastAsia"/>
          <w:sz w:val="24"/>
          <w:szCs w:val="24"/>
          <w:highlight w:val="none"/>
          <w:lang w:val="en-US" w:eastAsia="zh-CN"/>
        </w:rPr>
      </w:pPr>
      <w:r>
        <w:rPr>
          <w:rFonts w:hint="eastAsia"/>
          <w:sz w:val="24"/>
          <w:szCs w:val="24"/>
          <w:highlight w:val="none"/>
          <w:lang w:val="en-US" w:eastAsia="zh-CN"/>
        </w:rPr>
        <w:t>如果声源处于半自由声场，则等效为下式：</w:t>
      </w:r>
    </w:p>
    <w:p w14:paraId="7CBB1325">
      <w:pPr>
        <w:bidi w:val="0"/>
        <w:ind w:left="0" w:leftChars="0" w:firstLine="0" w:firstLineChars="0"/>
        <w:jc w:val="center"/>
        <w:rPr>
          <w:rFonts w:hint="eastAsia"/>
          <w:sz w:val="24"/>
          <w:szCs w:val="24"/>
          <w:highlight w:val="none"/>
          <w:lang w:val="en-US" w:eastAsia="zh-CN"/>
        </w:rPr>
      </w:pPr>
      <w:r>
        <w:rPr>
          <w:rFonts w:hint="eastAsia"/>
          <w:position w:val="-14"/>
          <w:sz w:val="24"/>
          <w:szCs w:val="24"/>
          <w:highlight w:val="none"/>
          <w:lang w:val="en-US" w:eastAsia="zh-CN"/>
        </w:rPr>
        <w:object>
          <v:shape id="_x0000_i1041" o:spt="75" type="#_x0000_t75" style="height:19pt;width:111pt;" o:ole="t" filled="f" o:preferrelative="t" stroked="f" coordsize="21600,21600">
            <v:path/>
            <v:fill on="f" focussize="0,0"/>
            <v:stroke on="f"/>
            <v:imagedata r:id="rId110" o:title=""/>
            <o:lock v:ext="edit" aspectratio="t"/>
            <w10:wrap type="none"/>
            <w10:anchorlock/>
          </v:shape>
          <o:OLEObject Type="Embed" ProgID="Equation.KSEE3" ShapeID="_x0000_i1041" DrawAspect="Content" ObjectID="_1468075741" r:id="rId109">
            <o:LockedField>false</o:LockedField>
          </o:OLEObject>
        </w:object>
      </w:r>
    </w:p>
    <w:p w14:paraId="69CAA20E">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p</w:t>
      </w:r>
      <w:r>
        <w:rPr>
          <w:rFonts w:hint="eastAsia"/>
          <w:sz w:val="24"/>
          <w:szCs w:val="24"/>
          <w:highlight w:val="none"/>
          <w:lang w:val="en-US" w:eastAsia="zh-CN"/>
        </w:rPr>
        <w:t>（r）——预测点处声压级，dB；</w:t>
      </w:r>
    </w:p>
    <w:p w14:paraId="41D3F3C4">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w</w:t>
      </w:r>
      <w:r>
        <w:rPr>
          <w:rFonts w:hint="eastAsia"/>
          <w:sz w:val="24"/>
          <w:szCs w:val="24"/>
          <w:highlight w:val="none"/>
          <w:lang w:val="en-US" w:eastAsia="zh-CN"/>
        </w:rPr>
        <w:t>——由点声源产生的倍频带声功率级，dB；</w:t>
      </w:r>
    </w:p>
    <w:p w14:paraId="7D57E21B">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r——预测点距声源的距离。</w:t>
      </w:r>
    </w:p>
    <w:p w14:paraId="3E6A4204">
      <w:pPr>
        <w:bidi w:val="0"/>
        <w:ind w:left="0" w:leftChars="0" w:firstLine="0" w:firstLineChars="0"/>
        <w:jc w:val="center"/>
        <w:rPr>
          <w:rFonts w:hint="eastAsia"/>
          <w:sz w:val="24"/>
          <w:szCs w:val="24"/>
          <w:highlight w:val="none"/>
          <w:lang w:val="en-US" w:eastAsia="zh-CN"/>
        </w:rPr>
      </w:pPr>
      <w:r>
        <w:rPr>
          <w:rFonts w:hint="eastAsia"/>
          <w:position w:val="-14"/>
          <w:sz w:val="24"/>
          <w:szCs w:val="24"/>
          <w:highlight w:val="none"/>
          <w:lang w:val="en-US" w:eastAsia="zh-CN"/>
        </w:rPr>
        <w:object>
          <v:shape id="_x0000_i1042" o:spt="75" type="#_x0000_t75" style="height:19pt;width:117pt;" o:ole="t" filled="f" o:preferrelative="t" stroked="f" coordsize="21600,21600">
            <v:path/>
            <v:fill on="f" focussize="0,0"/>
            <v:stroke on="f"/>
            <v:imagedata r:id="rId112" o:title=""/>
            <o:lock v:ext="edit" aspectratio="t"/>
            <w10:wrap type="none"/>
            <w10:anchorlock/>
          </v:shape>
          <o:OLEObject Type="Embed" ProgID="Equation.KSEE3" ShapeID="_x0000_i1042" DrawAspect="Content" ObjectID="_1468075742" r:id="rId111">
            <o:LockedField>false</o:LockedField>
          </o:OLEObject>
        </w:object>
      </w:r>
    </w:p>
    <w:p w14:paraId="247E3E18">
      <w:pPr>
        <w:bidi w:val="0"/>
        <w:ind w:left="0" w:leftChars="0" w:firstLine="720" w:firstLineChars="300"/>
        <w:rPr>
          <w:rFonts w:hint="eastAsia"/>
          <w:sz w:val="24"/>
          <w:szCs w:val="24"/>
          <w:highlight w:val="none"/>
          <w:lang w:val="en-US" w:eastAsia="zh-CN"/>
        </w:rPr>
      </w:pPr>
      <w:r>
        <w:rPr>
          <w:rFonts w:hint="eastAsia"/>
          <w:sz w:val="24"/>
          <w:szCs w:val="24"/>
          <w:highlight w:val="none"/>
          <w:lang w:val="en-US" w:eastAsia="zh-CN"/>
        </w:rPr>
        <w:t>式中：L</w:t>
      </w:r>
      <w:r>
        <w:rPr>
          <w:rFonts w:hint="eastAsia"/>
          <w:sz w:val="24"/>
          <w:szCs w:val="24"/>
          <w:highlight w:val="none"/>
          <w:vertAlign w:val="subscript"/>
          <w:lang w:val="en-US" w:eastAsia="zh-CN"/>
        </w:rPr>
        <w:t>A</w:t>
      </w:r>
      <w:r>
        <w:rPr>
          <w:rFonts w:hint="eastAsia"/>
          <w:sz w:val="24"/>
          <w:szCs w:val="24"/>
          <w:highlight w:val="none"/>
          <w:lang w:val="en-US" w:eastAsia="zh-CN"/>
        </w:rPr>
        <w:t>（r）——距声源r处的A 声级，dB（A）；</w:t>
      </w:r>
    </w:p>
    <w:p w14:paraId="4A467078">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L</w:t>
      </w:r>
      <w:r>
        <w:rPr>
          <w:rFonts w:hint="eastAsia"/>
          <w:sz w:val="24"/>
          <w:szCs w:val="24"/>
          <w:highlight w:val="none"/>
          <w:vertAlign w:val="subscript"/>
          <w:lang w:val="en-US" w:eastAsia="zh-CN"/>
        </w:rPr>
        <w:t>Aw</w:t>
      </w:r>
      <w:r>
        <w:rPr>
          <w:rFonts w:hint="eastAsia"/>
          <w:sz w:val="24"/>
          <w:szCs w:val="24"/>
          <w:highlight w:val="none"/>
          <w:lang w:val="en-US" w:eastAsia="zh-CN"/>
        </w:rPr>
        <w:t>——点声源A计权声功率级，dB；</w:t>
      </w:r>
    </w:p>
    <w:p w14:paraId="4C3AB811">
      <w:pPr>
        <w:bidi w:val="0"/>
        <w:ind w:left="0" w:leftChars="0" w:firstLine="1440" w:firstLineChars="600"/>
        <w:rPr>
          <w:rFonts w:hint="eastAsia"/>
          <w:sz w:val="24"/>
          <w:szCs w:val="24"/>
          <w:highlight w:val="none"/>
          <w:lang w:val="en-US" w:eastAsia="zh-CN"/>
        </w:rPr>
      </w:pPr>
      <w:r>
        <w:rPr>
          <w:rFonts w:hint="eastAsia"/>
          <w:sz w:val="24"/>
          <w:szCs w:val="24"/>
          <w:highlight w:val="none"/>
          <w:lang w:val="en-US" w:eastAsia="zh-CN"/>
        </w:rPr>
        <w:t>r——预测点距声源的距离。</w:t>
      </w:r>
    </w:p>
    <w:p w14:paraId="06BFBEDE">
      <w:pPr>
        <w:bidi w:val="0"/>
        <w:rPr>
          <w:rFonts w:hint="default"/>
          <w:b/>
          <w:bCs/>
          <w:sz w:val="24"/>
          <w:szCs w:val="24"/>
          <w:lang w:val="en-US" w:eastAsia="zh-CN"/>
        </w:rPr>
      </w:pPr>
      <w:r>
        <w:rPr>
          <w:rFonts w:hint="eastAsia"/>
          <w:b/>
          <w:bCs/>
          <w:sz w:val="24"/>
          <w:szCs w:val="24"/>
          <w:lang w:val="en-US" w:eastAsia="zh-CN"/>
        </w:rPr>
        <w:t>（3）噪声预测结果</w:t>
      </w:r>
    </w:p>
    <w:p w14:paraId="09D3B536">
      <w:pPr>
        <w:bidi w:val="0"/>
        <w:rPr>
          <w:rFonts w:hint="eastAsia"/>
          <w:sz w:val="24"/>
          <w:szCs w:val="24"/>
          <w:lang w:val="en-US" w:eastAsia="zh-CN"/>
        </w:rPr>
      </w:pPr>
      <w:r>
        <w:rPr>
          <w:rFonts w:hint="eastAsia"/>
          <w:sz w:val="24"/>
          <w:szCs w:val="24"/>
          <w:lang w:val="en-US" w:eastAsia="zh-CN"/>
        </w:rPr>
        <w:t>根据点声源噪声衰减模式，估算出主要施工机械噪声随距离的衰减结果见表5.1-3。</w:t>
      </w:r>
    </w:p>
    <w:p w14:paraId="0A265F20">
      <w:pPr>
        <w:bidi w:val="0"/>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表5.1-3  各施工点主要设备噪声随距离的衰减</w:t>
      </w:r>
    </w:p>
    <w:tbl>
      <w:tblPr>
        <w:tblStyle w:val="4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905"/>
        <w:gridCol w:w="905"/>
        <w:gridCol w:w="907"/>
        <w:gridCol w:w="909"/>
        <w:gridCol w:w="909"/>
        <w:gridCol w:w="909"/>
        <w:gridCol w:w="909"/>
        <w:gridCol w:w="909"/>
        <w:gridCol w:w="933"/>
      </w:tblGrid>
      <w:tr w14:paraId="284229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90" w:type="pct"/>
            <w:vMerge w:val="restart"/>
            <w:noWrap w:val="0"/>
            <w:vAlign w:val="center"/>
          </w:tcPr>
          <w:p w14:paraId="5C7B42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噪声源</w:t>
            </w:r>
          </w:p>
        </w:tc>
        <w:tc>
          <w:tcPr>
            <w:tcW w:w="4409" w:type="pct"/>
            <w:gridSpan w:val="9"/>
            <w:noWrap w:val="0"/>
            <w:vAlign w:val="center"/>
          </w:tcPr>
          <w:p w14:paraId="3D53E3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与噪声源不同距离的噪声值[dB（A）]</w:t>
            </w:r>
          </w:p>
        </w:tc>
      </w:tr>
      <w:tr w14:paraId="5C194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90" w:type="pct"/>
            <w:vMerge w:val="continue"/>
            <w:noWrap w:val="0"/>
            <w:vAlign w:val="center"/>
          </w:tcPr>
          <w:p w14:paraId="18AFD1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p>
        </w:tc>
        <w:tc>
          <w:tcPr>
            <w:tcW w:w="487" w:type="pct"/>
            <w:noWrap w:val="0"/>
            <w:vAlign w:val="center"/>
          </w:tcPr>
          <w:p w14:paraId="118FD1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5m</w:t>
            </w:r>
          </w:p>
        </w:tc>
        <w:tc>
          <w:tcPr>
            <w:tcW w:w="487" w:type="pct"/>
            <w:noWrap w:val="0"/>
            <w:vAlign w:val="center"/>
          </w:tcPr>
          <w:p w14:paraId="1BE9B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20m</w:t>
            </w:r>
          </w:p>
        </w:tc>
        <w:tc>
          <w:tcPr>
            <w:tcW w:w="488" w:type="pct"/>
            <w:noWrap w:val="0"/>
            <w:vAlign w:val="center"/>
          </w:tcPr>
          <w:p w14:paraId="7D16CB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40m</w:t>
            </w:r>
          </w:p>
        </w:tc>
        <w:tc>
          <w:tcPr>
            <w:tcW w:w="489" w:type="pct"/>
            <w:noWrap w:val="0"/>
            <w:vAlign w:val="center"/>
          </w:tcPr>
          <w:p w14:paraId="6F961F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80m</w:t>
            </w:r>
          </w:p>
        </w:tc>
        <w:tc>
          <w:tcPr>
            <w:tcW w:w="489" w:type="pct"/>
            <w:noWrap w:val="0"/>
            <w:vAlign w:val="center"/>
          </w:tcPr>
          <w:p w14:paraId="2AFA33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100m</w:t>
            </w:r>
          </w:p>
        </w:tc>
        <w:tc>
          <w:tcPr>
            <w:tcW w:w="489" w:type="pct"/>
            <w:noWrap w:val="0"/>
            <w:vAlign w:val="center"/>
          </w:tcPr>
          <w:p w14:paraId="77E4AB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150m</w:t>
            </w:r>
          </w:p>
        </w:tc>
        <w:tc>
          <w:tcPr>
            <w:tcW w:w="489" w:type="pct"/>
            <w:noWrap w:val="0"/>
            <w:vAlign w:val="center"/>
          </w:tcPr>
          <w:p w14:paraId="59C538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300m</w:t>
            </w:r>
          </w:p>
        </w:tc>
        <w:tc>
          <w:tcPr>
            <w:tcW w:w="489" w:type="pct"/>
            <w:noWrap w:val="0"/>
            <w:vAlign w:val="center"/>
          </w:tcPr>
          <w:p w14:paraId="0F3484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400m</w:t>
            </w:r>
          </w:p>
        </w:tc>
        <w:tc>
          <w:tcPr>
            <w:tcW w:w="499" w:type="pct"/>
            <w:noWrap w:val="0"/>
            <w:vAlign w:val="center"/>
          </w:tcPr>
          <w:p w14:paraId="30A0BC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eastAsia"/>
                <w:b/>
                <w:bCs/>
                <w:sz w:val="21"/>
                <w:szCs w:val="21"/>
                <w:highlight w:val="none"/>
                <w:lang w:val="en-US" w:eastAsia="zh-CN"/>
              </w:rPr>
              <w:t>800m</w:t>
            </w:r>
          </w:p>
        </w:tc>
      </w:tr>
      <w:tr w14:paraId="5261C2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0" w:type="pct"/>
            <w:noWrap w:val="0"/>
            <w:vAlign w:val="center"/>
          </w:tcPr>
          <w:p w14:paraId="672029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挖掘机</w:t>
            </w:r>
          </w:p>
        </w:tc>
        <w:tc>
          <w:tcPr>
            <w:tcW w:w="487" w:type="pct"/>
            <w:noWrap w:val="0"/>
            <w:vAlign w:val="center"/>
          </w:tcPr>
          <w:p w14:paraId="7E5787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76.02</w:t>
            </w:r>
          </w:p>
        </w:tc>
        <w:tc>
          <w:tcPr>
            <w:tcW w:w="487" w:type="pct"/>
            <w:noWrap w:val="0"/>
            <w:vAlign w:val="center"/>
          </w:tcPr>
          <w:p w14:paraId="34164A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63.9</w:t>
            </w:r>
            <w:r>
              <w:rPr>
                <w:rFonts w:hint="eastAsia"/>
                <w:sz w:val="21"/>
                <w:szCs w:val="21"/>
                <w:highlight w:val="none"/>
                <w:lang w:val="en-US" w:eastAsia="zh-CN"/>
              </w:rPr>
              <w:t>8</w:t>
            </w:r>
          </w:p>
        </w:tc>
        <w:tc>
          <w:tcPr>
            <w:tcW w:w="488" w:type="pct"/>
            <w:noWrap w:val="0"/>
            <w:vAlign w:val="center"/>
          </w:tcPr>
          <w:p w14:paraId="3421E1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57.9</w:t>
            </w:r>
            <w:r>
              <w:rPr>
                <w:rFonts w:hint="eastAsia"/>
                <w:sz w:val="21"/>
                <w:szCs w:val="21"/>
                <w:highlight w:val="none"/>
                <w:lang w:val="en-US" w:eastAsia="zh-CN"/>
              </w:rPr>
              <w:t>6</w:t>
            </w:r>
          </w:p>
        </w:tc>
        <w:tc>
          <w:tcPr>
            <w:tcW w:w="489" w:type="pct"/>
            <w:noWrap w:val="0"/>
            <w:vAlign w:val="center"/>
          </w:tcPr>
          <w:p w14:paraId="6E169F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51.9</w:t>
            </w:r>
            <w:r>
              <w:rPr>
                <w:rFonts w:hint="eastAsia"/>
                <w:sz w:val="21"/>
                <w:szCs w:val="21"/>
                <w:highlight w:val="none"/>
                <w:lang w:val="en-US" w:eastAsia="zh-CN"/>
              </w:rPr>
              <w:t>4</w:t>
            </w:r>
          </w:p>
        </w:tc>
        <w:tc>
          <w:tcPr>
            <w:tcW w:w="489" w:type="pct"/>
            <w:noWrap w:val="0"/>
            <w:vAlign w:val="center"/>
          </w:tcPr>
          <w:p w14:paraId="7551E4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50.00</w:t>
            </w:r>
          </w:p>
        </w:tc>
        <w:tc>
          <w:tcPr>
            <w:tcW w:w="489" w:type="pct"/>
            <w:noWrap w:val="0"/>
            <w:vAlign w:val="center"/>
          </w:tcPr>
          <w:p w14:paraId="7E28FB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46.4</w:t>
            </w:r>
            <w:r>
              <w:rPr>
                <w:rFonts w:hint="eastAsia"/>
                <w:sz w:val="21"/>
                <w:szCs w:val="21"/>
                <w:highlight w:val="none"/>
                <w:lang w:val="en-US" w:eastAsia="zh-CN"/>
              </w:rPr>
              <w:t>8</w:t>
            </w:r>
          </w:p>
        </w:tc>
        <w:tc>
          <w:tcPr>
            <w:tcW w:w="489" w:type="pct"/>
            <w:noWrap w:val="0"/>
            <w:vAlign w:val="center"/>
          </w:tcPr>
          <w:p w14:paraId="1DB4BB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40.4</w:t>
            </w:r>
            <w:r>
              <w:rPr>
                <w:rFonts w:hint="eastAsia"/>
                <w:sz w:val="21"/>
                <w:szCs w:val="21"/>
                <w:highlight w:val="none"/>
                <w:lang w:val="en-US" w:eastAsia="zh-CN"/>
              </w:rPr>
              <w:t>6</w:t>
            </w:r>
          </w:p>
        </w:tc>
        <w:tc>
          <w:tcPr>
            <w:tcW w:w="489" w:type="pct"/>
            <w:noWrap w:val="0"/>
            <w:vAlign w:val="center"/>
          </w:tcPr>
          <w:p w14:paraId="308FF7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37.9</w:t>
            </w:r>
            <w:r>
              <w:rPr>
                <w:rFonts w:hint="eastAsia"/>
                <w:sz w:val="21"/>
                <w:szCs w:val="21"/>
                <w:highlight w:val="none"/>
                <w:lang w:val="en-US" w:eastAsia="zh-CN"/>
              </w:rPr>
              <w:t>6</w:t>
            </w:r>
          </w:p>
        </w:tc>
        <w:tc>
          <w:tcPr>
            <w:tcW w:w="499" w:type="pct"/>
            <w:noWrap w:val="0"/>
            <w:vAlign w:val="center"/>
          </w:tcPr>
          <w:p w14:paraId="4F4909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31.9</w:t>
            </w:r>
            <w:r>
              <w:rPr>
                <w:rFonts w:hint="eastAsia"/>
                <w:sz w:val="21"/>
                <w:szCs w:val="21"/>
                <w:highlight w:val="none"/>
                <w:lang w:val="en-US" w:eastAsia="zh-CN"/>
              </w:rPr>
              <w:t>4</w:t>
            </w:r>
          </w:p>
        </w:tc>
      </w:tr>
      <w:tr w14:paraId="3FBACB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0" w:type="pct"/>
            <w:noWrap w:val="0"/>
            <w:vAlign w:val="center"/>
          </w:tcPr>
          <w:p w14:paraId="2C7065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推土机</w:t>
            </w:r>
          </w:p>
        </w:tc>
        <w:tc>
          <w:tcPr>
            <w:tcW w:w="487" w:type="pct"/>
            <w:noWrap w:val="0"/>
            <w:vAlign w:val="center"/>
          </w:tcPr>
          <w:p w14:paraId="462557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66.02</w:t>
            </w:r>
          </w:p>
        </w:tc>
        <w:tc>
          <w:tcPr>
            <w:tcW w:w="487" w:type="pct"/>
            <w:noWrap w:val="0"/>
            <w:vAlign w:val="center"/>
          </w:tcPr>
          <w:p w14:paraId="7648F7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53.9</w:t>
            </w:r>
            <w:r>
              <w:rPr>
                <w:rFonts w:hint="eastAsia"/>
                <w:sz w:val="21"/>
                <w:szCs w:val="21"/>
                <w:highlight w:val="none"/>
                <w:lang w:val="en-US" w:eastAsia="zh-CN"/>
              </w:rPr>
              <w:t>8</w:t>
            </w:r>
          </w:p>
        </w:tc>
        <w:tc>
          <w:tcPr>
            <w:tcW w:w="488" w:type="pct"/>
            <w:noWrap w:val="0"/>
            <w:vAlign w:val="center"/>
          </w:tcPr>
          <w:p w14:paraId="02B6C8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47.9</w:t>
            </w:r>
            <w:r>
              <w:rPr>
                <w:rFonts w:hint="eastAsia"/>
                <w:sz w:val="21"/>
                <w:szCs w:val="21"/>
                <w:highlight w:val="none"/>
                <w:lang w:val="en-US" w:eastAsia="zh-CN"/>
              </w:rPr>
              <w:t>6</w:t>
            </w:r>
          </w:p>
        </w:tc>
        <w:tc>
          <w:tcPr>
            <w:tcW w:w="489" w:type="pct"/>
            <w:noWrap w:val="0"/>
            <w:vAlign w:val="center"/>
          </w:tcPr>
          <w:p w14:paraId="634676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41.9</w:t>
            </w:r>
            <w:r>
              <w:rPr>
                <w:rFonts w:hint="eastAsia"/>
                <w:sz w:val="21"/>
                <w:szCs w:val="21"/>
                <w:highlight w:val="none"/>
                <w:lang w:val="en-US" w:eastAsia="zh-CN"/>
              </w:rPr>
              <w:t>4</w:t>
            </w:r>
          </w:p>
        </w:tc>
        <w:tc>
          <w:tcPr>
            <w:tcW w:w="489" w:type="pct"/>
            <w:noWrap w:val="0"/>
            <w:vAlign w:val="center"/>
          </w:tcPr>
          <w:p w14:paraId="7D5BF6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40.00</w:t>
            </w:r>
          </w:p>
        </w:tc>
        <w:tc>
          <w:tcPr>
            <w:tcW w:w="489" w:type="pct"/>
            <w:noWrap w:val="0"/>
            <w:vAlign w:val="center"/>
          </w:tcPr>
          <w:p w14:paraId="4AC614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36.48</w:t>
            </w:r>
          </w:p>
        </w:tc>
        <w:tc>
          <w:tcPr>
            <w:tcW w:w="489" w:type="pct"/>
            <w:noWrap w:val="0"/>
            <w:vAlign w:val="center"/>
          </w:tcPr>
          <w:p w14:paraId="7532B1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30.46</w:t>
            </w:r>
          </w:p>
        </w:tc>
        <w:tc>
          <w:tcPr>
            <w:tcW w:w="489" w:type="pct"/>
            <w:noWrap w:val="0"/>
            <w:vAlign w:val="center"/>
          </w:tcPr>
          <w:p w14:paraId="2D06AA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27.96</w:t>
            </w:r>
          </w:p>
        </w:tc>
        <w:tc>
          <w:tcPr>
            <w:tcW w:w="499" w:type="pct"/>
            <w:noWrap w:val="0"/>
            <w:vAlign w:val="center"/>
          </w:tcPr>
          <w:p w14:paraId="21FFF4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21.9</w:t>
            </w:r>
            <w:r>
              <w:rPr>
                <w:rFonts w:hint="eastAsia"/>
                <w:sz w:val="21"/>
                <w:szCs w:val="21"/>
                <w:highlight w:val="none"/>
                <w:lang w:val="en-US" w:eastAsia="zh-CN"/>
              </w:rPr>
              <w:t>4</w:t>
            </w:r>
          </w:p>
        </w:tc>
      </w:tr>
      <w:tr w14:paraId="6CFA5B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0" w:type="pct"/>
            <w:noWrap w:val="0"/>
            <w:vAlign w:val="center"/>
          </w:tcPr>
          <w:p w14:paraId="304098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水泵</w:t>
            </w:r>
          </w:p>
        </w:tc>
        <w:tc>
          <w:tcPr>
            <w:tcW w:w="487" w:type="pct"/>
            <w:noWrap w:val="0"/>
            <w:vAlign w:val="center"/>
          </w:tcPr>
          <w:p w14:paraId="342DE4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76.02</w:t>
            </w:r>
          </w:p>
        </w:tc>
        <w:tc>
          <w:tcPr>
            <w:tcW w:w="487" w:type="pct"/>
            <w:noWrap w:val="0"/>
            <w:vAlign w:val="center"/>
          </w:tcPr>
          <w:p w14:paraId="369F1F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63.9</w:t>
            </w:r>
            <w:r>
              <w:rPr>
                <w:rFonts w:hint="eastAsia"/>
                <w:sz w:val="21"/>
                <w:szCs w:val="21"/>
                <w:highlight w:val="none"/>
                <w:lang w:val="en-US" w:eastAsia="zh-CN"/>
              </w:rPr>
              <w:t>8</w:t>
            </w:r>
          </w:p>
        </w:tc>
        <w:tc>
          <w:tcPr>
            <w:tcW w:w="488" w:type="pct"/>
            <w:noWrap w:val="0"/>
            <w:vAlign w:val="center"/>
          </w:tcPr>
          <w:p w14:paraId="72FE59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57.9</w:t>
            </w:r>
            <w:r>
              <w:rPr>
                <w:rFonts w:hint="eastAsia"/>
                <w:sz w:val="21"/>
                <w:szCs w:val="21"/>
                <w:highlight w:val="none"/>
                <w:lang w:val="en-US" w:eastAsia="zh-CN"/>
              </w:rPr>
              <w:t>6</w:t>
            </w:r>
          </w:p>
        </w:tc>
        <w:tc>
          <w:tcPr>
            <w:tcW w:w="489" w:type="pct"/>
            <w:noWrap w:val="0"/>
            <w:vAlign w:val="center"/>
          </w:tcPr>
          <w:p w14:paraId="4B28AE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51.9</w:t>
            </w:r>
            <w:r>
              <w:rPr>
                <w:rFonts w:hint="eastAsia"/>
                <w:sz w:val="21"/>
                <w:szCs w:val="21"/>
                <w:highlight w:val="none"/>
                <w:lang w:val="en-US" w:eastAsia="zh-CN"/>
              </w:rPr>
              <w:t>4</w:t>
            </w:r>
          </w:p>
        </w:tc>
        <w:tc>
          <w:tcPr>
            <w:tcW w:w="489" w:type="pct"/>
            <w:noWrap w:val="0"/>
            <w:vAlign w:val="center"/>
          </w:tcPr>
          <w:p w14:paraId="08FF1D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50.00</w:t>
            </w:r>
          </w:p>
        </w:tc>
        <w:tc>
          <w:tcPr>
            <w:tcW w:w="489" w:type="pct"/>
            <w:noWrap w:val="0"/>
            <w:vAlign w:val="center"/>
          </w:tcPr>
          <w:p w14:paraId="52B93F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46.4</w:t>
            </w:r>
            <w:r>
              <w:rPr>
                <w:rFonts w:hint="eastAsia"/>
                <w:sz w:val="21"/>
                <w:szCs w:val="21"/>
                <w:highlight w:val="none"/>
                <w:lang w:val="en-US" w:eastAsia="zh-CN"/>
              </w:rPr>
              <w:t>8</w:t>
            </w:r>
          </w:p>
        </w:tc>
        <w:tc>
          <w:tcPr>
            <w:tcW w:w="489" w:type="pct"/>
            <w:noWrap w:val="0"/>
            <w:vAlign w:val="center"/>
          </w:tcPr>
          <w:p w14:paraId="17B9A5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40.4</w:t>
            </w:r>
            <w:r>
              <w:rPr>
                <w:rFonts w:hint="eastAsia"/>
                <w:sz w:val="21"/>
                <w:szCs w:val="21"/>
                <w:highlight w:val="none"/>
                <w:lang w:val="en-US" w:eastAsia="zh-CN"/>
              </w:rPr>
              <w:t>6</w:t>
            </w:r>
          </w:p>
        </w:tc>
        <w:tc>
          <w:tcPr>
            <w:tcW w:w="489" w:type="pct"/>
            <w:noWrap w:val="0"/>
            <w:vAlign w:val="center"/>
          </w:tcPr>
          <w:p w14:paraId="184C4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37.9</w:t>
            </w:r>
            <w:r>
              <w:rPr>
                <w:rFonts w:hint="eastAsia"/>
                <w:sz w:val="21"/>
                <w:szCs w:val="21"/>
                <w:highlight w:val="none"/>
                <w:lang w:val="en-US" w:eastAsia="zh-CN"/>
              </w:rPr>
              <w:t>6</w:t>
            </w:r>
          </w:p>
        </w:tc>
        <w:tc>
          <w:tcPr>
            <w:tcW w:w="499" w:type="pct"/>
            <w:noWrap w:val="0"/>
            <w:vAlign w:val="center"/>
          </w:tcPr>
          <w:p w14:paraId="00CB09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31.9</w:t>
            </w:r>
            <w:r>
              <w:rPr>
                <w:rFonts w:hint="eastAsia"/>
                <w:sz w:val="21"/>
                <w:szCs w:val="21"/>
                <w:highlight w:val="none"/>
                <w:lang w:val="en-US" w:eastAsia="zh-CN"/>
              </w:rPr>
              <w:t>4</w:t>
            </w:r>
          </w:p>
        </w:tc>
      </w:tr>
      <w:tr w14:paraId="35D147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0" w:type="pct"/>
            <w:noWrap w:val="0"/>
            <w:vAlign w:val="center"/>
          </w:tcPr>
          <w:p w14:paraId="1DC64B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装载机</w:t>
            </w:r>
          </w:p>
        </w:tc>
        <w:tc>
          <w:tcPr>
            <w:tcW w:w="487" w:type="pct"/>
            <w:noWrap w:val="0"/>
            <w:vAlign w:val="center"/>
          </w:tcPr>
          <w:p w14:paraId="02B19F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76.02</w:t>
            </w:r>
          </w:p>
        </w:tc>
        <w:tc>
          <w:tcPr>
            <w:tcW w:w="487" w:type="pct"/>
            <w:noWrap w:val="0"/>
            <w:vAlign w:val="center"/>
          </w:tcPr>
          <w:p w14:paraId="7EB0B4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63.9</w:t>
            </w:r>
            <w:r>
              <w:rPr>
                <w:rFonts w:hint="eastAsia"/>
                <w:sz w:val="21"/>
                <w:szCs w:val="21"/>
                <w:highlight w:val="none"/>
                <w:lang w:val="en-US" w:eastAsia="zh-CN"/>
              </w:rPr>
              <w:t>8</w:t>
            </w:r>
          </w:p>
        </w:tc>
        <w:tc>
          <w:tcPr>
            <w:tcW w:w="488" w:type="pct"/>
            <w:noWrap w:val="0"/>
            <w:vAlign w:val="center"/>
          </w:tcPr>
          <w:p w14:paraId="051641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57.9</w:t>
            </w:r>
            <w:r>
              <w:rPr>
                <w:rFonts w:hint="eastAsia"/>
                <w:sz w:val="21"/>
                <w:szCs w:val="21"/>
                <w:highlight w:val="none"/>
                <w:lang w:val="en-US" w:eastAsia="zh-CN"/>
              </w:rPr>
              <w:t>6</w:t>
            </w:r>
          </w:p>
        </w:tc>
        <w:tc>
          <w:tcPr>
            <w:tcW w:w="489" w:type="pct"/>
            <w:noWrap w:val="0"/>
            <w:vAlign w:val="center"/>
          </w:tcPr>
          <w:p w14:paraId="7B0E13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51.9</w:t>
            </w:r>
            <w:r>
              <w:rPr>
                <w:rFonts w:hint="eastAsia"/>
                <w:sz w:val="21"/>
                <w:szCs w:val="21"/>
                <w:highlight w:val="none"/>
                <w:lang w:val="en-US" w:eastAsia="zh-CN"/>
              </w:rPr>
              <w:t>4</w:t>
            </w:r>
          </w:p>
        </w:tc>
        <w:tc>
          <w:tcPr>
            <w:tcW w:w="489" w:type="pct"/>
            <w:noWrap w:val="0"/>
            <w:vAlign w:val="center"/>
          </w:tcPr>
          <w:p w14:paraId="3A2305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50.00</w:t>
            </w:r>
          </w:p>
        </w:tc>
        <w:tc>
          <w:tcPr>
            <w:tcW w:w="489" w:type="pct"/>
            <w:noWrap w:val="0"/>
            <w:vAlign w:val="center"/>
          </w:tcPr>
          <w:p w14:paraId="478480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46.4</w:t>
            </w:r>
            <w:r>
              <w:rPr>
                <w:rFonts w:hint="eastAsia"/>
                <w:sz w:val="21"/>
                <w:szCs w:val="21"/>
                <w:highlight w:val="none"/>
                <w:lang w:val="en-US" w:eastAsia="zh-CN"/>
              </w:rPr>
              <w:t>8</w:t>
            </w:r>
          </w:p>
        </w:tc>
        <w:tc>
          <w:tcPr>
            <w:tcW w:w="489" w:type="pct"/>
            <w:noWrap w:val="0"/>
            <w:vAlign w:val="center"/>
          </w:tcPr>
          <w:p w14:paraId="7A1523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40.4</w:t>
            </w:r>
            <w:r>
              <w:rPr>
                <w:rFonts w:hint="eastAsia"/>
                <w:sz w:val="21"/>
                <w:szCs w:val="21"/>
                <w:highlight w:val="none"/>
                <w:lang w:val="en-US" w:eastAsia="zh-CN"/>
              </w:rPr>
              <w:t>6</w:t>
            </w:r>
          </w:p>
        </w:tc>
        <w:tc>
          <w:tcPr>
            <w:tcW w:w="489" w:type="pct"/>
            <w:noWrap w:val="0"/>
            <w:vAlign w:val="center"/>
          </w:tcPr>
          <w:p w14:paraId="35673C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37.9</w:t>
            </w:r>
            <w:r>
              <w:rPr>
                <w:rFonts w:hint="eastAsia"/>
                <w:sz w:val="21"/>
                <w:szCs w:val="21"/>
                <w:highlight w:val="none"/>
                <w:lang w:val="en-US" w:eastAsia="zh-CN"/>
              </w:rPr>
              <w:t>6</w:t>
            </w:r>
          </w:p>
        </w:tc>
        <w:tc>
          <w:tcPr>
            <w:tcW w:w="499" w:type="pct"/>
            <w:noWrap w:val="0"/>
            <w:vAlign w:val="center"/>
          </w:tcPr>
          <w:p w14:paraId="17959C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sz w:val="21"/>
                <w:szCs w:val="21"/>
                <w:highlight w:val="none"/>
                <w:lang w:val="en-US" w:eastAsia="zh-CN"/>
              </w:rPr>
              <w:t>31.9</w:t>
            </w:r>
            <w:r>
              <w:rPr>
                <w:rFonts w:hint="eastAsia"/>
                <w:sz w:val="21"/>
                <w:szCs w:val="21"/>
                <w:highlight w:val="none"/>
                <w:lang w:val="en-US" w:eastAsia="zh-CN"/>
              </w:rPr>
              <w:t>4</w:t>
            </w:r>
          </w:p>
        </w:tc>
      </w:tr>
      <w:tr w14:paraId="712DF2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0" w:type="pct"/>
            <w:noWrap w:val="0"/>
            <w:vAlign w:val="center"/>
          </w:tcPr>
          <w:p w14:paraId="38B7F3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压实机</w:t>
            </w:r>
          </w:p>
        </w:tc>
        <w:tc>
          <w:tcPr>
            <w:tcW w:w="487" w:type="pct"/>
            <w:noWrap w:val="0"/>
            <w:vAlign w:val="center"/>
          </w:tcPr>
          <w:p w14:paraId="5EC557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74.02</w:t>
            </w:r>
          </w:p>
        </w:tc>
        <w:tc>
          <w:tcPr>
            <w:tcW w:w="487" w:type="pct"/>
            <w:noWrap w:val="0"/>
            <w:vAlign w:val="center"/>
          </w:tcPr>
          <w:p w14:paraId="373ADC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61.9</w:t>
            </w:r>
            <w:r>
              <w:rPr>
                <w:rFonts w:hint="eastAsia"/>
                <w:sz w:val="21"/>
                <w:szCs w:val="21"/>
                <w:highlight w:val="none"/>
                <w:lang w:val="en-US" w:eastAsia="zh-CN"/>
              </w:rPr>
              <w:t>8</w:t>
            </w:r>
          </w:p>
        </w:tc>
        <w:tc>
          <w:tcPr>
            <w:tcW w:w="488" w:type="pct"/>
            <w:noWrap w:val="0"/>
            <w:vAlign w:val="center"/>
          </w:tcPr>
          <w:p w14:paraId="013E9A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55.9</w:t>
            </w:r>
            <w:r>
              <w:rPr>
                <w:rFonts w:hint="eastAsia"/>
                <w:sz w:val="21"/>
                <w:szCs w:val="21"/>
                <w:highlight w:val="none"/>
                <w:lang w:val="en-US" w:eastAsia="zh-CN"/>
              </w:rPr>
              <w:t>6</w:t>
            </w:r>
          </w:p>
        </w:tc>
        <w:tc>
          <w:tcPr>
            <w:tcW w:w="489" w:type="pct"/>
            <w:noWrap w:val="0"/>
            <w:vAlign w:val="center"/>
          </w:tcPr>
          <w:p w14:paraId="418385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49.9</w:t>
            </w:r>
            <w:r>
              <w:rPr>
                <w:rFonts w:hint="eastAsia"/>
                <w:sz w:val="21"/>
                <w:szCs w:val="21"/>
                <w:highlight w:val="none"/>
                <w:lang w:val="en-US" w:eastAsia="zh-CN"/>
              </w:rPr>
              <w:t>4</w:t>
            </w:r>
          </w:p>
        </w:tc>
        <w:tc>
          <w:tcPr>
            <w:tcW w:w="489" w:type="pct"/>
            <w:noWrap w:val="0"/>
            <w:vAlign w:val="center"/>
          </w:tcPr>
          <w:p w14:paraId="33251E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48</w:t>
            </w:r>
            <w:r>
              <w:rPr>
                <w:rFonts w:hint="eastAsia"/>
                <w:sz w:val="21"/>
                <w:szCs w:val="21"/>
                <w:highlight w:val="none"/>
                <w:lang w:val="en-US" w:eastAsia="zh-CN"/>
              </w:rPr>
              <w:t>.00</w:t>
            </w:r>
          </w:p>
        </w:tc>
        <w:tc>
          <w:tcPr>
            <w:tcW w:w="489" w:type="pct"/>
            <w:noWrap w:val="0"/>
            <w:vAlign w:val="center"/>
          </w:tcPr>
          <w:p w14:paraId="66BE96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44.4</w:t>
            </w:r>
            <w:r>
              <w:rPr>
                <w:rFonts w:hint="eastAsia"/>
                <w:sz w:val="21"/>
                <w:szCs w:val="21"/>
                <w:highlight w:val="none"/>
                <w:lang w:val="en-US" w:eastAsia="zh-CN"/>
              </w:rPr>
              <w:t>8</w:t>
            </w:r>
          </w:p>
        </w:tc>
        <w:tc>
          <w:tcPr>
            <w:tcW w:w="489" w:type="pct"/>
            <w:noWrap w:val="0"/>
            <w:vAlign w:val="center"/>
          </w:tcPr>
          <w:p w14:paraId="7A070F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38.4</w:t>
            </w:r>
            <w:r>
              <w:rPr>
                <w:rFonts w:hint="eastAsia"/>
                <w:sz w:val="21"/>
                <w:szCs w:val="21"/>
                <w:highlight w:val="none"/>
                <w:lang w:val="en-US" w:eastAsia="zh-CN"/>
              </w:rPr>
              <w:t>6</w:t>
            </w:r>
          </w:p>
        </w:tc>
        <w:tc>
          <w:tcPr>
            <w:tcW w:w="489" w:type="pct"/>
            <w:noWrap w:val="0"/>
            <w:vAlign w:val="center"/>
          </w:tcPr>
          <w:p w14:paraId="6FF06F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35.9</w:t>
            </w:r>
            <w:r>
              <w:rPr>
                <w:rFonts w:hint="eastAsia"/>
                <w:sz w:val="21"/>
                <w:szCs w:val="21"/>
                <w:highlight w:val="none"/>
                <w:lang w:val="en-US" w:eastAsia="zh-CN"/>
              </w:rPr>
              <w:t>6</w:t>
            </w:r>
          </w:p>
        </w:tc>
        <w:tc>
          <w:tcPr>
            <w:tcW w:w="499" w:type="pct"/>
            <w:noWrap w:val="0"/>
            <w:vAlign w:val="center"/>
          </w:tcPr>
          <w:p w14:paraId="319DDC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29.9</w:t>
            </w:r>
            <w:r>
              <w:rPr>
                <w:rFonts w:hint="eastAsia"/>
                <w:sz w:val="21"/>
                <w:szCs w:val="21"/>
                <w:highlight w:val="none"/>
                <w:lang w:val="en-US" w:eastAsia="zh-CN"/>
              </w:rPr>
              <w:t>4</w:t>
            </w:r>
          </w:p>
        </w:tc>
      </w:tr>
      <w:tr w14:paraId="3C83E8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0" w:type="pct"/>
            <w:noWrap w:val="0"/>
            <w:vAlign w:val="center"/>
          </w:tcPr>
          <w:p w14:paraId="728A6F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自卸汽车</w:t>
            </w:r>
          </w:p>
        </w:tc>
        <w:tc>
          <w:tcPr>
            <w:tcW w:w="487" w:type="pct"/>
            <w:noWrap w:val="0"/>
            <w:vAlign w:val="center"/>
          </w:tcPr>
          <w:p w14:paraId="7068B2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71.02</w:t>
            </w:r>
          </w:p>
        </w:tc>
        <w:tc>
          <w:tcPr>
            <w:tcW w:w="487" w:type="pct"/>
            <w:noWrap w:val="0"/>
            <w:vAlign w:val="center"/>
          </w:tcPr>
          <w:p w14:paraId="766EBB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58.9</w:t>
            </w:r>
            <w:r>
              <w:rPr>
                <w:rFonts w:hint="eastAsia"/>
                <w:sz w:val="21"/>
                <w:szCs w:val="21"/>
                <w:highlight w:val="none"/>
                <w:lang w:val="en-US" w:eastAsia="zh-CN"/>
              </w:rPr>
              <w:t>8</w:t>
            </w:r>
          </w:p>
        </w:tc>
        <w:tc>
          <w:tcPr>
            <w:tcW w:w="488" w:type="pct"/>
            <w:noWrap w:val="0"/>
            <w:vAlign w:val="center"/>
          </w:tcPr>
          <w:p w14:paraId="65B2C8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52.9</w:t>
            </w:r>
            <w:r>
              <w:rPr>
                <w:rFonts w:hint="eastAsia"/>
                <w:sz w:val="21"/>
                <w:szCs w:val="21"/>
                <w:highlight w:val="none"/>
                <w:lang w:val="en-US" w:eastAsia="zh-CN"/>
              </w:rPr>
              <w:t>6</w:t>
            </w:r>
          </w:p>
        </w:tc>
        <w:tc>
          <w:tcPr>
            <w:tcW w:w="489" w:type="pct"/>
            <w:noWrap w:val="0"/>
            <w:vAlign w:val="center"/>
          </w:tcPr>
          <w:p w14:paraId="2900C3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46.9</w:t>
            </w:r>
            <w:r>
              <w:rPr>
                <w:rFonts w:hint="eastAsia"/>
                <w:sz w:val="21"/>
                <w:szCs w:val="21"/>
                <w:highlight w:val="none"/>
                <w:lang w:val="en-US" w:eastAsia="zh-CN"/>
              </w:rPr>
              <w:t>4</w:t>
            </w:r>
          </w:p>
        </w:tc>
        <w:tc>
          <w:tcPr>
            <w:tcW w:w="489" w:type="pct"/>
            <w:noWrap w:val="0"/>
            <w:vAlign w:val="center"/>
          </w:tcPr>
          <w:p w14:paraId="6E4EEA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45</w:t>
            </w:r>
            <w:r>
              <w:rPr>
                <w:rFonts w:hint="eastAsia"/>
                <w:sz w:val="21"/>
                <w:szCs w:val="21"/>
                <w:highlight w:val="none"/>
                <w:lang w:val="en-US" w:eastAsia="zh-CN"/>
              </w:rPr>
              <w:t>.00</w:t>
            </w:r>
          </w:p>
        </w:tc>
        <w:tc>
          <w:tcPr>
            <w:tcW w:w="489" w:type="pct"/>
            <w:noWrap w:val="0"/>
            <w:vAlign w:val="center"/>
          </w:tcPr>
          <w:p w14:paraId="0FD399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41.4</w:t>
            </w:r>
            <w:r>
              <w:rPr>
                <w:rFonts w:hint="eastAsia"/>
                <w:sz w:val="21"/>
                <w:szCs w:val="21"/>
                <w:highlight w:val="none"/>
                <w:lang w:val="en-US" w:eastAsia="zh-CN"/>
              </w:rPr>
              <w:t>8</w:t>
            </w:r>
          </w:p>
        </w:tc>
        <w:tc>
          <w:tcPr>
            <w:tcW w:w="489" w:type="pct"/>
            <w:noWrap w:val="0"/>
            <w:vAlign w:val="center"/>
          </w:tcPr>
          <w:p w14:paraId="257BA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35.4</w:t>
            </w:r>
            <w:r>
              <w:rPr>
                <w:rFonts w:hint="eastAsia"/>
                <w:sz w:val="21"/>
                <w:szCs w:val="21"/>
                <w:highlight w:val="none"/>
                <w:lang w:val="en-US" w:eastAsia="zh-CN"/>
              </w:rPr>
              <w:t>6</w:t>
            </w:r>
          </w:p>
        </w:tc>
        <w:tc>
          <w:tcPr>
            <w:tcW w:w="489" w:type="pct"/>
            <w:noWrap w:val="0"/>
            <w:vAlign w:val="center"/>
          </w:tcPr>
          <w:p w14:paraId="40BC2C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32.9</w:t>
            </w:r>
            <w:r>
              <w:rPr>
                <w:rFonts w:hint="eastAsia"/>
                <w:sz w:val="21"/>
                <w:szCs w:val="21"/>
                <w:highlight w:val="none"/>
                <w:lang w:val="en-US" w:eastAsia="zh-CN"/>
              </w:rPr>
              <w:t>6</w:t>
            </w:r>
          </w:p>
        </w:tc>
        <w:tc>
          <w:tcPr>
            <w:tcW w:w="499" w:type="pct"/>
            <w:noWrap w:val="0"/>
            <w:vAlign w:val="center"/>
          </w:tcPr>
          <w:p w14:paraId="3BE3AD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26.9</w:t>
            </w:r>
            <w:r>
              <w:rPr>
                <w:rFonts w:hint="eastAsia"/>
                <w:sz w:val="21"/>
                <w:szCs w:val="21"/>
                <w:highlight w:val="none"/>
                <w:lang w:val="en-US" w:eastAsia="zh-CN"/>
              </w:rPr>
              <w:t>4</w:t>
            </w:r>
          </w:p>
        </w:tc>
      </w:tr>
    </w:tbl>
    <w:p w14:paraId="0227E0B5">
      <w:pPr>
        <w:bidi w:val="0"/>
        <w:rPr>
          <w:rFonts w:hint="default"/>
          <w:b/>
          <w:bCs/>
          <w:sz w:val="24"/>
          <w:szCs w:val="24"/>
          <w:highlight w:val="none"/>
          <w:lang w:val="en-US" w:eastAsia="zh-CN"/>
        </w:rPr>
      </w:pPr>
      <w:r>
        <w:rPr>
          <w:rFonts w:hint="eastAsia"/>
          <w:b/>
          <w:bCs/>
          <w:sz w:val="24"/>
          <w:szCs w:val="24"/>
          <w:highlight w:val="none"/>
          <w:lang w:val="en-US" w:eastAsia="zh-CN"/>
        </w:rPr>
        <w:t>（4）噪声影响评价</w:t>
      </w:r>
    </w:p>
    <w:p w14:paraId="20A95542">
      <w:pPr>
        <w:bidi w:val="0"/>
        <w:rPr>
          <w:rFonts w:hint="eastAsia"/>
          <w:sz w:val="24"/>
          <w:szCs w:val="24"/>
          <w:highlight w:val="none"/>
          <w:lang w:val="en-US" w:eastAsia="zh-CN"/>
        </w:rPr>
      </w:pPr>
      <w:r>
        <w:rPr>
          <w:rFonts w:hint="eastAsia"/>
          <w:sz w:val="24"/>
          <w:szCs w:val="24"/>
          <w:highlight w:val="none"/>
          <w:lang w:val="en-US" w:eastAsia="zh-CN"/>
        </w:rPr>
        <w:t>由表5.1-3可以看出，在采用噪声强度较大的施工机械昼间施工时，施工区域40m范围以内的施工噪声贡献值超过了2类标准，若夜间施工，其超标范围将扩大到150m。</w:t>
      </w:r>
    </w:p>
    <w:p w14:paraId="70079249">
      <w:pPr>
        <w:bidi w:val="0"/>
        <w:rPr>
          <w:rFonts w:hint="eastAsia"/>
          <w:sz w:val="24"/>
          <w:szCs w:val="24"/>
          <w:highlight w:val="none"/>
          <w:lang w:val="en-US" w:eastAsia="zh-CN"/>
        </w:rPr>
      </w:pPr>
      <w:r>
        <w:rPr>
          <w:rFonts w:hint="eastAsia"/>
          <w:sz w:val="24"/>
          <w:szCs w:val="24"/>
          <w:highlight w:val="none"/>
          <w:lang w:val="en-US" w:eastAsia="zh-CN"/>
        </w:rPr>
        <w:t>本项目夜间不施工，夜间不会对周边居民声环境造成影响；项目废渣污染区及填埋场周边最近居民点分别为80m、410m，40m范围内无居民居住，</w:t>
      </w:r>
      <w:r>
        <w:rPr>
          <w:rFonts w:hint="eastAsia"/>
          <w:sz w:val="24"/>
          <w:szCs w:val="24"/>
          <w:highlight w:val="none"/>
        </w:rPr>
        <w:t>项目施工噪声源随距离衰减后对周边声环境影响较小</w:t>
      </w:r>
      <w:r>
        <w:rPr>
          <w:rFonts w:hint="eastAsia"/>
          <w:sz w:val="24"/>
          <w:szCs w:val="24"/>
          <w:highlight w:val="none"/>
          <w:lang w:val="en-US" w:eastAsia="zh-CN"/>
        </w:rPr>
        <w:t>。</w:t>
      </w:r>
    </w:p>
    <w:p w14:paraId="4B243F24">
      <w:pPr>
        <w:bidi w:val="0"/>
        <w:rPr>
          <w:rFonts w:hint="eastAsia"/>
          <w:sz w:val="24"/>
          <w:szCs w:val="24"/>
          <w:highlight w:val="none"/>
          <w:lang w:val="en-US" w:eastAsia="zh-CN"/>
        </w:rPr>
      </w:pPr>
      <w:r>
        <w:rPr>
          <w:rFonts w:hint="eastAsia"/>
          <w:sz w:val="24"/>
          <w:szCs w:val="24"/>
          <w:highlight w:val="none"/>
          <w:lang w:val="en-US" w:eastAsia="zh-CN"/>
        </w:rPr>
        <w:t>同时本环评建议施工方采取以下措施以避免或减缓此不利影响：</w:t>
      </w:r>
    </w:p>
    <w:p w14:paraId="09139258">
      <w:pPr>
        <w:bidi w:val="0"/>
        <w:rPr>
          <w:rFonts w:hint="eastAsia"/>
          <w:sz w:val="24"/>
          <w:szCs w:val="24"/>
          <w:highlight w:val="none"/>
          <w:lang w:val="en-US" w:eastAsia="zh-CN"/>
        </w:rPr>
      </w:pPr>
      <w:r>
        <w:rPr>
          <w:rFonts w:hint="eastAsia"/>
          <w:sz w:val="24"/>
          <w:szCs w:val="24"/>
          <w:highlight w:val="none"/>
          <w:lang w:val="en-US" w:eastAsia="zh-CN"/>
        </w:rPr>
        <w:t>1）合理安排施工计划和施工机械设备组合，避免在同一时间集中使用大量的动力机械设备。施工单位严格执行《建筑施工噪声排放标准》（GB12523-2025）的要求，在施工过程中，尽量减少运行动力机械设备的数量，尽可能使动力机械设备比较均匀地使用。</w:t>
      </w:r>
    </w:p>
    <w:p w14:paraId="3EDA5AE2">
      <w:pPr>
        <w:bidi w:val="0"/>
        <w:rPr>
          <w:rFonts w:hint="eastAsia"/>
          <w:sz w:val="24"/>
          <w:szCs w:val="24"/>
          <w:highlight w:val="none"/>
          <w:lang w:val="en-US" w:eastAsia="zh-CN"/>
        </w:rPr>
      </w:pPr>
      <w:r>
        <w:rPr>
          <w:rFonts w:hint="eastAsia"/>
          <w:sz w:val="24"/>
          <w:szCs w:val="24"/>
          <w:highlight w:val="none"/>
          <w:lang w:val="en-US" w:eastAsia="zh-CN"/>
        </w:rPr>
        <w:t>2）对本工程的施工进行合理布局，尽量使高噪声的机械设备远离环境敏感点。</w:t>
      </w:r>
    </w:p>
    <w:p w14:paraId="79AC6A25">
      <w:pPr>
        <w:bidi w:val="0"/>
        <w:rPr>
          <w:rFonts w:hint="eastAsia"/>
          <w:sz w:val="24"/>
          <w:szCs w:val="24"/>
          <w:highlight w:val="none"/>
          <w:lang w:val="en-US" w:eastAsia="zh-CN"/>
        </w:rPr>
      </w:pPr>
      <w:r>
        <w:rPr>
          <w:rFonts w:hint="eastAsia"/>
          <w:sz w:val="24"/>
          <w:szCs w:val="24"/>
          <w:highlight w:val="none"/>
          <w:lang w:val="en-US" w:eastAsia="zh-CN"/>
        </w:rPr>
        <w:t>3）从控制声源和噪声传播以及加强管理等几个不同角度对施工噪声进行控制。</w:t>
      </w:r>
    </w:p>
    <w:p w14:paraId="4D31C8C2">
      <w:pPr>
        <w:bidi w:val="0"/>
        <w:rPr>
          <w:rFonts w:hint="eastAsia"/>
          <w:sz w:val="24"/>
          <w:szCs w:val="24"/>
          <w:highlight w:val="none"/>
          <w:lang w:val="en-US" w:eastAsia="zh-CN"/>
        </w:rPr>
      </w:pPr>
      <w:r>
        <w:rPr>
          <w:rFonts w:hint="eastAsia"/>
          <w:sz w:val="24"/>
          <w:szCs w:val="24"/>
          <w:highlight w:val="none"/>
          <w:lang w:val="en-US" w:eastAsia="zh-CN"/>
        </w:rPr>
        <w:t>①控制声源</w:t>
      </w:r>
    </w:p>
    <w:p w14:paraId="3C78DD53">
      <w:pPr>
        <w:bidi w:val="0"/>
        <w:rPr>
          <w:rFonts w:hint="eastAsia"/>
          <w:sz w:val="24"/>
          <w:szCs w:val="24"/>
          <w:highlight w:val="none"/>
          <w:lang w:val="en-US" w:eastAsia="zh-CN"/>
        </w:rPr>
      </w:pPr>
      <w:r>
        <w:rPr>
          <w:rFonts w:hint="eastAsia"/>
          <w:sz w:val="24"/>
          <w:szCs w:val="24"/>
          <w:highlight w:val="none"/>
          <w:lang w:val="en-US" w:eastAsia="zh-CN"/>
        </w:rPr>
        <w:t>选择低噪声的机械设备；对于开挖和运输废渣的机械设备（挖土机、推土机等）可以通过基础减振和隔离发动机振动部分的方法来降低噪声，其他产生噪声的部分还可以采用部分封闭或者完全封闭的办法，尽量减少振动面的振幅；闲置的机械设备等应该予以关闭或者减速；一切动力机械设备都应该经常检修，特别是对那些会因为部件松动而产生噪声的机械，以及那些降噪部件容易损坏而导致强噪声产生的机械设备。</w:t>
      </w:r>
    </w:p>
    <w:p w14:paraId="5B563E5D">
      <w:pPr>
        <w:bidi w:val="0"/>
        <w:rPr>
          <w:rFonts w:hint="eastAsia"/>
          <w:sz w:val="24"/>
          <w:szCs w:val="24"/>
          <w:highlight w:val="none"/>
          <w:lang w:val="en-US" w:eastAsia="zh-CN"/>
        </w:rPr>
      </w:pPr>
      <w:r>
        <w:rPr>
          <w:rFonts w:hint="eastAsia"/>
          <w:sz w:val="24"/>
          <w:szCs w:val="24"/>
          <w:highlight w:val="none"/>
          <w:lang w:val="en-US" w:eastAsia="zh-CN"/>
        </w:rPr>
        <w:t>②控制噪声传播</w:t>
      </w:r>
    </w:p>
    <w:p w14:paraId="39C4803C">
      <w:pPr>
        <w:bidi w:val="0"/>
        <w:rPr>
          <w:rFonts w:hint="eastAsia"/>
          <w:sz w:val="24"/>
          <w:szCs w:val="24"/>
          <w:highlight w:val="none"/>
          <w:lang w:val="en-US" w:eastAsia="zh-CN"/>
        </w:rPr>
      </w:pPr>
      <w:r>
        <w:rPr>
          <w:rFonts w:hint="eastAsia"/>
          <w:sz w:val="24"/>
          <w:szCs w:val="24"/>
          <w:highlight w:val="none"/>
          <w:lang w:val="en-US" w:eastAsia="zh-CN"/>
        </w:rPr>
        <w:t>对各种噪声比较大的机械设备进行一定的隔离和减震消声处理，必要的时候，可以在局部地方建立临时性声屏障。</w:t>
      </w:r>
    </w:p>
    <w:p w14:paraId="2210D70C">
      <w:pPr>
        <w:bidi w:val="0"/>
        <w:rPr>
          <w:rFonts w:hint="eastAsia"/>
          <w:sz w:val="24"/>
          <w:szCs w:val="24"/>
          <w:highlight w:val="none"/>
          <w:lang w:val="en-US" w:eastAsia="zh-CN"/>
        </w:rPr>
      </w:pPr>
      <w:r>
        <w:rPr>
          <w:rFonts w:hint="eastAsia"/>
          <w:sz w:val="24"/>
          <w:szCs w:val="24"/>
          <w:highlight w:val="none"/>
          <w:lang w:val="en-US" w:eastAsia="zh-CN"/>
        </w:rPr>
        <w:t>合理安排人员，使他们有条件轮流操作，减少接触高噪声时间；在声源附近的施工人员配备防噪声耳罩。</w:t>
      </w:r>
    </w:p>
    <w:p w14:paraId="2537B3B5">
      <w:pPr>
        <w:widowControl w:val="0"/>
        <w:topLinePunct w:val="0"/>
        <w:bidi w:val="0"/>
        <w:rPr>
          <w:rFonts w:hint="eastAsia"/>
          <w:sz w:val="24"/>
          <w:szCs w:val="24"/>
          <w:highlight w:val="none"/>
          <w:lang w:val="en-US" w:eastAsia="zh-CN"/>
        </w:rPr>
      </w:pPr>
      <w:r>
        <w:rPr>
          <w:rFonts w:hint="eastAsia"/>
          <w:sz w:val="24"/>
          <w:szCs w:val="24"/>
          <w:highlight w:val="none"/>
          <w:lang w:val="en-US" w:eastAsia="zh-CN"/>
        </w:rPr>
        <w:t>③加强管理</w:t>
      </w:r>
    </w:p>
    <w:p w14:paraId="0C1A548A">
      <w:pPr>
        <w:widowControl w:val="0"/>
        <w:topLinePunct w:val="0"/>
        <w:bidi w:val="0"/>
        <w:rPr>
          <w:rFonts w:hint="eastAsia"/>
          <w:sz w:val="24"/>
          <w:szCs w:val="24"/>
          <w:highlight w:val="none"/>
          <w:lang w:val="en-US" w:eastAsia="zh-CN"/>
        </w:rPr>
      </w:pPr>
      <w:r>
        <w:rPr>
          <w:rFonts w:hint="eastAsia"/>
          <w:sz w:val="24"/>
          <w:szCs w:val="24"/>
          <w:highlight w:val="none"/>
          <w:lang w:val="en-US" w:eastAsia="zh-CN"/>
        </w:rPr>
        <w:t>对交通车辆造成的噪声影响要加强管理，运输车辆尽量采用较低声级的喇叭，并在环境敏感点限制车辆鸣笛。另外，还要加强工程区内的交通管制，尽量避免在周围居民休息期间作业。</w:t>
      </w:r>
    </w:p>
    <w:p w14:paraId="11AF1E4F">
      <w:pPr>
        <w:bidi w:val="0"/>
        <w:rPr>
          <w:rFonts w:hint="eastAsia"/>
          <w:sz w:val="24"/>
          <w:szCs w:val="24"/>
          <w:highlight w:val="none"/>
          <w:lang w:val="en-US" w:eastAsia="zh-CN"/>
        </w:rPr>
      </w:pPr>
      <w:r>
        <w:rPr>
          <w:rFonts w:hint="eastAsia"/>
          <w:sz w:val="24"/>
          <w:szCs w:val="24"/>
          <w:highlight w:val="none"/>
          <w:lang w:val="en-US" w:eastAsia="zh-CN"/>
        </w:rPr>
        <w:t>对施工过程除采取以上减噪措施以外，建设单位还应责成施工单位在施工现场张布通告，并标明投诉电话，建设单位在接到投诉后应及时与当地生态环境部门取得联系，及时处理各种环境纠纷。</w:t>
      </w:r>
    </w:p>
    <w:p w14:paraId="5CC27DE0">
      <w:pPr>
        <w:bidi w:val="0"/>
        <w:rPr>
          <w:rFonts w:hint="eastAsia"/>
          <w:sz w:val="24"/>
          <w:szCs w:val="24"/>
          <w:highlight w:val="none"/>
          <w:lang w:val="en-US" w:eastAsia="zh-CN"/>
        </w:rPr>
      </w:pPr>
      <w:r>
        <w:rPr>
          <w:rFonts w:hint="eastAsia"/>
          <w:sz w:val="24"/>
          <w:szCs w:val="24"/>
          <w:highlight w:val="none"/>
          <w:lang w:val="en-US" w:eastAsia="zh-CN"/>
        </w:rPr>
        <w:t>施工期环境影响为短期影响，施工结束后即可消除。但考虑施工期对周围环境的影响，要求建设单位在建设过程中必须认真遵守各项管理制度，落实本报告提出的防治措施及建议，做到文明施工、严格管理、缩短工期，力争将项目建设过程中对周围环境产生的影响降到最低限度。</w:t>
      </w:r>
    </w:p>
    <w:p w14:paraId="269D4CD1">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5.1.4固体废物环境影响分析</w:t>
      </w:r>
    </w:p>
    <w:p w14:paraId="336D745B">
      <w:pPr>
        <w:bidi w:val="0"/>
        <w:rPr>
          <w:rFonts w:hint="eastAsia"/>
          <w:sz w:val="24"/>
          <w:szCs w:val="24"/>
          <w:highlight w:val="none"/>
          <w:lang w:val="en-US" w:eastAsia="zh-CN"/>
        </w:rPr>
      </w:pPr>
      <w:r>
        <w:rPr>
          <w:rFonts w:hint="eastAsia"/>
          <w:sz w:val="24"/>
          <w:szCs w:val="24"/>
          <w:highlight w:val="none"/>
          <w:lang w:val="en-US" w:eastAsia="zh-CN"/>
        </w:rPr>
        <w:t>施工期固废主要包括遗留废渣、废渣填埋场建设产生的废防渗材料、废包装袋、生活垃圾及污水处理污泥等。</w:t>
      </w:r>
    </w:p>
    <w:p w14:paraId="43833757">
      <w:pPr>
        <w:bidi w:val="0"/>
        <w:rPr>
          <w:rFonts w:hint="eastAsia"/>
          <w:sz w:val="24"/>
          <w:szCs w:val="24"/>
          <w:highlight w:val="none"/>
          <w:lang w:val="en-US" w:eastAsia="zh-CN"/>
        </w:rPr>
      </w:pPr>
      <w:r>
        <w:rPr>
          <w:rFonts w:hint="eastAsia"/>
          <w:sz w:val="24"/>
          <w:szCs w:val="24"/>
          <w:highlight w:val="none"/>
          <w:lang w:val="en-US" w:eastAsia="zh-CN"/>
        </w:rPr>
        <w:t>（1）遗留废渣</w:t>
      </w:r>
    </w:p>
    <w:p w14:paraId="2689F498">
      <w:pPr>
        <w:bidi w:val="0"/>
        <w:rPr>
          <w:rFonts w:hint="eastAsia"/>
          <w:sz w:val="24"/>
          <w:szCs w:val="24"/>
          <w:highlight w:val="none"/>
          <w:lang w:val="en-US" w:eastAsia="zh-CN"/>
        </w:rPr>
      </w:pPr>
      <w:r>
        <w:rPr>
          <w:rFonts w:hint="eastAsia"/>
          <w:sz w:val="24"/>
          <w:szCs w:val="24"/>
          <w:highlight w:val="none"/>
          <w:lang w:val="en-US" w:eastAsia="zh-CN"/>
        </w:rPr>
        <w:t>遗留废渣为本项目治理对象，不属于建设过程产生固废，根据场地调查报告可知，地块遗留一般</w:t>
      </w:r>
      <w:r>
        <w:rPr>
          <w:rFonts w:hint="default" w:ascii="Times New Roman" w:hAnsi="Times New Roman" w:eastAsia="宋体" w:cs="Times New Roman"/>
          <w:sz w:val="24"/>
          <w:szCs w:val="24"/>
          <w:highlight w:val="none"/>
          <w:lang w:val="en-US" w:eastAsia="zh-CN"/>
        </w:rPr>
        <w:t>Ⅰ</w:t>
      </w:r>
      <w:r>
        <w:rPr>
          <w:rFonts w:hint="default" w:ascii="Times New Roman" w:hAnsi="Times New Roman" w:cs="Times New Roman"/>
          <w:sz w:val="24"/>
          <w:szCs w:val="24"/>
          <w:highlight w:val="none"/>
          <w:lang w:val="en-US" w:eastAsia="zh-CN"/>
        </w:rPr>
        <w:t>类和一般Ⅱ</w:t>
      </w:r>
      <w:r>
        <w:rPr>
          <w:rFonts w:hint="eastAsia"/>
          <w:sz w:val="24"/>
          <w:szCs w:val="24"/>
          <w:highlight w:val="none"/>
          <w:lang w:val="en-US" w:eastAsia="zh-CN"/>
        </w:rPr>
        <w:t>类固体废物共计55999.73m</w:t>
      </w:r>
      <w:r>
        <w:rPr>
          <w:rFonts w:hint="eastAsia"/>
          <w:sz w:val="24"/>
          <w:szCs w:val="24"/>
          <w:highlight w:val="none"/>
          <w:vertAlign w:val="superscript"/>
          <w:lang w:val="en-US" w:eastAsia="zh-CN"/>
        </w:rPr>
        <w:t>3</w:t>
      </w:r>
      <w:r>
        <w:rPr>
          <w:rFonts w:hint="eastAsia"/>
          <w:sz w:val="24"/>
          <w:szCs w:val="24"/>
          <w:highlight w:val="none"/>
          <w:lang w:val="en-US" w:eastAsia="zh-CN"/>
        </w:rPr>
        <w:t>，已经对区域土壤、地表水等环境造成一定污染并在持续造成影响。本次治理将遗留废渣清运至自建废渣填埋场进行集中安全填埋处置，废渣填埋场按照《一般工业固体废物贮存和填埋污染控制标准》（GB18599-2020）要求建设，遗留废渣经填埋处置后对周边环境影响不大，同时可减小遗留废渣对现存区域周边环境的影响。</w:t>
      </w:r>
    </w:p>
    <w:p w14:paraId="0CF1A234">
      <w:pPr>
        <w:bidi w:val="0"/>
        <w:rPr>
          <w:rFonts w:hint="eastAsia"/>
          <w:sz w:val="24"/>
          <w:szCs w:val="24"/>
          <w:highlight w:val="none"/>
          <w:lang w:val="en-US" w:eastAsia="zh-CN"/>
        </w:rPr>
      </w:pPr>
      <w:r>
        <w:rPr>
          <w:rFonts w:hint="eastAsia"/>
          <w:sz w:val="24"/>
          <w:szCs w:val="24"/>
          <w:highlight w:val="none"/>
          <w:lang w:val="en-US" w:eastAsia="zh-CN"/>
        </w:rPr>
        <w:t>（2）生活垃圾</w:t>
      </w:r>
    </w:p>
    <w:p w14:paraId="7C2CDA55">
      <w:pPr>
        <w:bidi w:val="0"/>
        <w:rPr>
          <w:rFonts w:hint="eastAsia"/>
          <w:sz w:val="24"/>
          <w:szCs w:val="24"/>
          <w:highlight w:val="none"/>
          <w:lang w:val="en-US" w:eastAsia="zh-CN"/>
        </w:rPr>
      </w:pPr>
      <w:r>
        <w:rPr>
          <w:rFonts w:hint="eastAsia"/>
          <w:sz w:val="24"/>
          <w:szCs w:val="24"/>
          <w:highlight w:val="none"/>
          <w:lang w:val="en-US" w:eastAsia="zh-CN"/>
        </w:rPr>
        <w:t>本项目施工时产生的固体废物主要是施工人员的生活垃圾，施工人员生活垃圾按0.5kg/人</w:t>
      </w:r>
      <w:r>
        <w:rPr>
          <w:rFonts w:hint="default" w:ascii="Times New Roman" w:hAnsi="Times New Roman" w:cs="Times New Roman"/>
          <w:sz w:val="24"/>
          <w:szCs w:val="24"/>
          <w:highlight w:val="none"/>
          <w:lang w:val="en-US" w:eastAsia="zh-CN"/>
        </w:rPr>
        <w:t>·</w:t>
      </w:r>
      <w:r>
        <w:rPr>
          <w:rFonts w:hint="eastAsia"/>
          <w:sz w:val="24"/>
          <w:szCs w:val="24"/>
          <w:highlight w:val="none"/>
          <w:lang w:val="en-US" w:eastAsia="zh-CN"/>
        </w:rPr>
        <w:t>d计算，则生活垃圾最大产生量约10kg/d，交由环卫部门统一清运，对周边环境影响不大。</w:t>
      </w:r>
    </w:p>
    <w:p w14:paraId="743FDA48">
      <w:pPr>
        <w:widowControl w:val="0"/>
        <w:topLinePunct w:val="0"/>
        <w:bidi w:val="0"/>
        <w:rPr>
          <w:rFonts w:hint="eastAsia"/>
          <w:sz w:val="24"/>
          <w:szCs w:val="24"/>
          <w:highlight w:val="none"/>
          <w:lang w:val="en-US" w:eastAsia="zh-CN"/>
        </w:rPr>
      </w:pPr>
      <w:r>
        <w:rPr>
          <w:rFonts w:hint="eastAsia"/>
          <w:sz w:val="24"/>
          <w:szCs w:val="24"/>
          <w:highlight w:val="none"/>
          <w:lang w:val="en-US" w:eastAsia="zh-CN"/>
        </w:rPr>
        <w:t>（3）废防渗材料</w:t>
      </w:r>
    </w:p>
    <w:p w14:paraId="43E4A1E4">
      <w:pPr>
        <w:widowControl w:val="0"/>
        <w:topLinePunct w:val="0"/>
        <w:bidi w:val="0"/>
        <w:rPr>
          <w:rFonts w:hint="eastAsia"/>
          <w:sz w:val="24"/>
          <w:szCs w:val="24"/>
          <w:highlight w:val="none"/>
          <w:lang w:val="en-US" w:eastAsia="zh-CN"/>
        </w:rPr>
      </w:pPr>
      <w:r>
        <w:rPr>
          <w:rFonts w:hint="eastAsia"/>
          <w:sz w:val="24"/>
          <w:szCs w:val="24"/>
          <w:highlight w:val="none"/>
          <w:lang w:val="en-US" w:eastAsia="zh-CN"/>
        </w:rPr>
        <w:t>根据工程内容可知，项目废渣填埋场采用HDPE防渗膜和无纺土工布进行防渗，废防渗材料约为0.42t，废防渗材料</w:t>
      </w:r>
      <w:r>
        <w:rPr>
          <w:rFonts w:hint="eastAsia"/>
          <w:sz w:val="24"/>
          <w:szCs w:val="24"/>
          <w:highlight w:val="none"/>
          <w:u w:val="none"/>
          <w:lang w:val="en-US" w:eastAsia="zh-CN"/>
        </w:rPr>
        <w:t>经收集后集中外售</w:t>
      </w:r>
      <w:r>
        <w:rPr>
          <w:rFonts w:hint="eastAsia"/>
          <w:sz w:val="24"/>
          <w:szCs w:val="24"/>
          <w:highlight w:val="none"/>
          <w:lang w:val="en-US" w:eastAsia="zh-CN"/>
        </w:rPr>
        <w:t>，对周边环境影响不大。</w:t>
      </w:r>
    </w:p>
    <w:p w14:paraId="2D481338">
      <w:pPr>
        <w:widowControl w:val="0"/>
        <w:topLinePunct w:val="0"/>
        <w:bidi w:val="0"/>
        <w:rPr>
          <w:rFonts w:hint="eastAsia"/>
          <w:sz w:val="24"/>
          <w:szCs w:val="24"/>
          <w:highlight w:val="none"/>
          <w:lang w:val="en-US" w:eastAsia="zh-CN"/>
        </w:rPr>
      </w:pPr>
      <w:r>
        <w:rPr>
          <w:rFonts w:hint="eastAsia"/>
          <w:sz w:val="24"/>
          <w:szCs w:val="24"/>
          <w:highlight w:val="none"/>
          <w:lang w:val="en-US" w:eastAsia="zh-CN"/>
        </w:rPr>
        <w:t>（4）废包装袋</w:t>
      </w:r>
    </w:p>
    <w:p w14:paraId="3864F534">
      <w:pPr>
        <w:widowControl w:val="0"/>
        <w:topLinePunct w:val="0"/>
        <w:bidi w:val="0"/>
        <w:rPr>
          <w:rFonts w:hint="eastAsia"/>
          <w:sz w:val="24"/>
          <w:szCs w:val="24"/>
          <w:highlight w:val="none"/>
          <w:lang w:val="en-US" w:eastAsia="zh-CN"/>
        </w:rPr>
      </w:pPr>
      <w:r>
        <w:rPr>
          <w:rFonts w:hint="eastAsia"/>
          <w:sz w:val="24"/>
          <w:szCs w:val="24"/>
          <w:highlight w:val="none"/>
          <w:lang w:val="en-US" w:eastAsia="zh-CN"/>
        </w:rPr>
        <w:t>本项目土工布和HDPE土工膜入场将产生部分废包装袋，约为防渗材料的1%，故产生量为0.1t，</w:t>
      </w:r>
      <w:r>
        <w:rPr>
          <w:rFonts w:hint="eastAsia"/>
          <w:sz w:val="24"/>
          <w:szCs w:val="24"/>
          <w:highlight w:val="none"/>
          <w:u w:val="none"/>
          <w:lang w:val="en-US" w:eastAsia="zh-CN"/>
        </w:rPr>
        <w:t>经收集后集中外售</w:t>
      </w:r>
      <w:r>
        <w:rPr>
          <w:rFonts w:hint="eastAsia"/>
          <w:sz w:val="24"/>
          <w:szCs w:val="24"/>
          <w:highlight w:val="none"/>
          <w:lang w:val="en-US" w:eastAsia="zh-CN"/>
        </w:rPr>
        <w:t>，对周边环境影响不大。</w:t>
      </w:r>
    </w:p>
    <w:p w14:paraId="2680840A">
      <w:pPr>
        <w:bidi w:val="0"/>
        <w:rPr>
          <w:rFonts w:hint="default"/>
          <w:sz w:val="24"/>
          <w:szCs w:val="24"/>
          <w:highlight w:val="none"/>
          <w:lang w:val="en-US" w:eastAsia="zh-CN"/>
        </w:rPr>
      </w:pPr>
      <w:r>
        <w:rPr>
          <w:rFonts w:hint="eastAsia"/>
          <w:sz w:val="24"/>
          <w:szCs w:val="24"/>
          <w:highlight w:val="none"/>
          <w:lang w:val="en-US" w:eastAsia="zh-CN"/>
        </w:rPr>
        <w:t>（5）建筑垃圾</w:t>
      </w:r>
    </w:p>
    <w:p w14:paraId="3D314582">
      <w:pPr>
        <w:bidi w:val="0"/>
        <w:rPr>
          <w:rFonts w:hint="default"/>
          <w:sz w:val="24"/>
          <w:szCs w:val="24"/>
          <w:highlight w:val="none"/>
          <w:lang w:val="en-US" w:eastAsia="zh-CN"/>
        </w:rPr>
      </w:pPr>
      <w:r>
        <w:rPr>
          <w:rFonts w:hint="eastAsia"/>
          <w:sz w:val="24"/>
          <w:szCs w:val="24"/>
          <w:highlight w:val="none"/>
          <w:lang w:val="en-US" w:eastAsia="zh-CN"/>
        </w:rPr>
        <w:t>本项目填埋场施工及封场产生的建筑垃圾量约2t，交由环卫部门统一清运，对周边影响不大。</w:t>
      </w:r>
    </w:p>
    <w:p w14:paraId="5183F443">
      <w:pPr>
        <w:bidi w:val="0"/>
        <w:rPr>
          <w:rFonts w:hint="eastAsia"/>
          <w:sz w:val="24"/>
          <w:szCs w:val="24"/>
          <w:highlight w:val="none"/>
          <w:lang w:val="en-US" w:eastAsia="zh-CN"/>
        </w:rPr>
      </w:pPr>
      <w:r>
        <w:rPr>
          <w:rFonts w:hint="eastAsia"/>
          <w:sz w:val="24"/>
          <w:szCs w:val="24"/>
          <w:highlight w:val="none"/>
          <w:lang w:val="en-US" w:eastAsia="zh-CN"/>
        </w:rPr>
        <w:t>（6）沉淀池污泥</w:t>
      </w:r>
    </w:p>
    <w:p w14:paraId="28F871B1">
      <w:pPr>
        <w:bidi w:val="0"/>
        <w:rPr>
          <w:rFonts w:hint="eastAsia"/>
          <w:sz w:val="24"/>
          <w:szCs w:val="24"/>
          <w:highlight w:val="none"/>
          <w:lang w:val="en-US" w:eastAsia="zh-CN"/>
        </w:rPr>
      </w:pPr>
      <w:r>
        <w:rPr>
          <w:rFonts w:hint="eastAsia"/>
          <w:sz w:val="24"/>
          <w:szCs w:val="24"/>
          <w:highlight w:val="none"/>
          <w:u w:val="none"/>
          <w:lang w:val="en-US" w:eastAsia="zh-CN"/>
        </w:rPr>
        <w:t>项目采用沉淀池对</w:t>
      </w:r>
      <w:r>
        <w:rPr>
          <w:rFonts w:hint="eastAsia"/>
          <w:sz w:val="24"/>
          <w:szCs w:val="24"/>
          <w:lang w:val="en-US" w:eastAsia="zh-CN"/>
        </w:rPr>
        <w:t>车辆冲洗废水</w:t>
      </w:r>
      <w:r>
        <w:rPr>
          <w:rFonts w:hint="eastAsia"/>
          <w:sz w:val="24"/>
          <w:szCs w:val="24"/>
          <w:highlight w:val="none"/>
          <w:u w:val="none"/>
          <w:lang w:val="en-US" w:eastAsia="zh-CN"/>
        </w:rPr>
        <w:t>进行处理，期间产生污泥。根据废水处理量计算，污泥产生量约为4t。送至自建填埋场进行集中安全填埋处置。</w:t>
      </w:r>
    </w:p>
    <w:p w14:paraId="1884FABD">
      <w:pPr>
        <w:bidi w:val="0"/>
        <w:rPr>
          <w:rFonts w:hint="eastAsia"/>
          <w:sz w:val="24"/>
          <w:szCs w:val="24"/>
          <w:highlight w:val="none"/>
          <w:lang w:val="en-US" w:eastAsia="zh-CN"/>
        </w:rPr>
      </w:pPr>
      <w:r>
        <w:rPr>
          <w:rFonts w:hint="eastAsia"/>
          <w:sz w:val="24"/>
          <w:szCs w:val="24"/>
          <w:highlight w:val="none"/>
          <w:lang w:val="en-US" w:eastAsia="zh-CN"/>
        </w:rPr>
        <w:t>（7）污水处理污泥</w:t>
      </w:r>
    </w:p>
    <w:p w14:paraId="2E0CA360">
      <w:pPr>
        <w:bidi w:val="0"/>
        <w:rPr>
          <w:rFonts w:hint="eastAsia"/>
          <w:sz w:val="24"/>
          <w:szCs w:val="24"/>
          <w:highlight w:val="none"/>
          <w:lang w:val="en-US" w:eastAsia="zh-CN"/>
        </w:rPr>
      </w:pPr>
      <w:r>
        <w:rPr>
          <w:rFonts w:hint="eastAsia"/>
          <w:sz w:val="24"/>
          <w:szCs w:val="24"/>
          <w:highlight w:val="none"/>
          <w:lang w:val="en-US" w:eastAsia="zh-CN"/>
        </w:rPr>
        <w:t>项目采用一体化设备对淋溶水和渗滤液等进行处理，期间产生污泥。根据废水处理量计算，污泥产生量约为1.5t。污泥产生量很小，经压滤处理后，作为危废委托有资质单位处理处置，定期清运，不在填埋场内暂存。</w:t>
      </w:r>
    </w:p>
    <w:p w14:paraId="634E6D17">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w:t>
      </w:r>
      <w:r>
        <w:rPr>
          <w:rFonts w:hint="eastAsia" w:cs="Times New Roman"/>
          <w:sz w:val="24"/>
          <w:szCs w:val="24"/>
          <w:highlight w:val="none"/>
          <w:u w:val="none"/>
          <w:lang w:val="en-US" w:eastAsia="zh-CN"/>
        </w:rPr>
        <w:t>8</w:t>
      </w:r>
      <w:r>
        <w:rPr>
          <w:rFonts w:hint="default" w:ascii="Times New Roman" w:hAnsi="Times New Roman" w:cs="Times New Roman"/>
          <w:sz w:val="24"/>
          <w:szCs w:val="24"/>
          <w:highlight w:val="none"/>
          <w:u w:val="none"/>
          <w:lang w:val="en-US" w:eastAsia="zh-CN"/>
        </w:rPr>
        <w:t>）填埋区表土</w:t>
      </w:r>
    </w:p>
    <w:p w14:paraId="6B41E540">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w:t>
      </w:r>
      <w:r>
        <w:rPr>
          <w:rFonts w:hint="eastAsia" w:cs="Times New Roman"/>
          <w:sz w:val="24"/>
          <w:szCs w:val="24"/>
          <w:highlight w:val="none"/>
          <w:u w:val="none"/>
          <w:lang w:val="en-US" w:eastAsia="zh-CN"/>
        </w:rPr>
        <w:t>填埋区填埋废渣前剥离表土0.5m，根据前文土石方平衡可知，剥离表土为4205m</w:t>
      </w:r>
      <w:r>
        <w:rPr>
          <w:rFonts w:hint="eastAsia"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。清表的表土临时堆存，用于填埋废渣后回填覆土。</w:t>
      </w:r>
    </w:p>
    <w:p w14:paraId="4DE937C1">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5.1.5土壤和地下水环境影响分析</w:t>
      </w:r>
    </w:p>
    <w:p w14:paraId="6EAC8E90">
      <w:pPr>
        <w:bidi w:val="0"/>
        <w:rPr>
          <w:rFonts w:hint="eastAsia"/>
          <w:sz w:val="24"/>
          <w:szCs w:val="24"/>
          <w:highlight w:val="none"/>
          <w:lang w:val="en-US" w:eastAsia="zh-CN"/>
        </w:rPr>
      </w:pPr>
      <w:r>
        <w:rPr>
          <w:rFonts w:hint="eastAsia"/>
          <w:sz w:val="24"/>
          <w:szCs w:val="24"/>
          <w:highlight w:val="none"/>
          <w:lang w:val="en-US" w:eastAsia="zh-CN"/>
        </w:rPr>
        <w:t>根据项目详细勘察报告可知，拟建场地地势高，勘察期间未发现地表水和地下水赋存。项目对两处废渣进行开挖清运，挖掘深度有限，不会对地下水含水层造成影响，不会对地下水产生影响。但是施工期产生的废水不可避免存在“跑、冒、滴、漏”现象，少量废水下渗，在下渗过程中，经过土壤的吸收和分解不会对区域地下水环境产生影响。本项目施工时将对废水收集池进行防渗处理，在加强管理的前提下，对土壤和地下水环境影响很小。</w:t>
      </w:r>
    </w:p>
    <w:p w14:paraId="5F86400C">
      <w:pPr>
        <w:bidi w:val="0"/>
        <w:rPr>
          <w:rFonts w:hint="eastAsia"/>
          <w:sz w:val="24"/>
          <w:szCs w:val="24"/>
          <w:highlight w:val="none"/>
          <w:lang w:val="en-US" w:eastAsia="zh-CN"/>
        </w:rPr>
      </w:pPr>
      <w:r>
        <w:rPr>
          <w:rFonts w:hint="eastAsia"/>
          <w:sz w:val="24"/>
          <w:szCs w:val="24"/>
          <w:highlight w:val="none"/>
          <w:lang w:val="en-US" w:eastAsia="zh-CN"/>
        </w:rPr>
        <w:t>根据现场勘查以及现场询问，项目地周围存在居民饮用地下水井，根据监测目前地下水未被污染，但废渣区土壤重金属含量较高，废渣中污染物已经在逐步扩散，对周边环境产生影响。本项目实施后，对场内污染土壤进行管控，可以有效减少对周边土壤和地下水的影响，改善居民生活环境。</w:t>
      </w:r>
    </w:p>
    <w:p w14:paraId="079312D2">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5.1.6施工及运输道路影响分析</w:t>
      </w:r>
    </w:p>
    <w:p w14:paraId="7BB1F61C">
      <w:pPr>
        <w:bidi w:val="0"/>
        <w:rPr>
          <w:rFonts w:hint="eastAsia"/>
          <w:sz w:val="24"/>
          <w:szCs w:val="24"/>
          <w:highlight w:val="none"/>
          <w:lang w:val="en-US" w:eastAsia="zh-CN"/>
        </w:rPr>
      </w:pPr>
      <w:r>
        <w:rPr>
          <w:rFonts w:hint="eastAsia"/>
          <w:sz w:val="24"/>
          <w:szCs w:val="24"/>
          <w:highlight w:val="none"/>
          <w:lang w:val="en-US" w:eastAsia="zh-CN"/>
        </w:rPr>
        <w:t>项目施工及运输道路沿途不涉及饮用水源地；项目固废处理运至废渣填埋场时会经过居民点，运输过程中产生的扬尘、交通噪声会对周边居民产生影响。</w:t>
      </w:r>
    </w:p>
    <w:p w14:paraId="01719021">
      <w:pPr>
        <w:bidi w:val="0"/>
        <w:rPr>
          <w:rFonts w:hint="eastAsia"/>
          <w:sz w:val="24"/>
          <w:szCs w:val="24"/>
          <w:highlight w:val="none"/>
          <w:lang w:val="en-US" w:eastAsia="zh-CN"/>
        </w:rPr>
      </w:pPr>
      <w:r>
        <w:rPr>
          <w:rFonts w:hint="eastAsia"/>
          <w:sz w:val="24"/>
          <w:szCs w:val="24"/>
          <w:highlight w:val="none"/>
          <w:lang w:val="en-US" w:eastAsia="zh-CN"/>
        </w:rPr>
        <w:t>项目应谨慎驾驶，防止车祸；应尽量避开暴雨等环境恶劣天气，以此减少因事故造成对运输路线沿途的影响；同时，环评建议运输过程中采用带全封闭式装置的运输车，可有效防止、沿途洒落倾倒造成二次污染，减轻运输过程中周边环境的影响。运输过程中必要时可对路径居民住房前设置围挡，减少对居民点的影响。</w:t>
      </w:r>
    </w:p>
    <w:p w14:paraId="29C16C53">
      <w:pPr>
        <w:bidi w:val="0"/>
        <w:rPr>
          <w:rFonts w:hint="eastAsia"/>
          <w:sz w:val="24"/>
          <w:szCs w:val="24"/>
          <w:highlight w:val="none"/>
          <w:lang w:val="en-US" w:eastAsia="zh-CN"/>
        </w:rPr>
      </w:pPr>
      <w:r>
        <w:rPr>
          <w:rFonts w:hint="eastAsia"/>
          <w:sz w:val="24"/>
          <w:szCs w:val="24"/>
          <w:highlight w:val="none"/>
          <w:lang w:val="en-US" w:eastAsia="zh-CN"/>
        </w:rPr>
        <w:t>落实以上措施后，项目施工及运输道路产生的扬尘及噪声对沿线环境的影响可大大降低。</w:t>
      </w:r>
    </w:p>
    <w:p w14:paraId="3210999F">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w:t>
      </w:r>
      <w:r>
        <w:rPr>
          <w:rFonts w:hint="eastAsia" w:cs="Times New Roman"/>
          <w:color w:val="auto"/>
          <w:sz w:val="28"/>
          <w:szCs w:val="28"/>
          <w:highlight w:val="none"/>
          <w:u w:val="none" w:color="auto"/>
          <w:lang w:val="en-US" w:eastAsia="zh-CN"/>
        </w:rPr>
        <w:t>7罐车</w:t>
      </w:r>
      <w:r>
        <w:rPr>
          <w:rFonts w:hint="eastAsia" w:ascii="Times New Roman" w:hAnsi="Times New Roman" w:eastAsia="宋体" w:cs="Times New Roman"/>
          <w:color w:val="auto"/>
          <w:sz w:val="28"/>
          <w:szCs w:val="28"/>
          <w:highlight w:val="none"/>
          <w:u w:val="none" w:color="auto"/>
          <w:lang w:val="en-US" w:eastAsia="zh-CN"/>
        </w:rPr>
        <w:t>运输影响分析</w:t>
      </w:r>
    </w:p>
    <w:p w14:paraId="0574A533">
      <w:pPr>
        <w:bidi w:val="0"/>
        <w:rPr>
          <w:rFonts w:hint="eastAsia"/>
          <w:sz w:val="24"/>
          <w:szCs w:val="24"/>
          <w:highlight w:val="none"/>
          <w:lang w:val="en-US" w:eastAsia="zh-CN"/>
        </w:rPr>
      </w:pPr>
      <w:r>
        <w:rPr>
          <w:rFonts w:hint="eastAsia"/>
          <w:sz w:val="24"/>
          <w:szCs w:val="24"/>
          <w:highlight w:val="none"/>
          <w:lang w:val="en-US" w:eastAsia="zh-CN"/>
        </w:rPr>
        <w:t>项目场地开挖产生的淋溶水设置临时截排水沟排入集水坑收集、施工期及封场后产生的渗滤液经渗滤液收集池收集，经拟建一体化废水处理设备处理后，采用防腐、防漏的罐车集中清运至湖南黄金天岳矿业有限公司垂拱洞尾矿库废水处理站进行处理；罐车运输过程中产生的扬尘、交通噪声会对沿线居民产生影响。</w:t>
      </w:r>
    </w:p>
    <w:p w14:paraId="3163042B">
      <w:pPr>
        <w:bidi w:val="0"/>
        <w:rPr>
          <w:rFonts w:hint="eastAsia" w:cs="Times New Roman"/>
          <w:sz w:val="24"/>
          <w:szCs w:val="24"/>
          <w:highlight w:val="none"/>
          <w:u w:val="none" w:color="auto"/>
          <w:lang w:val="en-US" w:eastAsia="zh-CN"/>
        </w:rPr>
      </w:pPr>
      <w:r>
        <w:rPr>
          <w:rFonts w:hint="default" w:ascii="Times New Roman" w:hAnsi="Times New Roman" w:cs="Times New Roman"/>
          <w:sz w:val="24"/>
          <w:szCs w:val="24"/>
          <w:highlight w:val="none"/>
          <w:u w:val="none" w:color="auto"/>
          <w:lang w:val="en-US" w:eastAsia="zh-CN"/>
        </w:rPr>
        <w:t>本项目距湖南黄金天岳矿业有限公司垂拱洞尾矿库废水处理站直线距离约2.6km</w:t>
      </w:r>
      <w:r>
        <w:rPr>
          <w:rFonts w:hint="eastAsia" w:cs="Times New Roman"/>
          <w:sz w:val="24"/>
          <w:szCs w:val="24"/>
          <w:highlight w:val="none"/>
          <w:u w:val="none" w:color="auto"/>
          <w:lang w:val="en-US" w:eastAsia="zh-CN"/>
        </w:rPr>
        <w:t>，运输过程将采取以下措施：①使用专用、密闭且具备防腐蚀、防泄漏结构的罐车；②合理规划运输路线，尽量避开人口密集区、水源保护区等环境敏感区域；③通过限制车速、禁止鸣笛等管理措施降低噪声影响。</w:t>
      </w:r>
    </w:p>
    <w:p w14:paraId="1FF93D1A">
      <w:pPr>
        <w:bidi w:val="0"/>
        <w:rPr>
          <w:rFonts w:hint="eastAsia"/>
          <w:sz w:val="24"/>
          <w:szCs w:val="24"/>
          <w:highlight w:val="none"/>
          <w:lang w:val="en-US" w:eastAsia="zh-CN"/>
        </w:rPr>
      </w:pPr>
      <w:r>
        <w:rPr>
          <w:rFonts w:hint="eastAsia"/>
          <w:sz w:val="24"/>
          <w:szCs w:val="24"/>
          <w:highlight w:val="none"/>
          <w:lang w:val="en-US" w:eastAsia="zh-CN"/>
        </w:rPr>
        <w:t>通过以上措施后，项目罐车运输道路产生的扬尘及噪声对沿线环境的影响较小。</w:t>
      </w:r>
    </w:p>
    <w:p w14:paraId="6E6A9C82">
      <w:pPr>
        <w:bidi w:val="0"/>
        <w:rPr>
          <w:rFonts w:hint="eastAsia"/>
          <w:sz w:val="24"/>
          <w:szCs w:val="24"/>
          <w:highlight w:val="none"/>
          <w:lang w:val="en-US" w:eastAsia="zh-CN"/>
        </w:rPr>
      </w:pPr>
      <w:r>
        <w:rPr>
          <w:rFonts w:hint="eastAsia"/>
          <w:sz w:val="24"/>
          <w:szCs w:val="24"/>
          <w:highlight w:val="none"/>
          <w:lang w:val="en-US" w:eastAsia="zh-CN"/>
        </w:rPr>
        <w:t>综上所述，本项目治理期将对大气、声、地表水环境造成一定程度的影响，但这种影响是短期的、暂时性的，只要采取相应的环保措施，加强治理期环境管理，确保污染物能达标排放，把对环境的影响降到最小，随着项目的结束，项目治理期对环境带来的不利影响将会随之消失。</w:t>
      </w:r>
    </w:p>
    <w:p w14:paraId="5824453E">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5.1.</w:t>
      </w:r>
      <w:r>
        <w:rPr>
          <w:rFonts w:hint="eastAsia" w:cs="Times New Roman"/>
          <w:color w:val="auto"/>
          <w:sz w:val="28"/>
          <w:szCs w:val="28"/>
          <w:highlight w:val="none"/>
          <w:u w:val="none" w:color="auto"/>
          <w:lang w:val="en-US" w:eastAsia="zh-CN"/>
        </w:rPr>
        <w:t>8</w:t>
      </w:r>
      <w:r>
        <w:rPr>
          <w:rFonts w:hint="eastAsia" w:ascii="Times New Roman" w:hAnsi="Times New Roman" w:eastAsia="宋体" w:cs="Times New Roman"/>
          <w:color w:val="auto"/>
          <w:sz w:val="28"/>
          <w:szCs w:val="28"/>
          <w:highlight w:val="none"/>
          <w:u w:val="none" w:color="auto"/>
          <w:lang w:val="en-US" w:eastAsia="zh-CN"/>
        </w:rPr>
        <w:t>生态影响分析</w:t>
      </w:r>
    </w:p>
    <w:p w14:paraId="2AC481E4">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5.1.8.1</w:t>
      </w:r>
      <w:r>
        <w:rPr>
          <w:rFonts w:hint="default" w:ascii="Times New Roman" w:hAnsi="Times New Roman" w:cs="Times New Roman"/>
          <w:sz w:val="24"/>
          <w:szCs w:val="24"/>
          <w:u w:val="none"/>
          <w:lang w:val="en-US" w:eastAsia="zh-CN"/>
        </w:rPr>
        <w:t>对植物的影响</w:t>
      </w:r>
    </w:p>
    <w:p w14:paraId="4B46DA42">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本项目施工期工程对评价区植物及植被的影响因子主要有工程占地、施工活动及施工活动产生的废水、废气、弃渣、固废、扬尘等。</w:t>
      </w:r>
    </w:p>
    <w:p w14:paraId="05ECCE6F">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1）工程占地对植物及植被的影响</w:t>
      </w:r>
    </w:p>
    <w:p w14:paraId="040B191B">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工程占地不可避免地会破坏占地区植物及植被，其中，永久占地是长期的、不可逆的，临时占地是暂时的、可恢复的。根据工程布置，本工程总占地面积34557.68m</w:t>
      </w:r>
      <w:r>
        <w:rPr>
          <w:rFonts w:hint="default" w:ascii="Times New Roman" w:hAnsi="Times New Roman" w:cs="Times New Roman"/>
          <w:sz w:val="24"/>
          <w:szCs w:val="24"/>
          <w:u w:val="none"/>
          <w:vertAlign w:val="superscript"/>
          <w:lang w:val="en-US" w:eastAsia="zh-CN"/>
        </w:rPr>
        <w:t>2</w:t>
      </w:r>
      <w:r>
        <w:rPr>
          <w:rFonts w:hint="default" w:ascii="Times New Roman" w:hAnsi="Times New Roman" w:cs="Times New Roman"/>
          <w:sz w:val="24"/>
          <w:szCs w:val="24"/>
          <w:u w:val="none"/>
          <w:lang w:val="en-US" w:eastAsia="zh-CN"/>
        </w:rPr>
        <w:t>，其中永久占地8517.35m</w:t>
      </w:r>
      <w:r>
        <w:rPr>
          <w:rFonts w:hint="default" w:ascii="Times New Roman" w:hAnsi="Times New Roman" w:cs="Times New Roman"/>
          <w:sz w:val="24"/>
          <w:szCs w:val="24"/>
          <w:u w:val="none"/>
          <w:vertAlign w:val="superscript"/>
          <w:lang w:val="en-US" w:eastAsia="zh-CN"/>
        </w:rPr>
        <w:t>2</w:t>
      </w:r>
      <w:r>
        <w:rPr>
          <w:rFonts w:hint="default" w:ascii="Times New Roman" w:hAnsi="Times New Roman" w:cs="Times New Roman"/>
          <w:sz w:val="24"/>
          <w:szCs w:val="24"/>
          <w:u w:val="none"/>
          <w:lang w:val="en-US" w:eastAsia="zh-CN"/>
        </w:rPr>
        <w:t>，占总占地面积的24.65%，永久占地工程主要为填埋区；临时占地26040.33m</w:t>
      </w:r>
      <w:r>
        <w:rPr>
          <w:rFonts w:hint="default" w:ascii="Times New Roman" w:hAnsi="Times New Roman" w:cs="Times New Roman"/>
          <w:sz w:val="24"/>
          <w:szCs w:val="24"/>
          <w:u w:val="none"/>
          <w:vertAlign w:val="superscript"/>
          <w:lang w:val="en-US" w:eastAsia="zh-CN"/>
        </w:rPr>
        <w:t>2</w:t>
      </w:r>
      <w:r>
        <w:rPr>
          <w:rFonts w:hint="default" w:ascii="Times New Roman" w:hAnsi="Times New Roman" w:cs="Times New Roman"/>
          <w:sz w:val="24"/>
          <w:szCs w:val="24"/>
          <w:u w:val="none"/>
          <w:lang w:val="en-US" w:eastAsia="zh-CN"/>
        </w:rPr>
        <w:t>，占地工程主要有废渣区、取土场、临时道路等。具体用地类型见表5.1-4。</w:t>
      </w:r>
    </w:p>
    <w:p w14:paraId="27839C78">
      <w:pPr>
        <w:bidi w:val="0"/>
        <w:spacing w:line="240" w:lineRule="auto"/>
        <w:ind w:left="0" w:leftChars="0" w:firstLine="0" w:firstLineChars="0"/>
        <w:jc w:val="center"/>
        <w:rPr>
          <w:rFonts w:hint="default" w:ascii="Times New Roman" w:hAnsi="Times New Roman" w:cs="Times New Roman"/>
          <w:b/>
          <w:bCs/>
          <w:sz w:val="21"/>
          <w:szCs w:val="21"/>
          <w:u w:val="none"/>
          <w:lang w:val="en-US" w:eastAsia="zh-CN"/>
        </w:rPr>
      </w:pPr>
      <w:r>
        <w:rPr>
          <w:rFonts w:hint="default" w:ascii="Times New Roman" w:hAnsi="Times New Roman" w:cs="Times New Roman"/>
          <w:b/>
          <w:bCs/>
          <w:sz w:val="21"/>
          <w:szCs w:val="21"/>
          <w:u w:val="none"/>
          <w:lang w:val="en-US" w:eastAsia="zh-CN"/>
        </w:rPr>
        <w:t>表5.1-4  施工期项目占用自然植被情况一览表</w:t>
      </w:r>
    </w:p>
    <w:tbl>
      <w:tblPr>
        <w:tblStyle w:val="47"/>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60"/>
        <w:gridCol w:w="1707"/>
        <w:gridCol w:w="1902"/>
        <w:gridCol w:w="1365"/>
        <w:gridCol w:w="2207"/>
      </w:tblGrid>
      <w:tr w14:paraId="496524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39320E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序号</w:t>
            </w:r>
          </w:p>
        </w:tc>
        <w:tc>
          <w:tcPr>
            <w:tcW w:w="786" w:type="pct"/>
            <w:tcBorders>
              <w:tl2br w:val="nil"/>
              <w:tr2bl w:val="nil"/>
            </w:tcBorders>
            <w:noWrap w:val="0"/>
            <w:vAlign w:val="center"/>
          </w:tcPr>
          <w:p w14:paraId="16709F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占地性质</w:t>
            </w:r>
          </w:p>
        </w:tc>
        <w:tc>
          <w:tcPr>
            <w:tcW w:w="919" w:type="pct"/>
            <w:tcBorders>
              <w:tl2br w:val="nil"/>
              <w:tr2bl w:val="nil"/>
            </w:tcBorders>
            <w:noWrap w:val="0"/>
            <w:vAlign w:val="center"/>
          </w:tcPr>
          <w:p w14:paraId="16A2E3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项目组成</w:t>
            </w:r>
          </w:p>
        </w:tc>
        <w:tc>
          <w:tcPr>
            <w:tcW w:w="1023" w:type="pct"/>
            <w:tcBorders>
              <w:tl2br w:val="nil"/>
              <w:tr2bl w:val="nil"/>
            </w:tcBorders>
            <w:noWrap w:val="0"/>
            <w:vAlign w:val="center"/>
          </w:tcPr>
          <w:p w14:paraId="2F1CA7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占地类型</w:t>
            </w:r>
          </w:p>
        </w:tc>
        <w:tc>
          <w:tcPr>
            <w:tcW w:w="735" w:type="pct"/>
            <w:tcBorders>
              <w:tl2br w:val="nil"/>
              <w:tr2bl w:val="nil"/>
            </w:tcBorders>
            <w:noWrap w:val="0"/>
            <w:vAlign w:val="center"/>
          </w:tcPr>
          <w:p w14:paraId="1116CF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面积（m</w:t>
            </w:r>
            <w:r>
              <w:rPr>
                <w:rFonts w:hint="eastAsia"/>
                <w:b/>
                <w:bCs/>
                <w:sz w:val="21"/>
                <w:szCs w:val="21"/>
                <w:u w:val="none"/>
                <w:vertAlign w:val="superscript"/>
                <w:lang w:val="en-US" w:eastAsia="zh-CN"/>
              </w:rPr>
              <w:t>2</w:t>
            </w:r>
            <w:r>
              <w:rPr>
                <w:rFonts w:hint="eastAsia"/>
                <w:b/>
                <w:bCs/>
                <w:sz w:val="21"/>
                <w:szCs w:val="21"/>
                <w:u w:val="none"/>
                <w:lang w:val="en-US" w:eastAsia="zh-CN"/>
              </w:rPr>
              <w:t>）</w:t>
            </w:r>
          </w:p>
        </w:tc>
        <w:tc>
          <w:tcPr>
            <w:tcW w:w="1188" w:type="pct"/>
            <w:tcBorders>
              <w:tl2br w:val="nil"/>
              <w:tr2bl w:val="nil"/>
            </w:tcBorders>
            <w:noWrap w:val="0"/>
            <w:vAlign w:val="center"/>
          </w:tcPr>
          <w:p w14:paraId="4903DB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u w:val="none"/>
                <w:lang w:val="en-US" w:eastAsia="zh-CN"/>
              </w:rPr>
            </w:pPr>
            <w:r>
              <w:rPr>
                <w:rFonts w:hint="eastAsia"/>
                <w:b/>
                <w:bCs/>
                <w:sz w:val="21"/>
                <w:szCs w:val="21"/>
                <w:u w:val="none"/>
                <w:lang w:val="en-US" w:eastAsia="zh-CN"/>
              </w:rPr>
              <w:t>占项目用地比例（%）</w:t>
            </w:r>
          </w:p>
        </w:tc>
      </w:tr>
      <w:tr w14:paraId="1282B1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1F486A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1</w:t>
            </w:r>
          </w:p>
        </w:tc>
        <w:tc>
          <w:tcPr>
            <w:tcW w:w="786" w:type="pct"/>
            <w:vMerge w:val="restart"/>
            <w:tcBorders>
              <w:tl2br w:val="nil"/>
              <w:tr2bl w:val="nil"/>
            </w:tcBorders>
            <w:noWrap w:val="0"/>
            <w:vAlign w:val="center"/>
          </w:tcPr>
          <w:p w14:paraId="6F02CF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永久占地</w:t>
            </w:r>
          </w:p>
        </w:tc>
        <w:tc>
          <w:tcPr>
            <w:tcW w:w="919" w:type="pct"/>
            <w:vMerge w:val="restart"/>
            <w:tcBorders>
              <w:tl2br w:val="nil"/>
              <w:tr2bl w:val="nil"/>
            </w:tcBorders>
            <w:noWrap w:val="0"/>
            <w:vAlign w:val="center"/>
          </w:tcPr>
          <w:p w14:paraId="3AA796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填埋区</w:t>
            </w:r>
          </w:p>
        </w:tc>
        <w:tc>
          <w:tcPr>
            <w:tcW w:w="1023" w:type="pct"/>
            <w:tcBorders>
              <w:tl2br w:val="nil"/>
              <w:tr2bl w:val="nil"/>
            </w:tcBorders>
            <w:noWrap w:val="0"/>
            <w:vAlign w:val="center"/>
          </w:tcPr>
          <w:p w14:paraId="675CE9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乔木林（林地）</w:t>
            </w:r>
          </w:p>
        </w:tc>
        <w:tc>
          <w:tcPr>
            <w:tcW w:w="735" w:type="pct"/>
            <w:tcBorders>
              <w:tl2br w:val="nil"/>
              <w:tr2bl w:val="nil"/>
            </w:tcBorders>
            <w:noWrap w:val="0"/>
            <w:vAlign w:val="center"/>
          </w:tcPr>
          <w:p w14:paraId="602F4C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6809.22</w:t>
            </w:r>
          </w:p>
        </w:tc>
        <w:tc>
          <w:tcPr>
            <w:tcW w:w="1188" w:type="pct"/>
            <w:tcBorders>
              <w:tl2br w:val="nil"/>
              <w:tr2bl w:val="nil"/>
            </w:tcBorders>
            <w:noWrap w:val="0"/>
            <w:vAlign w:val="center"/>
          </w:tcPr>
          <w:p w14:paraId="7A0CBC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19.71</w:t>
            </w:r>
          </w:p>
        </w:tc>
      </w:tr>
      <w:tr w14:paraId="788E6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603FE5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2</w:t>
            </w:r>
          </w:p>
        </w:tc>
        <w:tc>
          <w:tcPr>
            <w:tcW w:w="786" w:type="pct"/>
            <w:vMerge w:val="continue"/>
            <w:tcBorders>
              <w:tl2br w:val="nil"/>
              <w:tr2bl w:val="nil"/>
            </w:tcBorders>
            <w:noWrap w:val="0"/>
            <w:vAlign w:val="center"/>
          </w:tcPr>
          <w:p w14:paraId="536622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41A21B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18DF4B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highlight w:val="none"/>
                <w:u w:val="none"/>
                <w:lang w:val="en-US" w:eastAsia="zh-CN"/>
              </w:rPr>
              <w:t>其他林地</w:t>
            </w:r>
          </w:p>
        </w:tc>
        <w:tc>
          <w:tcPr>
            <w:tcW w:w="735" w:type="pct"/>
            <w:tcBorders>
              <w:tl2br w:val="nil"/>
              <w:tr2bl w:val="nil"/>
            </w:tcBorders>
            <w:noWrap w:val="0"/>
            <w:vAlign w:val="center"/>
          </w:tcPr>
          <w:p w14:paraId="3E7002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1708.13</w:t>
            </w:r>
          </w:p>
        </w:tc>
        <w:tc>
          <w:tcPr>
            <w:tcW w:w="1188" w:type="pct"/>
            <w:tcBorders>
              <w:tl2br w:val="nil"/>
              <w:tr2bl w:val="nil"/>
            </w:tcBorders>
            <w:noWrap w:val="0"/>
            <w:vAlign w:val="center"/>
          </w:tcPr>
          <w:p w14:paraId="55D81D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4.94</w:t>
            </w:r>
          </w:p>
        </w:tc>
      </w:tr>
      <w:tr w14:paraId="45FF9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76" w:type="pct"/>
            <w:gridSpan w:val="4"/>
            <w:tcBorders>
              <w:tl2br w:val="nil"/>
              <w:tr2bl w:val="nil"/>
            </w:tcBorders>
            <w:noWrap w:val="0"/>
            <w:vAlign w:val="center"/>
          </w:tcPr>
          <w:p w14:paraId="56759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小计</w:t>
            </w:r>
          </w:p>
        </w:tc>
        <w:tc>
          <w:tcPr>
            <w:tcW w:w="735" w:type="pct"/>
            <w:tcBorders>
              <w:tl2br w:val="nil"/>
              <w:tr2bl w:val="nil"/>
            </w:tcBorders>
            <w:noWrap w:val="0"/>
            <w:vAlign w:val="center"/>
          </w:tcPr>
          <w:p w14:paraId="68ECA3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8517.35</w:t>
            </w:r>
          </w:p>
        </w:tc>
        <w:tc>
          <w:tcPr>
            <w:tcW w:w="1188" w:type="pct"/>
            <w:tcBorders>
              <w:tl2br w:val="nil"/>
              <w:tr2bl w:val="nil"/>
            </w:tcBorders>
            <w:noWrap w:val="0"/>
            <w:vAlign w:val="center"/>
          </w:tcPr>
          <w:p w14:paraId="226AED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sz w:val="21"/>
                <w:szCs w:val="21"/>
                <w:u w:val="none"/>
                <w:lang w:val="en-US" w:eastAsia="zh-CN"/>
              </w:rPr>
              <w:t>24.65</w:t>
            </w:r>
          </w:p>
        </w:tc>
      </w:tr>
      <w:tr w14:paraId="2BCCF2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252E14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3</w:t>
            </w:r>
          </w:p>
        </w:tc>
        <w:tc>
          <w:tcPr>
            <w:tcW w:w="786" w:type="pct"/>
            <w:vMerge w:val="restart"/>
            <w:tcBorders>
              <w:tl2br w:val="nil"/>
              <w:tr2bl w:val="nil"/>
            </w:tcBorders>
            <w:noWrap w:val="0"/>
            <w:vAlign w:val="center"/>
          </w:tcPr>
          <w:p w14:paraId="3C80B4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临时占地</w:t>
            </w:r>
          </w:p>
        </w:tc>
        <w:tc>
          <w:tcPr>
            <w:tcW w:w="919" w:type="pct"/>
            <w:vMerge w:val="restart"/>
            <w:tcBorders>
              <w:tl2br w:val="nil"/>
              <w:tr2bl w:val="nil"/>
            </w:tcBorders>
            <w:noWrap w:val="0"/>
            <w:vAlign w:val="center"/>
          </w:tcPr>
          <w:p w14:paraId="467EC3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废渣区</w:t>
            </w:r>
          </w:p>
        </w:tc>
        <w:tc>
          <w:tcPr>
            <w:tcW w:w="1023" w:type="pct"/>
            <w:tcBorders>
              <w:tl2br w:val="nil"/>
              <w:tr2bl w:val="nil"/>
            </w:tcBorders>
            <w:noWrap w:val="0"/>
            <w:vAlign w:val="center"/>
          </w:tcPr>
          <w:p w14:paraId="68D2C3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乔木林（林地）</w:t>
            </w:r>
          </w:p>
        </w:tc>
        <w:tc>
          <w:tcPr>
            <w:tcW w:w="735" w:type="pct"/>
            <w:tcBorders>
              <w:tl2br w:val="nil"/>
              <w:tr2bl w:val="nil"/>
            </w:tcBorders>
            <w:noWrap w:val="0"/>
            <w:vAlign w:val="center"/>
          </w:tcPr>
          <w:p w14:paraId="5906D5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12674.99</w:t>
            </w:r>
          </w:p>
        </w:tc>
        <w:tc>
          <w:tcPr>
            <w:tcW w:w="1188" w:type="pct"/>
            <w:tcBorders>
              <w:tl2br w:val="nil"/>
              <w:tr2bl w:val="nil"/>
            </w:tcBorders>
            <w:noWrap w:val="0"/>
            <w:vAlign w:val="center"/>
          </w:tcPr>
          <w:p w14:paraId="6C14E6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36.68</w:t>
            </w:r>
          </w:p>
        </w:tc>
      </w:tr>
      <w:tr w14:paraId="73AC4A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71DDF7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4</w:t>
            </w:r>
          </w:p>
        </w:tc>
        <w:tc>
          <w:tcPr>
            <w:tcW w:w="786" w:type="pct"/>
            <w:vMerge w:val="continue"/>
            <w:tcBorders>
              <w:tl2br w:val="nil"/>
              <w:tr2bl w:val="nil"/>
            </w:tcBorders>
            <w:noWrap w:val="0"/>
            <w:vAlign w:val="center"/>
          </w:tcPr>
          <w:p w14:paraId="5BC49E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38A36D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287D7E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农业植被（耕地）</w:t>
            </w:r>
          </w:p>
        </w:tc>
        <w:tc>
          <w:tcPr>
            <w:tcW w:w="735" w:type="pct"/>
            <w:tcBorders>
              <w:tl2br w:val="nil"/>
              <w:tr2bl w:val="nil"/>
            </w:tcBorders>
            <w:noWrap w:val="0"/>
            <w:vAlign w:val="center"/>
          </w:tcPr>
          <w:p w14:paraId="32B94E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2240.58</w:t>
            </w:r>
          </w:p>
        </w:tc>
        <w:tc>
          <w:tcPr>
            <w:tcW w:w="1188" w:type="pct"/>
            <w:tcBorders>
              <w:tl2br w:val="nil"/>
              <w:tr2bl w:val="nil"/>
            </w:tcBorders>
            <w:noWrap w:val="0"/>
            <w:vAlign w:val="center"/>
          </w:tcPr>
          <w:p w14:paraId="165515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6.48</w:t>
            </w:r>
          </w:p>
        </w:tc>
      </w:tr>
      <w:tr w14:paraId="0D3BF0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0E2CF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5</w:t>
            </w:r>
          </w:p>
        </w:tc>
        <w:tc>
          <w:tcPr>
            <w:tcW w:w="786" w:type="pct"/>
            <w:vMerge w:val="continue"/>
            <w:tcBorders>
              <w:tl2br w:val="nil"/>
              <w:tr2bl w:val="nil"/>
            </w:tcBorders>
            <w:noWrap w:val="0"/>
            <w:vAlign w:val="center"/>
          </w:tcPr>
          <w:p w14:paraId="70FAB5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084EEC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65017A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水域</w:t>
            </w:r>
          </w:p>
        </w:tc>
        <w:tc>
          <w:tcPr>
            <w:tcW w:w="735" w:type="pct"/>
            <w:tcBorders>
              <w:tl2br w:val="nil"/>
              <w:tr2bl w:val="nil"/>
            </w:tcBorders>
            <w:noWrap w:val="0"/>
            <w:vAlign w:val="center"/>
          </w:tcPr>
          <w:p w14:paraId="26E80B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372.01</w:t>
            </w:r>
          </w:p>
        </w:tc>
        <w:tc>
          <w:tcPr>
            <w:tcW w:w="1188" w:type="pct"/>
            <w:tcBorders>
              <w:tl2br w:val="nil"/>
              <w:tr2bl w:val="nil"/>
            </w:tcBorders>
            <w:noWrap w:val="0"/>
            <w:vAlign w:val="center"/>
          </w:tcPr>
          <w:p w14:paraId="44D82C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1.07</w:t>
            </w:r>
          </w:p>
        </w:tc>
      </w:tr>
      <w:tr w14:paraId="5F5110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7ECA45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6</w:t>
            </w:r>
          </w:p>
        </w:tc>
        <w:tc>
          <w:tcPr>
            <w:tcW w:w="786" w:type="pct"/>
            <w:vMerge w:val="continue"/>
            <w:tcBorders>
              <w:tl2br w:val="nil"/>
              <w:tr2bl w:val="nil"/>
            </w:tcBorders>
            <w:noWrap w:val="0"/>
            <w:vAlign w:val="center"/>
          </w:tcPr>
          <w:p w14:paraId="66553F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tcBorders>
              <w:tl2br w:val="nil"/>
              <w:tr2bl w:val="nil"/>
            </w:tcBorders>
            <w:noWrap w:val="0"/>
            <w:vAlign w:val="center"/>
          </w:tcPr>
          <w:p w14:paraId="682EC4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取土场</w:t>
            </w:r>
          </w:p>
        </w:tc>
        <w:tc>
          <w:tcPr>
            <w:tcW w:w="1023" w:type="pct"/>
            <w:tcBorders>
              <w:tl2br w:val="nil"/>
              <w:tr2bl w:val="nil"/>
            </w:tcBorders>
            <w:noWrap w:val="0"/>
            <w:vAlign w:val="center"/>
          </w:tcPr>
          <w:p w14:paraId="696896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乔木林（林地）</w:t>
            </w:r>
          </w:p>
        </w:tc>
        <w:tc>
          <w:tcPr>
            <w:tcW w:w="735" w:type="pct"/>
            <w:tcBorders>
              <w:tl2br w:val="nil"/>
              <w:tr2bl w:val="nil"/>
            </w:tcBorders>
            <w:noWrap w:val="0"/>
            <w:vAlign w:val="center"/>
          </w:tcPr>
          <w:p w14:paraId="126FC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2459.24</w:t>
            </w:r>
          </w:p>
        </w:tc>
        <w:tc>
          <w:tcPr>
            <w:tcW w:w="1188" w:type="pct"/>
            <w:tcBorders>
              <w:tl2br w:val="nil"/>
              <w:tr2bl w:val="nil"/>
            </w:tcBorders>
            <w:noWrap w:val="0"/>
            <w:vAlign w:val="center"/>
          </w:tcPr>
          <w:p w14:paraId="75E0DB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7.12</w:t>
            </w:r>
          </w:p>
        </w:tc>
      </w:tr>
      <w:tr w14:paraId="498C88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6F8605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7</w:t>
            </w:r>
          </w:p>
        </w:tc>
        <w:tc>
          <w:tcPr>
            <w:tcW w:w="786" w:type="pct"/>
            <w:vMerge w:val="continue"/>
            <w:tcBorders>
              <w:tl2br w:val="nil"/>
              <w:tr2bl w:val="nil"/>
            </w:tcBorders>
            <w:noWrap w:val="0"/>
            <w:vAlign w:val="center"/>
          </w:tcPr>
          <w:p w14:paraId="399F38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restart"/>
            <w:tcBorders>
              <w:tl2br w:val="nil"/>
              <w:tr2bl w:val="nil"/>
            </w:tcBorders>
            <w:noWrap w:val="0"/>
            <w:vAlign w:val="center"/>
          </w:tcPr>
          <w:p w14:paraId="4EDB18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临时道路</w:t>
            </w:r>
          </w:p>
        </w:tc>
        <w:tc>
          <w:tcPr>
            <w:tcW w:w="1023" w:type="pct"/>
            <w:tcBorders>
              <w:tl2br w:val="nil"/>
              <w:tr2bl w:val="nil"/>
            </w:tcBorders>
            <w:noWrap w:val="0"/>
            <w:vAlign w:val="center"/>
          </w:tcPr>
          <w:p w14:paraId="7EC728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农业植被（耕地）</w:t>
            </w:r>
          </w:p>
        </w:tc>
        <w:tc>
          <w:tcPr>
            <w:tcW w:w="735" w:type="pct"/>
            <w:tcBorders>
              <w:tl2br w:val="nil"/>
              <w:tr2bl w:val="nil"/>
            </w:tcBorders>
            <w:noWrap w:val="0"/>
            <w:vAlign w:val="center"/>
          </w:tcPr>
          <w:p w14:paraId="0AD8A1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1869.89</w:t>
            </w:r>
          </w:p>
        </w:tc>
        <w:tc>
          <w:tcPr>
            <w:tcW w:w="1188" w:type="pct"/>
            <w:tcBorders>
              <w:tl2br w:val="nil"/>
              <w:tr2bl w:val="nil"/>
            </w:tcBorders>
            <w:noWrap w:val="0"/>
            <w:vAlign w:val="center"/>
          </w:tcPr>
          <w:p w14:paraId="3BB5AD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5.41</w:t>
            </w:r>
          </w:p>
        </w:tc>
      </w:tr>
      <w:tr w14:paraId="229F83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shd w:val="clear" w:color="auto" w:fill="auto"/>
            <w:noWrap w:val="0"/>
            <w:vAlign w:val="center"/>
          </w:tcPr>
          <w:p w14:paraId="4E9BBC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8</w:t>
            </w:r>
          </w:p>
        </w:tc>
        <w:tc>
          <w:tcPr>
            <w:tcW w:w="786" w:type="pct"/>
            <w:vMerge w:val="continue"/>
            <w:tcBorders>
              <w:tl2br w:val="nil"/>
              <w:tr2bl w:val="nil"/>
            </w:tcBorders>
            <w:noWrap w:val="0"/>
            <w:vAlign w:val="center"/>
          </w:tcPr>
          <w:p w14:paraId="3E03B7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5C4ACE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70A907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乔木林（林地）</w:t>
            </w:r>
          </w:p>
        </w:tc>
        <w:tc>
          <w:tcPr>
            <w:tcW w:w="735" w:type="pct"/>
            <w:tcBorders>
              <w:tl2br w:val="nil"/>
              <w:tr2bl w:val="nil"/>
            </w:tcBorders>
            <w:noWrap w:val="0"/>
            <w:vAlign w:val="center"/>
          </w:tcPr>
          <w:p w14:paraId="684FE1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2685.15</w:t>
            </w:r>
          </w:p>
        </w:tc>
        <w:tc>
          <w:tcPr>
            <w:tcW w:w="1188" w:type="pct"/>
            <w:tcBorders>
              <w:tl2br w:val="nil"/>
              <w:tr2bl w:val="nil"/>
            </w:tcBorders>
            <w:noWrap w:val="0"/>
            <w:vAlign w:val="center"/>
          </w:tcPr>
          <w:p w14:paraId="336C3C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7.77</w:t>
            </w:r>
          </w:p>
        </w:tc>
      </w:tr>
      <w:tr w14:paraId="17BEEE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47" w:type="pct"/>
            <w:tcBorders>
              <w:tl2br w:val="nil"/>
              <w:tr2bl w:val="nil"/>
            </w:tcBorders>
            <w:noWrap w:val="0"/>
            <w:vAlign w:val="center"/>
          </w:tcPr>
          <w:p w14:paraId="6B7626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eastAsia" w:cs="Times New Roman"/>
                <w:kern w:val="2"/>
                <w:sz w:val="21"/>
                <w:szCs w:val="21"/>
                <w:u w:val="none"/>
                <w:lang w:val="en-US" w:eastAsia="zh-CN" w:bidi="ar-SA"/>
              </w:rPr>
              <w:t>9</w:t>
            </w:r>
          </w:p>
        </w:tc>
        <w:tc>
          <w:tcPr>
            <w:tcW w:w="786" w:type="pct"/>
            <w:vMerge w:val="continue"/>
            <w:tcBorders>
              <w:tl2br w:val="nil"/>
              <w:tr2bl w:val="nil"/>
            </w:tcBorders>
            <w:noWrap w:val="0"/>
            <w:vAlign w:val="center"/>
          </w:tcPr>
          <w:p w14:paraId="3472E6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919" w:type="pct"/>
            <w:vMerge w:val="continue"/>
            <w:tcBorders>
              <w:tl2br w:val="nil"/>
              <w:tr2bl w:val="nil"/>
            </w:tcBorders>
            <w:noWrap w:val="0"/>
            <w:vAlign w:val="center"/>
          </w:tcPr>
          <w:p w14:paraId="735D96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p>
        </w:tc>
        <w:tc>
          <w:tcPr>
            <w:tcW w:w="1023" w:type="pct"/>
            <w:tcBorders>
              <w:tl2br w:val="nil"/>
              <w:tr2bl w:val="nil"/>
            </w:tcBorders>
            <w:noWrap w:val="0"/>
            <w:vAlign w:val="center"/>
          </w:tcPr>
          <w:p w14:paraId="693F09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交通运输（道路）</w:t>
            </w:r>
          </w:p>
        </w:tc>
        <w:tc>
          <w:tcPr>
            <w:tcW w:w="735" w:type="pct"/>
            <w:tcBorders>
              <w:tl2br w:val="nil"/>
              <w:tr2bl w:val="nil"/>
            </w:tcBorders>
            <w:noWrap w:val="0"/>
            <w:vAlign w:val="center"/>
          </w:tcPr>
          <w:p w14:paraId="3B4655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3738.47</w:t>
            </w:r>
          </w:p>
        </w:tc>
        <w:tc>
          <w:tcPr>
            <w:tcW w:w="1188" w:type="pct"/>
            <w:tcBorders>
              <w:tl2br w:val="nil"/>
              <w:tr2bl w:val="nil"/>
            </w:tcBorders>
            <w:noWrap w:val="0"/>
            <w:vAlign w:val="center"/>
          </w:tcPr>
          <w:p w14:paraId="4869C4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10.82</w:t>
            </w:r>
          </w:p>
        </w:tc>
      </w:tr>
      <w:tr w14:paraId="4333F9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76" w:type="pct"/>
            <w:gridSpan w:val="4"/>
            <w:tcBorders>
              <w:tl2br w:val="nil"/>
              <w:tr2bl w:val="nil"/>
            </w:tcBorders>
            <w:noWrap w:val="0"/>
            <w:vAlign w:val="center"/>
          </w:tcPr>
          <w:p w14:paraId="5C0BD7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小计</w:t>
            </w:r>
          </w:p>
        </w:tc>
        <w:tc>
          <w:tcPr>
            <w:tcW w:w="735" w:type="pct"/>
            <w:tcBorders>
              <w:tl2br w:val="nil"/>
              <w:tr2bl w:val="nil"/>
            </w:tcBorders>
            <w:noWrap w:val="0"/>
            <w:vAlign w:val="center"/>
          </w:tcPr>
          <w:p w14:paraId="55D6F1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26040.33</w:t>
            </w:r>
          </w:p>
        </w:tc>
        <w:tc>
          <w:tcPr>
            <w:tcW w:w="1188" w:type="pct"/>
            <w:tcBorders>
              <w:tl2br w:val="nil"/>
              <w:tr2bl w:val="nil"/>
            </w:tcBorders>
            <w:noWrap w:val="0"/>
            <w:vAlign w:val="center"/>
          </w:tcPr>
          <w:p w14:paraId="1DEC7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75.35</w:t>
            </w:r>
          </w:p>
        </w:tc>
      </w:tr>
      <w:tr w14:paraId="7D1F84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076" w:type="pct"/>
            <w:gridSpan w:val="4"/>
            <w:tcBorders>
              <w:tl2br w:val="nil"/>
              <w:tr2bl w:val="nil"/>
            </w:tcBorders>
            <w:noWrap w:val="0"/>
            <w:vAlign w:val="center"/>
          </w:tcPr>
          <w:p w14:paraId="193018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合计</w:t>
            </w:r>
          </w:p>
        </w:tc>
        <w:tc>
          <w:tcPr>
            <w:tcW w:w="735" w:type="pct"/>
            <w:tcBorders>
              <w:tl2br w:val="nil"/>
              <w:tr2bl w:val="nil"/>
            </w:tcBorders>
            <w:noWrap w:val="0"/>
            <w:vAlign w:val="center"/>
          </w:tcPr>
          <w:p w14:paraId="2AB071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u w:val="none"/>
                <w:lang w:val="en-US" w:eastAsia="zh-CN"/>
              </w:rPr>
            </w:pPr>
            <w:r>
              <w:rPr>
                <w:rFonts w:hint="eastAsia"/>
                <w:sz w:val="21"/>
                <w:szCs w:val="21"/>
                <w:u w:val="none"/>
                <w:lang w:val="en-US" w:eastAsia="zh-CN"/>
              </w:rPr>
              <w:t>34557.68</w:t>
            </w:r>
          </w:p>
        </w:tc>
        <w:tc>
          <w:tcPr>
            <w:tcW w:w="1188" w:type="pct"/>
            <w:tcBorders>
              <w:tl2br w:val="nil"/>
              <w:tr2bl w:val="nil"/>
            </w:tcBorders>
            <w:noWrap w:val="0"/>
            <w:vAlign w:val="center"/>
          </w:tcPr>
          <w:p w14:paraId="5FBC27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u w:val="none"/>
                <w:lang w:val="en-US" w:eastAsia="zh-CN"/>
              </w:rPr>
            </w:pPr>
            <w:r>
              <w:rPr>
                <w:rFonts w:hint="eastAsia"/>
                <w:sz w:val="21"/>
                <w:szCs w:val="21"/>
                <w:u w:val="none"/>
                <w:lang w:val="en-US" w:eastAsia="zh-CN"/>
              </w:rPr>
              <w:t>100</w:t>
            </w:r>
          </w:p>
        </w:tc>
      </w:tr>
    </w:tbl>
    <w:p w14:paraId="1E132E2F">
      <w:pPr>
        <w:bidi w:val="0"/>
        <w:rPr>
          <w:rFonts w:hint="eastAsia"/>
          <w:sz w:val="24"/>
          <w:szCs w:val="24"/>
          <w:u w:val="none"/>
          <w:lang w:val="en-US" w:eastAsia="zh-CN"/>
        </w:rPr>
      </w:pPr>
      <w:r>
        <w:rPr>
          <w:rFonts w:hint="eastAsia"/>
          <w:sz w:val="24"/>
          <w:szCs w:val="24"/>
          <w:u w:val="none"/>
          <w:lang w:val="en-US" w:eastAsia="zh-CN"/>
        </w:rPr>
        <w:t>生物量损失按下式计算：</w:t>
      </w:r>
    </w:p>
    <w:p w14:paraId="76E672F8">
      <w:pPr>
        <w:bidi w:val="0"/>
        <w:ind w:left="0" w:leftChars="0" w:firstLine="0" w:firstLineChars="0"/>
        <w:jc w:val="center"/>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Y＝</w:t>
      </w:r>
      <w:r>
        <w:rPr>
          <w:rFonts w:hint="default" w:ascii="Times New Roman" w:hAnsi="Times New Roman" w:cs="Times New Roman"/>
          <w:sz w:val="24"/>
          <w:szCs w:val="24"/>
          <w:u w:val="none"/>
          <w:lang w:val="en-US" w:eastAsia="zh-CN"/>
        </w:rPr>
        <w:sym w:font="Symbol" w:char="F0E5"/>
      </w:r>
      <w:r>
        <w:rPr>
          <w:rFonts w:hint="default" w:ascii="Times New Roman" w:hAnsi="Times New Roman" w:cs="Times New Roman"/>
          <w:sz w:val="24"/>
          <w:szCs w:val="24"/>
          <w:u w:val="none"/>
          <w:lang w:val="en-US" w:eastAsia="zh-CN"/>
        </w:rPr>
        <w:t>S</w:t>
      </w:r>
      <w:r>
        <w:rPr>
          <w:rFonts w:hint="default" w:ascii="Times New Roman" w:hAnsi="Times New Roman" w:cs="Times New Roman"/>
          <w:sz w:val="24"/>
          <w:szCs w:val="24"/>
          <w:u w:val="none"/>
          <w:vertAlign w:val="subscript"/>
          <w:lang w:val="en-US" w:eastAsia="zh-CN"/>
        </w:rPr>
        <w:t>i</w:t>
      </w:r>
      <w:r>
        <w:rPr>
          <w:rFonts w:hint="default" w:ascii="Times New Roman" w:hAnsi="Times New Roman" w:cs="Times New Roman"/>
          <w:sz w:val="24"/>
          <w:szCs w:val="24"/>
          <w:u w:val="none"/>
          <w:lang w:val="en-US" w:eastAsia="zh-CN"/>
        </w:rPr>
        <w:t>·W</w:t>
      </w:r>
      <w:r>
        <w:rPr>
          <w:rFonts w:hint="default" w:ascii="Times New Roman" w:hAnsi="Times New Roman" w:cs="Times New Roman"/>
          <w:sz w:val="24"/>
          <w:szCs w:val="24"/>
          <w:u w:val="none"/>
          <w:vertAlign w:val="subscript"/>
          <w:lang w:val="en-US" w:eastAsia="zh-CN"/>
        </w:rPr>
        <w:t>i</w:t>
      </w:r>
    </w:p>
    <w:p w14:paraId="704651C3">
      <w:pPr>
        <w:bidi w:val="0"/>
        <w:rPr>
          <w:rFonts w:hint="eastAsia"/>
          <w:sz w:val="24"/>
          <w:szCs w:val="24"/>
          <w:u w:val="none"/>
          <w:lang w:val="en-US" w:eastAsia="zh-CN"/>
        </w:rPr>
      </w:pPr>
      <w:r>
        <w:rPr>
          <w:rFonts w:hint="eastAsia"/>
          <w:sz w:val="24"/>
          <w:szCs w:val="24"/>
          <w:u w:val="none"/>
          <w:lang w:val="en-US" w:eastAsia="zh-CN"/>
        </w:rPr>
        <w:t>式中：Y——生物量损失，t；</w:t>
      </w:r>
    </w:p>
    <w:p w14:paraId="4336AEB4">
      <w:pPr>
        <w:bidi w:val="0"/>
        <w:ind w:firstLine="1200" w:firstLineChars="500"/>
        <w:rPr>
          <w:rFonts w:hint="eastAsia"/>
          <w:sz w:val="24"/>
          <w:szCs w:val="24"/>
          <w:u w:val="none"/>
          <w:lang w:val="en-US" w:eastAsia="zh-CN"/>
        </w:rPr>
      </w:pPr>
      <w:r>
        <w:rPr>
          <w:rFonts w:hint="eastAsia"/>
          <w:sz w:val="24"/>
          <w:szCs w:val="24"/>
          <w:u w:val="none"/>
          <w:lang w:val="en-US" w:eastAsia="zh-CN"/>
        </w:rPr>
        <w:t>S</w:t>
      </w:r>
      <w:r>
        <w:rPr>
          <w:rFonts w:hint="eastAsia"/>
          <w:sz w:val="24"/>
          <w:szCs w:val="24"/>
          <w:u w:val="none"/>
          <w:vertAlign w:val="subscript"/>
          <w:lang w:val="en-US" w:eastAsia="zh-CN"/>
        </w:rPr>
        <w:t>i</w:t>
      </w:r>
      <w:r>
        <w:rPr>
          <w:rFonts w:hint="eastAsia"/>
          <w:sz w:val="24"/>
          <w:szCs w:val="24"/>
          <w:u w:val="none"/>
          <w:lang w:val="en-US" w:eastAsia="zh-CN"/>
        </w:rPr>
        <w:t>——每类土地类型永久占地面积，hm</w:t>
      </w:r>
      <w:r>
        <w:rPr>
          <w:rFonts w:hint="eastAsia"/>
          <w:sz w:val="24"/>
          <w:szCs w:val="24"/>
          <w:u w:val="none"/>
          <w:vertAlign w:val="superscript"/>
          <w:lang w:val="en-US" w:eastAsia="zh-CN"/>
        </w:rPr>
        <w:t>2</w:t>
      </w:r>
      <w:r>
        <w:rPr>
          <w:rFonts w:hint="eastAsia"/>
          <w:sz w:val="24"/>
          <w:szCs w:val="24"/>
          <w:u w:val="none"/>
          <w:lang w:val="en-US" w:eastAsia="zh-CN"/>
        </w:rPr>
        <w:t>；</w:t>
      </w:r>
    </w:p>
    <w:p w14:paraId="1AD164D5">
      <w:pPr>
        <w:bidi w:val="0"/>
        <w:ind w:firstLine="1200" w:firstLineChars="500"/>
        <w:rPr>
          <w:rFonts w:hint="eastAsia"/>
          <w:sz w:val="24"/>
          <w:szCs w:val="24"/>
          <w:u w:val="none"/>
          <w:lang w:val="en-US" w:eastAsia="zh-CN"/>
        </w:rPr>
      </w:pPr>
      <w:r>
        <w:rPr>
          <w:rFonts w:hint="eastAsia"/>
          <w:sz w:val="24"/>
          <w:szCs w:val="24"/>
          <w:u w:val="none"/>
          <w:lang w:val="en-US" w:eastAsia="zh-CN"/>
        </w:rPr>
        <w:t>W</w:t>
      </w:r>
      <w:r>
        <w:rPr>
          <w:rFonts w:hint="eastAsia"/>
          <w:sz w:val="24"/>
          <w:szCs w:val="24"/>
          <w:u w:val="none"/>
          <w:vertAlign w:val="subscript"/>
          <w:lang w:val="en-US" w:eastAsia="zh-CN"/>
        </w:rPr>
        <w:t>i</w:t>
      </w:r>
      <w:r>
        <w:rPr>
          <w:rFonts w:hint="eastAsia"/>
          <w:sz w:val="24"/>
          <w:szCs w:val="24"/>
          <w:u w:val="none"/>
          <w:lang w:val="en-US" w:eastAsia="zh-CN"/>
        </w:rPr>
        <w:t>——每类土地类型单位面积生物量，t/hm</w:t>
      </w:r>
      <w:r>
        <w:rPr>
          <w:rFonts w:hint="eastAsia"/>
          <w:sz w:val="24"/>
          <w:szCs w:val="24"/>
          <w:u w:val="none"/>
          <w:vertAlign w:val="superscript"/>
          <w:lang w:val="en-US" w:eastAsia="zh-CN"/>
        </w:rPr>
        <w:t>2</w:t>
      </w:r>
      <w:r>
        <w:rPr>
          <w:rFonts w:hint="eastAsia"/>
          <w:sz w:val="24"/>
          <w:szCs w:val="24"/>
          <w:u w:val="none"/>
          <w:lang w:val="en-US" w:eastAsia="zh-CN"/>
        </w:rPr>
        <w:t>。</w:t>
      </w:r>
    </w:p>
    <w:p w14:paraId="72853A0C">
      <w:pPr>
        <w:bidi w:val="0"/>
        <w:rPr>
          <w:rFonts w:hint="eastAsia"/>
          <w:sz w:val="24"/>
          <w:szCs w:val="24"/>
          <w:u w:val="none"/>
          <w:lang w:val="en-US" w:eastAsia="zh-CN"/>
        </w:rPr>
      </w:pPr>
      <w:r>
        <w:rPr>
          <w:rFonts w:hint="eastAsia"/>
          <w:sz w:val="24"/>
          <w:szCs w:val="24"/>
          <w:u w:val="none"/>
          <w:lang w:val="en-US" w:eastAsia="zh-CN"/>
        </w:rPr>
        <w:t>拟建工程占地造成的植物生物量损失情况见表5.1-5。</w:t>
      </w:r>
    </w:p>
    <w:p w14:paraId="056416BD">
      <w:pPr>
        <w:bidi w:val="0"/>
        <w:spacing w:line="240" w:lineRule="auto"/>
        <w:ind w:left="0" w:leftChars="0" w:firstLine="0" w:firstLineChars="0"/>
        <w:jc w:val="center"/>
        <w:rPr>
          <w:rFonts w:hint="eastAsia"/>
          <w:b/>
          <w:bCs/>
          <w:sz w:val="21"/>
          <w:szCs w:val="21"/>
          <w:u w:val="none"/>
          <w:lang w:val="en-US" w:eastAsia="zh-CN"/>
        </w:rPr>
      </w:pPr>
      <w:r>
        <w:rPr>
          <w:rFonts w:hint="eastAsia"/>
          <w:b/>
          <w:bCs/>
          <w:sz w:val="21"/>
          <w:szCs w:val="21"/>
          <w:u w:val="none"/>
          <w:lang w:val="en-US" w:eastAsia="zh-CN"/>
        </w:rPr>
        <w:t>表5.1-5  项目施工期工程临时生物量损失一览表</w:t>
      </w:r>
    </w:p>
    <w:tbl>
      <w:tblPr>
        <w:tblStyle w:val="4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136"/>
        <w:gridCol w:w="2132"/>
        <w:gridCol w:w="2063"/>
        <w:gridCol w:w="1639"/>
        <w:gridCol w:w="1612"/>
      </w:tblGrid>
      <w:tr w14:paraId="2516D3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tcBorders>
              <w:tl2br w:val="nil"/>
              <w:tr2bl w:val="nil"/>
            </w:tcBorders>
            <w:shd w:val="clear" w:color="auto" w:fill="auto"/>
            <w:noWrap w:val="0"/>
            <w:vAlign w:val="center"/>
          </w:tcPr>
          <w:p w14:paraId="394462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类型</w:t>
            </w:r>
          </w:p>
        </w:tc>
        <w:tc>
          <w:tcPr>
            <w:tcW w:w="611" w:type="pct"/>
            <w:tcBorders>
              <w:tl2br w:val="nil"/>
              <w:tr2bl w:val="nil"/>
            </w:tcBorders>
            <w:shd w:val="clear" w:color="auto" w:fill="auto"/>
            <w:noWrap w:val="0"/>
            <w:vAlign w:val="center"/>
          </w:tcPr>
          <w:p w14:paraId="314B37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工程</w:t>
            </w:r>
          </w:p>
        </w:tc>
        <w:tc>
          <w:tcPr>
            <w:tcW w:w="1147" w:type="pct"/>
            <w:tcBorders>
              <w:tl2br w:val="nil"/>
              <w:tr2bl w:val="nil"/>
            </w:tcBorders>
            <w:shd w:val="clear" w:color="auto" w:fill="auto"/>
            <w:noWrap w:val="0"/>
            <w:vAlign w:val="center"/>
          </w:tcPr>
          <w:p w14:paraId="3C7375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植被及所占比例权重</w:t>
            </w:r>
          </w:p>
        </w:tc>
        <w:tc>
          <w:tcPr>
            <w:tcW w:w="1110" w:type="pct"/>
            <w:tcBorders>
              <w:tl2br w:val="nil"/>
              <w:tr2bl w:val="nil"/>
            </w:tcBorders>
            <w:shd w:val="clear" w:color="auto" w:fill="auto"/>
            <w:noWrap w:val="0"/>
            <w:vAlign w:val="center"/>
          </w:tcPr>
          <w:p w14:paraId="1880F6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平均生物量（t/hm</w:t>
            </w:r>
            <w:r>
              <w:rPr>
                <w:rFonts w:hint="eastAsia"/>
                <w:b/>
                <w:bCs/>
                <w:color w:val="auto"/>
                <w:sz w:val="21"/>
                <w:szCs w:val="21"/>
                <w:highlight w:val="none"/>
                <w:u w:val="none"/>
                <w:vertAlign w:val="superscript"/>
                <w:lang w:val="en-US" w:eastAsia="zh-CN"/>
              </w:rPr>
              <w:t>2</w:t>
            </w:r>
            <w:r>
              <w:rPr>
                <w:rFonts w:hint="eastAsia"/>
                <w:b/>
                <w:bCs/>
                <w:color w:val="auto"/>
                <w:sz w:val="21"/>
                <w:szCs w:val="21"/>
                <w:highlight w:val="none"/>
                <w:u w:val="none"/>
                <w:lang w:val="en-US" w:eastAsia="zh-CN"/>
              </w:rPr>
              <w:t>）</w:t>
            </w:r>
          </w:p>
        </w:tc>
        <w:tc>
          <w:tcPr>
            <w:tcW w:w="881" w:type="pct"/>
            <w:tcBorders>
              <w:tl2br w:val="nil"/>
              <w:tr2bl w:val="nil"/>
            </w:tcBorders>
            <w:shd w:val="clear" w:color="auto" w:fill="auto"/>
            <w:noWrap w:val="0"/>
            <w:vAlign w:val="center"/>
          </w:tcPr>
          <w:p w14:paraId="79F920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损失面积（hm</w:t>
            </w:r>
            <w:r>
              <w:rPr>
                <w:rFonts w:hint="eastAsia"/>
                <w:b/>
                <w:bCs/>
                <w:color w:val="auto"/>
                <w:sz w:val="21"/>
                <w:szCs w:val="21"/>
                <w:highlight w:val="none"/>
                <w:u w:val="none"/>
                <w:vertAlign w:val="superscript"/>
                <w:lang w:val="en-US" w:eastAsia="zh-CN"/>
              </w:rPr>
              <w:t>2</w:t>
            </w:r>
            <w:r>
              <w:rPr>
                <w:rFonts w:hint="eastAsia"/>
                <w:b/>
                <w:bCs/>
                <w:color w:val="auto"/>
                <w:sz w:val="21"/>
                <w:szCs w:val="21"/>
                <w:highlight w:val="none"/>
                <w:u w:val="none"/>
                <w:lang w:val="en-US" w:eastAsia="zh-CN"/>
              </w:rPr>
              <w:t>）</w:t>
            </w:r>
          </w:p>
        </w:tc>
        <w:tc>
          <w:tcPr>
            <w:tcW w:w="867" w:type="pct"/>
            <w:tcBorders>
              <w:tl2br w:val="nil"/>
              <w:tr2bl w:val="nil"/>
            </w:tcBorders>
            <w:shd w:val="clear" w:color="auto" w:fill="auto"/>
            <w:noWrap w:val="0"/>
            <w:vAlign w:val="center"/>
          </w:tcPr>
          <w:p w14:paraId="6ACF23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 w:val="21"/>
                <w:szCs w:val="21"/>
                <w:highlight w:val="none"/>
                <w:u w:val="none"/>
                <w:lang w:val="en-US" w:eastAsia="zh-CN"/>
              </w:rPr>
            </w:pPr>
            <w:r>
              <w:rPr>
                <w:rFonts w:hint="eastAsia"/>
                <w:b/>
                <w:bCs/>
                <w:color w:val="auto"/>
                <w:sz w:val="21"/>
                <w:szCs w:val="21"/>
                <w:highlight w:val="none"/>
                <w:u w:val="none"/>
                <w:lang w:val="en-US" w:eastAsia="zh-CN"/>
              </w:rPr>
              <w:t>生物量损失（t）</w:t>
            </w:r>
          </w:p>
        </w:tc>
      </w:tr>
      <w:tr w14:paraId="0BAC54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restart"/>
            <w:tcBorders>
              <w:tl2br w:val="nil"/>
              <w:tr2bl w:val="nil"/>
            </w:tcBorders>
            <w:shd w:val="clear" w:color="auto" w:fill="auto"/>
            <w:noWrap w:val="0"/>
            <w:vAlign w:val="center"/>
          </w:tcPr>
          <w:p w14:paraId="058DAD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永久占地</w:t>
            </w:r>
          </w:p>
        </w:tc>
        <w:tc>
          <w:tcPr>
            <w:tcW w:w="611" w:type="pct"/>
            <w:vMerge w:val="restart"/>
            <w:tcBorders>
              <w:tl2br w:val="nil"/>
              <w:tr2bl w:val="nil"/>
            </w:tcBorders>
            <w:shd w:val="clear" w:color="auto" w:fill="auto"/>
            <w:noWrap w:val="0"/>
            <w:vAlign w:val="center"/>
          </w:tcPr>
          <w:p w14:paraId="340196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填埋区</w:t>
            </w:r>
          </w:p>
        </w:tc>
        <w:tc>
          <w:tcPr>
            <w:tcW w:w="1147" w:type="pct"/>
            <w:tcBorders>
              <w:tl2br w:val="nil"/>
              <w:tr2bl w:val="nil"/>
            </w:tcBorders>
            <w:shd w:val="clear" w:color="auto" w:fill="auto"/>
            <w:noWrap w:val="0"/>
            <w:vAlign w:val="center"/>
          </w:tcPr>
          <w:p w14:paraId="22BA77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乔木林</w:t>
            </w:r>
          </w:p>
        </w:tc>
        <w:tc>
          <w:tcPr>
            <w:tcW w:w="1110" w:type="pct"/>
            <w:tcBorders>
              <w:tl2br w:val="nil"/>
              <w:tr2bl w:val="nil"/>
            </w:tcBorders>
            <w:shd w:val="clear" w:color="auto" w:fill="auto"/>
            <w:noWrap w:val="0"/>
            <w:vAlign w:val="center"/>
          </w:tcPr>
          <w:p w14:paraId="3F63C3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28.62</w:t>
            </w:r>
          </w:p>
        </w:tc>
        <w:tc>
          <w:tcPr>
            <w:tcW w:w="881" w:type="pct"/>
            <w:tcBorders>
              <w:tl2br w:val="nil"/>
              <w:tr2bl w:val="nil"/>
            </w:tcBorders>
            <w:shd w:val="clear" w:color="auto" w:fill="auto"/>
            <w:noWrap w:val="0"/>
            <w:vAlign w:val="center"/>
          </w:tcPr>
          <w:p w14:paraId="79A1C4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lang w:val="en-US" w:eastAsia="zh-CN"/>
              </w:rPr>
            </w:pPr>
            <w:r>
              <w:rPr>
                <w:rFonts w:hint="eastAsia"/>
                <w:color w:val="auto"/>
                <w:sz w:val="21"/>
                <w:szCs w:val="21"/>
                <w:highlight w:val="none"/>
                <w:u w:val="none"/>
                <w:lang w:val="en-US" w:eastAsia="zh-CN"/>
              </w:rPr>
              <w:t>0.6089</w:t>
            </w:r>
          </w:p>
        </w:tc>
        <w:tc>
          <w:tcPr>
            <w:tcW w:w="867" w:type="pct"/>
            <w:tcBorders>
              <w:tl2br w:val="nil"/>
              <w:tr2bl w:val="nil"/>
            </w:tcBorders>
            <w:shd w:val="clear" w:color="auto" w:fill="auto"/>
            <w:noWrap w:val="0"/>
            <w:vAlign w:val="center"/>
          </w:tcPr>
          <w:p w14:paraId="2AF06B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lang w:val="en-US" w:eastAsia="zh-CN"/>
              </w:rPr>
            </w:pPr>
            <w:r>
              <w:rPr>
                <w:rFonts w:hint="eastAsia"/>
                <w:color w:val="auto"/>
                <w:sz w:val="21"/>
                <w:szCs w:val="21"/>
                <w:highlight w:val="none"/>
                <w:u w:val="none"/>
                <w:lang w:val="en-US" w:eastAsia="zh-CN"/>
              </w:rPr>
              <w:t>19.487</w:t>
            </w:r>
          </w:p>
        </w:tc>
      </w:tr>
      <w:tr w14:paraId="274DA7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shd w:val="clear" w:color="auto" w:fill="auto"/>
            <w:noWrap w:val="0"/>
            <w:vAlign w:val="center"/>
          </w:tcPr>
          <w:p w14:paraId="2301B9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p>
        </w:tc>
        <w:tc>
          <w:tcPr>
            <w:tcW w:w="611" w:type="pct"/>
            <w:vMerge w:val="continue"/>
            <w:tcBorders>
              <w:tl2br w:val="nil"/>
              <w:tr2bl w:val="nil"/>
            </w:tcBorders>
            <w:shd w:val="clear" w:color="auto" w:fill="auto"/>
            <w:noWrap w:val="0"/>
            <w:vAlign w:val="center"/>
          </w:tcPr>
          <w:p w14:paraId="098B0D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p>
        </w:tc>
        <w:tc>
          <w:tcPr>
            <w:tcW w:w="1147" w:type="pct"/>
            <w:tcBorders>
              <w:tl2br w:val="nil"/>
              <w:tr2bl w:val="nil"/>
            </w:tcBorders>
            <w:shd w:val="clear" w:color="auto" w:fill="auto"/>
            <w:noWrap w:val="0"/>
            <w:vAlign w:val="center"/>
          </w:tcPr>
          <w:p w14:paraId="281CB7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其他林地</w:t>
            </w:r>
          </w:p>
        </w:tc>
        <w:tc>
          <w:tcPr>
            <w:tcW w:w="1110" w:type="pct"/>
            <w:tcBorders>
              <w:tl2br w:val="nil"/>
              <w:tr2bl w:val="nil"/>
            </w:tcBorders>
            <w:shd w:val="clear" w:color="auto" w:fill="auto"/>
            <w:noWrap w:val="0"/>
            <w:vAlign w:val="center"/>
          </w:tcPr>
          <w:p w14:paraId="263C29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6</w:t>
            </w:r>
          </w:p>
        </w:tc>
        <w:tc>
          <w:tcPr>
            <w:tcW w:w="881" w:type="pct"/>
            <w:tcBorders>
              <w:tl2br w:val="nil"/>
              <w:tr2bl w:val="nil"/>
            </w:tcBorders>
            <w:shd w:val="clear" w:color="auto" w:fill="auto"/>
            <w:noWrap w:val="0"/>
            <w:vAlign w:val="center"/>
          </w:tcPr>
          <w:p w14:paraId="5609FC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lang w:val="en-US" w:eastAsia="zh-CN"/>
              </w:rPr>
            </w:pPr>
            <w:r>
              <w:rPr>
                <w:rFonts w:hint="eastAsia"/>
                <w:color w:val="auto"/>
                <w:sz w:val="21"/>
                <w:szCs w:val="21"/>
                <w:highlight w:val="none"/>
                <w:u w:val="none"/>
                <w:lang w:val="en-US" w:eastAsia="zh-CN"/>
              </w:rPr>
              <w:t>0.1708</w:t>
            </w:r>
          </w:p>
        </w:tc>
        <w:tc>
          <w:tcPr>
            <w:tcW w:w="867" w:type="pct"/>
            <w:tcBorders>
              <w:tl2br w:val="nil"/>
              <w:tr2bl w:val="nil"/>
            </w:tcBorders>
            <w:shd w:val="clear" w:color="auto" w:fill="auto"/>
            <w:noWrap w:val="0"/>
            <w:vAlign w:val="center"/>
          </w:tcPr>
          <w:p w14:paraId="3AE971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lang w:val="en-US" w:eastAsia="zh-CN"/>
              </w:rPr>
            </w:pPr>
            <w:r>
              <w:rPr>
                <w:rFonts w:hint="eastAsia"/>
                <w:color w:val="auto"/>
                <w:sz w:val="21"/>
                <w:szCs w:val="21"/>
                <w:highlight w:val="none"/>
                <w:u w:val="none"/>
                <w:lang w:val="en-US" w:eastAsia="zh-CN"/>
              </w:rPr>
              <w:t>1.025</w:t>
            </w:r>
          </w:p>
        </w:tc>
      </w:tr>
      <w:tr w14:paraId="6968D5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shd w:val="clear" w:color="auto" w:fill="auto"/>
            <w:noWrap w:val="0"/>
            <w:vAlign w:val="center"/>
          </w:tcPr>
          <w:p w14:paraId="5CEFCD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p>
        </w:tc>
        <w:tc>
          <w:tcPr>
            <w:tcW w:w="3750" w:type="pct"/>
            <w:gridSpan w:val="4"/>
            <w:tcBorders>
              <w:tl2br w:val="nil"/>
              <w:tr2bl w:val="nil"/>
            </w:tcBorders>
            <w:shd w:val="clear" w:color="auto" w:fill="auto"/>
            <w:noWrap w:val="0"/>
            <w:vAlign w:val="center"/>
          </w:tcPr>
          <w:p w14:paraId="0A4542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u w:val="none"/>
                <w:lang w:val="en-US" w:eastAsia="zh-CN"/>
              </w:rPr>
            </w:pPr>
            <w:r>
              <w:rPr>
                <w:rFonts w:hint="eastAsia"/>
                <w:color w:val="auto"/>
                <w:sz w:val="21"/>
                <w:szCs w:val="21"/>
                <w:highlight w:val="none"/>
                <w:u w:val="none"/>
                <w:lang w:val="en-US" w:eastAsia="zh-CN"/>
              </w:rPr>
              <w:t>小计</w:t>
            </w:r>
          </w:p>
        </w:tc>
        <w:tc>
          <w:tcPr>
            <w:tcW w:w="867" w:type="pct"/>
            <w:tcBorders>
              <w:tl2br w:val="nil"/>
              <w:tr2bl w:val="nil"/>
            </w:tcBorders>
            <w:shd w:val="clear" w:color="auto" w:fill="auto"/>
            <w:noWrap w:val="0"/>
            <w:vAlign w:val="center"/>
          </w:tcPr>
          <w:p w14:paraId="306ACD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u w:val="none"/>
                <w:lang w:val="en-US" w:eastAsia="zh-CN"/>
              </w:rPr>
            </w:pPr>
            <w:r>
              <w:rPr>
                <w:rFonts w:hint="eastAsia"/>
                <w:color w:val="auto"/>
                <w:sz w:val="21"/>
                <w:szCs w:val="21"/>
                <w:highlight w:val="none"/>
                <w:u w:val="none"/>
                <w:lang w:val="en-US" w:eastAsia="zh-CN"/>
              </w:rPr>
              <w:t>20.512</w:t>
            </w:r>
          </w:p>
        </w:tc>
      </w:tr>
      <w:tr w14:paraId="6973BD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restart"/>
            <w:tcBorders>
              <w:tl2br w:val="nil"/>
              <w:tr2bl w:val="nil"/>
            </w:tcBorders>
            <w:noWrap w:val="0"/>
            <w:vAlign w:val="center"/>
          </w:tcPr>
          <w:p w14:paraId="0CAC88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临时占地</w:t>
            </w:r>
          </w:p>
        </w:tc>
        <w:tc>
          <w:tcPr>
            <w:tcW w:w="611" w:type="pct"/>
            <w:vMerge w:val="restart"/>
            <w:tcBorders>
              <w:tl2br w:val="nil"/>
              <w:tr2bl w:val="nil"/>
            </w:tcBorders>
            <w:noWrap w:val="0"/>
            <w:vAlign w:val="center"/>
          </w:tcPr>
          <w:p w14:paraId="725440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废渣区</w:t>
            </w:r>
          </w:p>
        </w:tc>
        <w:tc>
          <w:tcPr>
            <w:tcW w:w="1147" w:type="pct"/>
            <w:tcBorders>
              <w:tl2br w:val="nil"/>
              <w:tr2bl w:val="nil"/>
            </w:tcBorders>
            <w:noWrap w:val="0"/>
            <w:vAlign w:val="center"/>
          </w:tcPr>
          <w:p w14:paraId="550537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w:t>
            </w:r>
          </w:p>
        </w:tc>
        <w:tc>
          <w:tcPr>
            <w:tcW w:w="1110" w:type="pct"/>
            <w:tcBorders>
              <w:tl2br w:val="nil"/>
              <w:tr2bl w:val="nil"/>
            </w:tcBorders>
            <w:noWrap w:val="0"/>
            <w:vAlign w:val="center"/>
          </w:tcPr>
          <w:p w14:paraId="519D47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28.62</w:t>
            </w:r>
          </w:p>
        </w:tc>
        <w:tc>
          <w:tcPr>
            <w:tcW w:w="881" w:type="pct"/>
            <w:tcBorders>
              <w:tl2br w:val="nil"/>
              <w:tr2bl w:val="nil"/>
            </w:tcBorders>
            <w:noWrap w:val="0"/>
            <w:vAlign w:val="center"/>
          </w:tcPr>
          <w:p w14:paraId="4FCAF7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1.2675</w:t>
            </w:r>
          </w:p>
        </w:tc>
        <w:tc>
          <w:tcPr>
            <w:tcW w:w="867" w:type="pct"/>
            <w:tcBorders>
              <w:tl2br w:val="nil"/>
              <w:tr2bl w:val="nil"/>
            </w:tcBorders>
            <w:noWrap w:val="0"/>
            <w:vAlign w:val="center"/>
          </w:tcPr>
          <w:p w14:paraId="5E992B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36.276</w:t>
            </w:r>
          </w:p>
        </w:tc>
      </w:tr>
      <w:tr w14:paraId="122963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noWrap w:val="0"/>
            <w:vAlign w:val="center"/>
          </w:tcPr>
          <w:p w14:paraId="7A162B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611" w:type="pct"/>
            <w:vMerge w:val="continue"/>
            <w:tcBorders>
              <w:tl2br w:val="nil"/>
              <w:tr2bl w:val="nil"/>
            </w:tcBorders>
            <w:noWrap w:val="0"/>
            <w:vAlign w:val="center"/>
          </w:tcPr>
          <w:p w14:paraId="7953D1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1147" w:type="pct"/>
            <w:tcBorders>
              <w:tl2br w:val="nil"/>
              <w:tr2bl w:val="nil"/>
            </w:tcBorders>
            <w:noWrap w:val="0"/>
            <w:vAlign w:val="center"/>
          </w:tcPr>
          <w:p w14:paraId="09ED75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农业植被</w:t>
            </w:r>
          </w:p>
        </w:tc>
        <w:tc>
          <w:tcPr>
            <w:tcW w:w="1110" w:type="pct"/>
            <w:tcBorders>
              <w:tl2br w:val="nil"/>
              <w:tr2bl w:val="nil"/>
            </w:tcBorders>
            <w:noWrap w:val="0"/>
            <w:vAlign w:val="center"/>
          </w:tcPr>
          <w:p w14:paraId="0A99AA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6</w:t>
            </w:r>
          </w:p>
        </w:tc>
        <w:tc>
          <w:tcPr>
            <w:tcW w:w="881" w:type="pct"/>
            <w:tcBorders>
              <w:tl2br w:val="nil"/>
              <w:tr2bl w:val="nil"/>
            </w:tcBorders>
            <w:noWrap w:val="0"/>
            <w:vAlign w:val="center"/>
          </w:tcPr>
          <w:p w14:paraId="03C05D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0.2240</w:t>
            </w:r>
          </w:p>
        </w:tc>
        <w:tc>
          <w:tcPr>
            <w:tcW w:w="867" w:type="pct"/>
            <w:tcBorders>
              <w:tl2br w:val="nil"/>
              <w:tr2bl w:val="nil"/>
            </w:tcBorders>
            <w:noWrap w:val="0"/>
            <w:vAlign w:val="center"/>
          </w:tcPr>
          <w:p w14:paraId="7D9161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1.344</w:t>
            </w:r>
          </w:p>
        </w:tc>
      </w:tr>
      <w:tr w14:paraId="6D419A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noWrap w:val="0"/>
            <w:vAlign w:val="center"/>
          </w:tcPr>
          <w:p w14:paraId="1930B0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611" w:type="pct"/>
            <w:tcBorders>
              <w:tl2br w:val="nil"/>
              <w:tr2bl w:val="nil"/>
            </w:tcBorders>
            <w:noWrap w:val="0"/>
            <w:vAlign w:val="center"/>
          </w:tcPr>
          <w:p w14:paraId="77F6F2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取土场</w:t>
            </w:r>
          </w:p>
        </w:tc>
        <w:tc>
          <w:tcPr>
            <w:tcW w:w="1147" w:type="pct"/>
            <w:tcBorders>
              <w:tl2br w:val="nil"/>
              <w:tr2bl w:val="nil"/>
            </w:tcBorders>
            <w:noWrap w:val="0"/>
            <w:vAlign w:val="center"/>
          </w:tcPr>
          <w:p w14:paraId="22238F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w:t>
            </w:r>
          </w:p>
        </w:tc>
        <w:tc>
          <w:tcPr>
            <w:tcW w:w="1110" w:type="pct"/>
            <w:tcBorders>
              <w:tl2br w:val="nil"/>
              <w:tr2bl w:val="nil"/>
            </w:tcBorders>
            <w:noWrap w:val="0"/>
            <w:vAlign w:val="center"/>
          </w:tcPr>
          <w:p w14:paraId="3F9C77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28.62</w:t>
            </w:r>
          </w:p>
        </w:tc>
        <w:tc>
          <w:tcPr>
            <w:tcW w:w="881" w:type="pct"/>
            <w:tcBorders>
              <w:tl2br w:val="nil"/>
              <w:tr2bl w:val="nil"/>
            </w:tcBorders>
            <w:noWrap w:val="0"/>
            <w:vAlign w:val="center"/>
          </w:tcPr>
          <w:p w14:paraId="734DE5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0.2459</w:t>
            </w:r>
          </w:p>
        </w:tc>
        <w:tc>
          <w:tcPr>
            <w:tcW w:w="867" w:type="pct"/>
            <w:tcBorders>
              <w:tl2br w:val="nil"/>
              <w:tr2bl w:val="nil"/>
            </w:tcBorders>
            <w:noWrap w:val="0"/>
            <w:vAlign w:val="center"/>
          </w:tcPr>
          <w:p w14:paraId="254D9C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7.0377</w:t>
            </w:r>
          </w:p>
        </w:tc>
      </w:tr>
      <w:tr w14:paraId="7EB334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noWrap w:val="0"/>
            <w:vAlign w:val="center"/>
          </w:tcPr>
          <w:p w14:paraId="2D23A4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611" w:type="pct"/>
            <w:vMerge w:val="restart"/>
            <w:tcBorders>
              <w:tl2br w:val="nil"/>
              <w:tr2bl w:val="nil"/>
            </w:tcBorders>
            <w:noWrap w:val="0"/>
            <w:vAlign w:val="center"/>
          </w:tcPr>
          <w:p w14:paraId="39936F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临时道路</w:t>
            </w:r>
          </w:p>
        </w:tc>
        <w:tc>
          <w:tcPr>
            <w:tcW w:w="1147" w:type="pct"/>
            <w:tcBorders>
              <w:tl2br w:val="nil"/>
              <w:tr2bl w:val="nil"/>
            </w:tcBorders>
            <w:noWrap w:val="0"/>
            <w:vAlign w:val="center"/>
          </w:tcPr>
          <w:p w14:paraId="13609A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乔木林</w:t>
            </w:r>
          </w:p>
        </w:tc>
        <w:tc>
          <w:tcPr>
            <w:tcW w:w="1110" w:type="pct"/>
            <w:tcBorders>
              <w:tl2br w:val="nil"/>
              <w:tr2bl w:val="nil"/>
            </w:tcBorders>
            <w:noWrap w:val="0"/>
            <w:vAlign w:val="center"/>
          </w:tcPr>
          <w:p w14:paraId="773909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28.62</w:t>
            </w:r>
          </w:p>
        </w:tc>
        <w:tc>
          <w:tcPr>
            <w:tcW w:w="881" w:type="pct"/>
            <w:tcBorders>
              <w:tl2br w:val="nil"/>
              <w:tr2bl w:val="nil"/>
            </w:tcBorders>
            <w:noWrap w:val="0"/>
            <w:vAlign w:val="center"/>
          </w:tcPr>
          <w:p w14:paraId="11662C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0.2685</w:t>
            </w:r>
          </w:p>
        </w:tc>
        <w:tc>
          <w:tcPr>
            <w:tcW w:w="867" w:type="pct"/>
            <w:tcBorders>
              <w:tl2br w:val="nil"/>
              <w:tr2bl w:val="nil"/>
            </w:tcBorders>
            <w:noWrap w:val="0"/>
            <w:vAlign w:val="center"/>
          </w:tcPr>
          <w:p w14:paraId="1E03FF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7.6845</w:t>
            </w:r>
          </w:p>
        </w:tc>
      </w:tr>
      <w:tr w14:paraId="697C66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noWrap w:val="0"/>
            <w:vAlign w:val="center"/>
          </w:tcPr>
          <w:p w14:paraId="2BB59A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611" w:type="pct"/>
            <w:vMerge w:val="continue"/>
            <w:tcBorders>
              <w:tl2br w:val="nil"/>
              <w:tr2bl w:val="nil"/>
            </w:tcBorders>
            <w:noWrap w:val="0"/>
            <w:vAlign w:val="center"/>
          </w:tcPr>
          <w:p w14:paraId="29DB91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1147" w:type="pct"/>
            <w:tcBorders>
              <w:tl2br w:val="nil"/>
              <w:tr2bl w:val="nil"/>
            </w:tcBorders>
            <w:noWrap w:val="0"/>
            <w:vAlign w:val="center"/>
          </w:tcPr>
          <w:p w14:paraId="139E66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农业植被</w:t>
            </w:r>
          </w:p>
        </w:tc>
        <w:tc>
          <w:tcPr>
            <w:tcW w:w="1110" w:type="pct"/>
            <w:tcBorders>
              <w:tl2br w:val="nil"/>
              <w:tr2bl w:val="nil"/>
            </w:tcBorders>
            <w:noWrap w:val="0"/>
            <w:vAlign w:val="center"/>
          </w:tcPr>
          <w:p w14:paraId="230400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6</w:t>
            </w:r>
          </w:p>
        </w:tc>
        <w:tc>
          <w:tcPr>
            <w:tcW w:w="881" w:type="pct"/>
            <w:tcBorders>
              <w:tl2br w:val="nil"/>
              <w:tr2bl w:val="nil"/>
            </w:tcBorders>
            <w:noWrap w:val="0"/>
            <w:vAlign w:val="center"/>
          </w:tcPr>
          <w:p w14:paraId="65B6C3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0.1867</w:t>
            </w:r>
          </w:p>
        </w:tc>
        <w:tc>
          <w:tcPr>
            <w:tcW w:w="867" w:type="pct"/>
            <w:tcBorders>
              <w:tl2br w:val="nil"/>
              <w:tr2bl w:val="nil"/>
            </w:tcBorders>
            <w:noWrap w:val="0"/>
            <w:vAlign w:val="center"/>
          </w:tcPr>
          <w:p w14:paraId="15522E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1.1202</w:t>
            </w:r>
          </w:p>
        </w:tc>
      </w:tr>
      <w:tr w14:paraId="413CF4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vMerge w:val="continue"/>
            <w:tcBorders>
              <w:tl2br w:val="nil"/>
              <w:tr2bl w:val="nil"/>
            </w:tcBorders>
            <w:noWrap w:val="0"/>
            <w:vAlign w:val="center"/>
          </w:tcPr>
          <w:p w14:paraId="65A49D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3750" w:type="pct"/>
            <w:gridSpan w:val="4"/>
            <w:tcBorders>
              <w:tl2br w:val="nil"/>
              <w:tr2bl w:val="nil"/>
            </w:tcBorders>
            <w:noWrap w:val="0"/>
            <w:vAlign w:val="center"/>
          </w:tcPr>
          <w:p w14:paraId="138231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小计</w:t>
            </w:r>
          </w:p>
        </w:tc>
        <w:tc>
          <w:tcPr>
            <w:tcW w:w="867" w:type="pct"/>
            <w:tcBorders>
              <w:tl2br w:val="nil"/>
              <w:tr2bl w:val="nil"/>
            </w:tcBorders>
            <w:noWrap w:val="0"/>
            <w:vAlign w:val="center"/>
          </w:tcPr>
          <w:p w14:paraId="2EF0D6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53.4624</w:t>
            </w:r>
          </w:p>
        </w:tc>
      </w:tr>
      <w:tr w14:paraId="7CC0B5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32" w:type="pct"/>
            <w:gridSpan w:val="5"/>
            <w:tcBorders>
              <w:tl2br w:val="nil"/>
              <w:tr2bl w:val="nil"/>
            </w:tcBorders>
            <w:noWrap w:val="0"/>
            <w:vAlign w:val="center"/>
          </w:tcPr>
          <w:p w14:paraId="047D0C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合计</w:t>
            </w:r>
          </w:p>
        </w:tc>
        <w:tc>
          <w:tcPr>
            <w:tcW w:w="867" w:type="pct"/>
            <w:tcBorders>
              <w:tl2br w:val="nil"/>
              <w:tr2bl w:val="nil"/>
            </w:tcBorders>
            <w:noWrap w:val="0"/>
            <w:vAlign w:val="center"/>
          </w:tcPr>
          <w:p w14:paraId="69443F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73.9744</w:t>
            </w:r>
          </w:p>
        </w:tc>
      </w:tr>
    </w:tbl>
    <w:p w14:paraId="2F386FB8">
      <w:pPr>
        <w:bidi w:val="0"/>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highlight w:val="none"/>
          <w:u w:val="none"/>
          <w:lang w:val="en-US" w:eastAsia="zh-CN"/>
        </w:rPr>
        <w:t>由表5.1-5可以看出，拟建项目永久占地和临时占地对植物生物量损失分别为20.512t和53.4642t</w:t>
      </w:r>
      <w:r>
        <w:rPr>
          <w:rFonts w:hint="eastAsia" w:cs="Times New Roman"/>
          <w:sz w:val="24"/>
          <w:szCs w:val="24"/>
          <w:highlight w:val="none"/>
          <w:u w:val="none"/>
          <w:lang w:val="en-US" w:eastAsia="zh-CN"/>
        </w:rPr>
        <w:t>；</w:t>
      </w:r>
      <w:r>
        <w:rPr>
          <w:rFonts w:hint="default" w:ascii="Times New Roman" w:hAnsi="Times New Roman" w:cs="Times New Roman"/>
          <w:sz w:val="24"/>
          <w:szCs w:val="24"/>
          <w:highlight w:val="none"/>
          <w:u w:val="none"/>
          <w:lang w:val="en-US" w:eastAsia="zh-CN"/>
        </w:rPr>
        <w:t>临时占地主要集中在废渣区，其造成的生物量损失为36.276t，占临时占地生物量总损失的67.85%，远大于其余临时设施总占地对生物量造成的损失。</w:t>
      </w:r>
    </w:p>
    <w:p w14:paraId="025EA389">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项目占地虽会对植物生物量造成一定的影响，但项目占地损失的生物量相对于整个评价区和区域生物量是非常小的，项目占地范围的植物也均为常见种，施工结束后将对临时占地进行植被恢复，在道路两旁增加绿化</w:t>
      </w:r>
      <w:r>
        <w:rPr>
          <w:rFonts w:hint="eastAsia" w:cs="Times New Roman"/>
          <w:sz w:val="24"/>
          <w:szCs w:val="24"/>
          <w:u w:val="none"/>
          <w:lang w:val="en-US" w:eastAsia="zh-CN"/>
        </w:rPr>
        <w:t>。同时</w:t>
      </w:r>
      <w:r>
        <w:rPr>
          <w:rFonts w:hint="default" w:ascii="Times New Roman" w:hAnsi="Times New Roman" w:cs="Times New Roman"/>
          <w:sz w:val="24"/>
          <w:szCs w:val="24"/>
          <w:u w:val="none"/>
          <w:lang w:val="en-US" w:eastAsia="zh-CN"/>
        </w:rPr>
        <w:t>废渣区后期进行生态恢复</w:t>
      </w:r>
      <w:r>
        <w:rPr>
          <w:rFonts w:hint="eastAsia" w:cs="Times New Roman"/>
          <w:sz w:val="24"/>
          <w:szCs w:val="24"/>
          <w:u w:val="none"/>
          <w:lang w:val="en-US" w:eastAsia="zh-CN"/>
        </w:rPr>
        <w:t>工程（生态恢复面积24023.59m</w:t>
      </w:r>
      <w:r>
        <w:rPr>
          <w:rFonts w:hint="eastAsia" w:cs="Times New Roman"/>
          <w:sz w:val="24"/>
          <w:szCs w:val="24"/>
          <w:u w:val="none"/>
          <w:vertAlign w:val="superscript"/>
          <w:lang w:val="en-US" w:eastAsia="zh-CN"/>
        </w:rPr>
        <w:t>2</w:t>
      </w:r>
      <w:r>
        <w:rPr>
          <w:rFonts w:hint="eastAsia" w:cs="Times New Roman"/>
          <w:sz w:val="24"/>
          <w:szCs w:val="24"/>
          <w:u w:val="none"/>
          <w:lang w:val="en-US" w:eastAsia="zh-CN"/>
        </w:rPr>
        <w:t>）</w:t>
      </w:r>
      <w:r>
        <w:rPr>
          <w:rFonts w:hint="default" w:ascii="Times New Roman" w:hAnsi="Times New Roman" w:cs="Times New Roman"/>
          <w:sz w:val="24"/>
          <w:szCs w:val="24"/>
          <w:u w:val="none"/>
          <w:lang w:val="en-US" w:eastAsia="zh-CN"/>
        </w:rPr>
        <w:t>以补偿占地造成的生物量损失，因此项目永久和临时占地对植物产生的影响较小，在可接受范围内。</w:t>
      </w:r>
    </w:p>
    <w:p w14:paraId="4E7CE375">
      <w:pPr>
        <w:pStyle w:val="5"/>
        <w:widowControl w:val="0"/>
        <w:numPr>
          <w:ilvl w:val="3"/>
          <w:numId w:val="0"/>
        </w:numPr>
        <w:tabs>
          <w:tab w:val="left" w:pos="964"/>
        </w:tabs>
        <w:topLinePunct w:val="0"/>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5.1.8.2</w:t>
      </w:r>
      <w:r>
        <w:rPr>
          <w:rFonts w:hint="default" w:ascii="Times New Roman" w:hAnsi="Times New Roman" w:cs="Times New Roman"/>
          <w:sz w:val="24"/>
          <w:szCs w:val="24"/>
          <w:u w:val="none"/>
          <w:lang w:val="en-US" w:eastAsia="zh-CN"/>
        </w:rPr>
        <w:t>对土壤的影响</w:t>
      </w:r>
    </w:p>
    <w:p w14:paraId="32C0D7C8">
      <w:pPr>
        <w:widowControl w:val="0"/>
        <w:topLinePunct w:val="0"/>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本项目属于重金属污染治理项目，对清理后的废渣堆</w:t>
      </w:r>
      <w:r>
        <w:rPr>
          <w:rFonts w:hint="eastAsia" w:cs="Times New Roman"/>
          <w:sz w:val="24"/>
          <w:szCs w:val="24"/>
          <w:highlight w:val="none"/>
          <w:u w:val="none"/>
          <w:lang w:val="en-US" w:eastAsia="zh-CN"/>
        </w:rPr>
        <w:t>场</w:t>
      </w:r>
      <w:r>
        <w:rPr>
          <w:rFonts w:hint="default" w:ascii="Times New Roman" w:hAnsi="Times New Roman" w:cs="Times New Roman"/>
          <w:sz w:val="24"/>
          <w:szCs w:val="24"/>
          <w:highlight w:val="none"/>
          <w:u w:val="none"/>
          <w:lang w:val="en-US" w:eastAsia="zh-CN"/>
        </w:rPr>
        <w:t>覆盖与生态恢复，有效地解决了历史遗留环境污染问题。通过对废渣进行集中填埋和风险管控，对原废渣堆污染土壤进行有效隔离防渗处置，能有效控制污染源，解决废渣裸露状态，避免废渣中砷、镉、铅等重金属经长年日晒雨淋而转移进入下游地表水体或土壤，避免造成污染扩散，降低重金属迁移风险。</w:t>
      </w:r>
    </w:p>
    <w:p w14:paraId="03DFD6DC">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施工期由于机械的</w:t>
      </w:r>
      <w:r>
        <w:rPr>
          <w:rFonts w:hint="eastAsia" w:cs="Times New Roman"/>
          <w:sz w:val="24"/>
          <w:szCs w:val="24"/>
          <w:highlight w:val="none"/>
          <w:u w:val="none"/>
          <w:lang w:val="en-US" w:eastAsia="zh-CN"/>
        </w:rPr>
        <w:t>碾压</w:t>
      </w:r>
      <w:r>
        <w:rPr>
          <w:rFonts w:hint="default" w:ascii="Times New Roman" w:hAnsi="Times New Roman" w:cs="Times New Roman"/>
          <w:sz w:val="24"/>
          <w:szCs w:val="24"/>
          <w:highlight w:val="none"/>
          <w:u w:val="none"/>
          <w:lang w:val="en-US" w:eastAsia="zh-CN"/>
        </w:rPr>
        <w:t>，区域的土壤将被严重压实，区域的表土将被铲去，另一些区域的表土将可能被填埋，从而使施工完成后的场地内土壤表土层缺乏土壤的肥力，减缓植物的生长和植被恢复。对于区域生态系统来说，由于工程占地面积相对较小，其对生态系统的这种影响的范围是局域的，其范围一般局限在施工区内部和周边500m内的生态系统，而且随着离施工区距离的增加，这种影响将逐渐降低。</w:t>
      </w:r>
    </w:p>
    <w:p w14:paraId="1F059991">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5.1.8.3</w:t>
      </w:r>
      <w:r>
        <w:rPr>
          <w:rFonts w:hint="default" w:ascii="Times New Roman" w:hAnsi="Times New Roman" w:cs="Times New Roman"/>
          <w:sz w:val="24"/>
          <w:szCs w:val="24"/>
          <w:u w:val="none"/>
          <w:lang w:val="en-US" w:eastAsia="zh-CN"/>
        </w:rPr>
        <w:t>对陆生动物及其栖息地的影响</w:t>
      </w:r>
    </w:p>
    <w:p w14:paraId="2A340172">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项目所处区域的陆生动物较少，野生动物更少，均为区域常见物种，项目的实施不会造成其种群的减少或灭绝。</w:t>
      </w:r>
    </w:p>
    <w:p w14:paraId="3B865BFE">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施工作业机械发出的噪声、产生的振动以及施工人员的活动会使建设地域及其附近的陆地动物暂时迁移到离建设地较远的地方。因为施工区域大部分为山地，没有指定的陆生动物保护区，生物多样性水平较低，故本工程的建设对它们的影响不大。</w:t>
      </w:r>
    </w:p>
    <w:p w14:paraId="0EE4A221">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工程不会改变当地的小气候如水、气、阳光等环境，施工过程中会对区域内动物有一定影响，将导致部分动物会暂时迁走，但对动物的栖息地影响也是暂时性的，治理工程后不会减少当地动物物种数量，相反，随着项目实施对环境的改善进而使物种数量将有可能明显增加。</w:t>
      </w:r>
    </w:p>
    <w:p w14:paraId="6D0DF61B">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本工程评价范围内鸟类主要以家燕、麻雀等为主。调查范围内未发现家燕等集中分布区及栖息地。</w:t>
      </w:r>
    </w:p>
    <w:p w14:paraId="54FB8C0F">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在工程施工区影响范围内，未发现珍稀野生动物的活动踪迹。</w:t>
      </w:r>
    </w:p>
    <w:p w14:paraId="43E89D95">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5.1.8.4</w:t>
      </w:r>
      <w:r>
        <w:rPr>
          <w:rFonts w:hint="default" w:ascii="Times New Roman" w:hAnsi="Times New Roman" w:cs="Times New Roman"/>
          <w:sz w:val="24"/>
          <w:szCs w:val="24"/>
          <w:u w:val="none"/>
          <w:lang w:val="en-US" w:eastAsia="zh-CN"/>
        </w:rPr>
        <w:t>对占用基本农田影响分析</w:t>
      </w:r>
    </w:p>
    <w:p w14:paraId="2D336750">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中华人民共和国基本农田保护条例》，基本农田是指按照一定时期人口和社会经济发展对农产品的需求，依据土地利用总体规划确定的不得占用的耕地。永久基本农田即对基本农田实行永久性保护，无论什么情况下都不能改变其用途，不得以任何方式挪作他用，是2008年中共十七届三中全会提出此概念。2020年1月1日起实施的新修订的《中华人民共和国土地管理法》条例中，基本农田加上“永久”二字，体现了国家对永久基本农田保护的重视。</w:t>
      </w:r>
    </w:p>
    <w:p w14:paraId="52B925DA">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w:t>
      </w:r>
      <w:r>
        <w:rPr>
          <w:rFonts w:hint="eastAsia" w:cs="Times New Roman"/>
          <w:sz w:val="24"/>
          <w:szCs w:val="24"/>
          <w:highlight w:val="none"/>
          <w:u w:val="none"/>
          <w:lang w:val="en-US" w:eastAsia="zh-CN"/>
        </w:rPr>
        <w:t>项目填埋区</w:t>
      </w:r>
      <w:r>
        <w:rPr>
          <w:rFonts w:hint="default" w:ascii="Times New Roman" w:hAnsi="Times New Roman" w:cs="Times New Roman"/>
          <w:sz w:val="24"/>
          <w:szCs w:val="24"/>
          <w:highlight w:val="none"/>
          <w:u w:val="none"/>
          <w:lang w:val="en-US" w:eastAsia="zh-CN"/>
        </w:rPr>
        <w:t>永久占地不涉及基本农田，</w:t>
      </w:r>
      <w:r>
        <w:rPr>
          <w:rFonts w:hint="eastAsia" w:cs="Times New Roman"/>
          <w:sz w:val="24"/>
          <w:szCs w:val="24"/>
          <w:highlight w:val="none"/>
          <w:u w:val="none"/>
          <w:lang w:val="en-US" w:eastAsia="zh-CN"/>
        </w:rPr>
        <w:t>废渣区、临时道路</w:t>
      </w:r>
      <w:r>
        <w:rPr>
          <w:rFonts w:hint="default" w:ascii="Times New Roman" w:hAnsi="Times New Roman" w:cs="Times New Roman"/>
          <w:sz w:val="24"/>
          <w:szCs w:val="24"/>
          <w:highlight w:val="none"/>
          <w:u w:val="none"/>
          <w:lang w:val="en-US" w:eastAsia="zh-CN"/>
        </w:rPr>
        <w:t>临时占用的耕地涉及基本农田，根据附图</w:t>
      </w:r>
      <w:r>
        <w:rPr>
          <w:rFonts w:hint="eastAsia" w:cs="Times New Roman"/>
          <w:sz w:val="24"/>
          <w:szCs w:val="24"/>
          <w:highlight w:val="none"/>
          <w:u w:val="none"/>
          <w:lang w:val="en-US" w:eastAsia="zh-CN"/>
        </w:rPr>
        <w:t>8</w:t>
      </w:r>
      <w:r>
        <w:rPr>
          <w:rFonts w:hint="default" w:ascii="Times New Roman" w:hAnsi="Times New Roman" w:cs="Times New Roman"/>
          <w:sz w:val="24"/>
          <w:szCs w:val="24"/>
          <w:highlight w:val="none"/>
          <w:u w:val="none"/>
          <w:lang w:val="en-US" w:eastAsia="zh-CN"/>
        </w:rPr>
        <w:t>与“永久基本农田保护区”划定成果套合示意图可知，临时占用基本农田面积4110.47m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。沿线种植作物主要为玉米、蔬菜等。对于临时占用基本农田的地段，需进行分层开挖、分层堆放、分层回填；要求尽可能缩小施工作业带宽度，分段施工，</w:t>
      </w:r>
      <w:r>
        <w:rPr>
          <w:rFonts w:hint="eastAsia" w:ascii="Times New Roman" w:hAnsi="Times New Roman" w:cs="Times New Roman"/>
          <w:sz w:val="24"/>
          <w:szCs w:val="24"/>
          <w:highlight w:val="none"/>
          <w:u w:val="none"/>
          <w:lang w:val="en-US" w:eastAsia="zh-CN"/>
        </w:rPr>
        <w:t>清渣</w:t>
      </w:r>
      <w:r>
        <w:rPr>
          <w:rFonts w:hint="default" w:ascii="Times New Roman" w:hAnsi="Times New Roman" w:cs="Times New Roman"/>
          <w:sz w:val="24"/>
          <w:szCs w:val="24"/>
          <w:highlight w:val="none"/>
          <w:u w:val="none"/>
          <w:lang w:val="en-US" w:eastAsia="zh-CN"/>
        </w:rPr>
        <w:t>工作完成后，尽早进行覆土恢复。施工结束后，可恢复原有土地利用性质或使用功能，虽然在短期内对基本农田的利用产生不利的影响，但在施工结束后，土地利用性质很快得到恢复。</w:t>
      </w:r>
    </w:p>
    <w:p w14:paraId="38C77DEA">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5.1.8.5</w:t>
      </w:r>
      <w:r>
        <w:rPr>
          <w:rFonts w:hint="default" w:ascii="Times New Roman" w:hAnsi="Times New Roman" w:cs="Times New Roman"/>
          <w:sz w:val="24"/>
          <w:szCs w:val="24"/>
          <w:lang w:val="en-US" w:eastAsia="zh-CN"/>
        </w:rPr>
        <w:t>对水土流失影响</w:t>
      </w:r>
    </w:p>
    <w:p w14:paraId="47BC485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根据《全国水土保持规划国家级水土流失重点预防区和重点治理区复核划分成果》的通知（办水保</w:t>
      </w:r>
      <w:r>
        <w:rPr>
          <w:rFonts w:hint="default" w:ascii="Times New Roman" w:hAnsi="Times New Roman" w:eastAsia="宋体" w:cs="Times New Roman"/>
          <w:sz w:val="24"/>
          <w:szCs w:val="24"/>
          <w:highlight w:val="none"/>
          <w:lang w:val="en-US" w:eastAsia="zh-CN"/>
        </w:rPr>
        <w:t>〔</w:t>
      </w:r>
      <w:r>
        <w:rPr>
          <w:rFonts w:hint="default" w:ascii="Times New Roman" w:hAnsi="Times New Roman" w:cs="Times New Roman"/>
          <w:sz w:val="24"/>
          <w:szCs w:val="24"/>
          <w:highlight w:val="none"/>
          <w:lang w:val="en-US" w:eastAsia="zh-CN"/>
        </w:rPr>
        <w:t>2013</w:t>
      </w:r>
      <w:r>
        <w:rPr>
          <w:rFonts w:hint="default" w:ascii="Times New Roman" w:hAnsi="Times New Roman" w:eastAsia="宋体" w:cs="Times New Roman"/>
          <w:sz w:val="24"/>
          <w:szCs w:val="24"/>
          <w:highlight w:val="none"/>
          <w:lang w:val="en-US" w:eastAsia="zh-CN"/>
        </w:rPr>
        <w:t>〕</w:t>
      </w:r>
      <w:r>
        <w:rPr>
          <w:rFonts w:hint="default" w:ascii="Times New Roman" w:hAnsi="Times New Roman" w:cs="Times New Roman"/>
          <w:sz w:val="24"/>
          <w:szCs w:val="24"/>
          <w:highlight w:val="none"/>
          <w:lang w:val="en-US" w:eastAsia="zh-CN"/>
        </w:rPr>
        <w:t>188号）有关规定，项目所在地不属于国家级水土流失重点治理区和重点预防区。根据《湖南省水利厅关于湖南省水土流失重点预防区和重点治理区划定公告》（2017年1月22日），项目所在地不属于省级水土流失重点预防区和重点治理区。</w:t>
      </w:r>
    </w:p>
    <w:p w14:paraId="18722EC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（1）水土保持现状</w:t>
      </w:r>
    </w:p>
    <w:p w14:paraId="18F952D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根据《土壤侵蚀分类分级标准》（SL190-2007）中土壤侵蚀强度分类分级标准，在全国土壤侵蚀类型区划中，岳阳市土壤容许流失量为500t/km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a。该区内水土流失以水力侵蚀为主兼有重力侵蚀。水力侵蚀以面蚀和沟蚀为主。面蚀多发生在5度以上的坡耕地、疏山地和绝大部分经济山地；沟蚀一般发生在15度以上的坡耕地、幼山地和荒山荒坡及无灌草山地；重力侵蚀多发生在丘岗坡脚切割深且上游面覆盖较差的地方。</w:t>
      </w:r>
    </w:p>
    <w:p w14:paraId="6D8DB3F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（2）水土流失影响预测</w:t>
      </w:r>
    </w:p>
    <w:p w14:paraId="5EBC397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本项目管理期生态功能基本恢复，水土流失恢复到背景值。工程水土流失主要在工程施工阶段，因此本环评水土流失量只考虑施工期。</w:t>
      </w:r>
    </w:p>
    <w:p w14:paraId="72650A1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工程的实施将会扰动原有地表产生裸露作业面，产生边坡；建材、土方的临时堆放等，当大雨或暴雨天气时，在地表径流的冲刷作用下易产生水土流失。</w:t>
      </w:r>
    </w:p>
    <w:p w14:paraId="3BB0FCE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本工程施工过程中土石方开挖、清理草皮、堆料占地等会破坏原地貌的水土保持功能，松动土层，扰动地表径流系统，降低了土壤抗蚀性、抗冲性。本工程新增水土流失量采用如下公式计算：</w:t>
      </w:r>
    </w:p>
    <w:p w14:paraId="143BDFFA">
      <w:pPr>
        <w:bidi w:val="0"/>
        <w:ind w:left="0" w:leftChars="0" w:firstLine="0" w:firstLineChars="0"/>
        <w:jc w:val="cente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drawing>
          <wp:inline distT="0" distB="0" distL="114300" distR="114300">
            <wp:extent cx="1772285" cy="476250"/>
            <wp:effectExtent l="0" t="0" r="0" b="0"/>
            <wp:docPr id="18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7"/>
                    <pic:cNvPicPr>
                      <a:picLocks noChangeAspect="1"/>
                    </pic:cNvPicPr>
                  </pic:nvPicPr>
                  <pic:blipFill>
                    <a:blip r:embed="rId113"/>
                    <a:stretch>
                      <a:fillRect/>
                    </a:stretch>
                  </pic:blipFill>
                  <pic:spPr>
                    <a:xfrm>
                      <a:off x="0" y="0"/>
                      <a:ext cx="1772285" cy="476250"/>
                    </a:xfrm>
                    <a:prstGeom prst="rect">
                      <a:avLst/>
                    </a:prstGeom>
                    <a:noFill/>
                    <a:ln>
                      <a:noFill/>
                    </a:ln>
                  </pic:spPr>
                </pic:pic>
              </a:graphicData>
            </a:graphic>
          </wp:inline>
        </w:drawing>
      </w:r>
    </w:p>
    <w:p w14:paraId="2E40EFC9">
      <w:pPr>
        <w:bidi w:val="0"/>
        <w:ind w:left="0" w:leftChars="0" w:firstLine="0" w:firstLineChars="0"/>
        <w:jc w:val="cente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drawing>
          <wp:inline distT="0" distB="0" distL="114300" distR="114300">
            <wp:extent cx="1772285" cy="438150"/>
            <wp:effectExtent l="0" t="0" r="0" b="0"/>
            <wp:docPr id="18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8"/>
                    <pic:cNvPicPr>
                      <a:picLocks noChangeAspect="1"/>
                    </pic:cNvPicPr>
                  </pic:nvPicPr>
                  <pic:blipFill>
                    <a:blip r:embed="rId114"/>
                    <a:stretch>
                      <a:fillRect/>
                    </a:stretch>
                  </pic:blipFill>
                  <pic:spPr>
                    <a:xfrm>
                      <a:off x="0" y="0"/>
                      <a:ext cx="1772285" cy="438150"/>
                    </a:xfrm>
                    <a:prstGeom prst="rect">
                      <a:avLst/>
                    </a:prstGeom>
                    <a:noFill/>
                    <a:ln>
                      <a:noFill/>
                    </a:ln>
                  </pic:spPr>
                </pic:pic>
              </a:graphicData>
            </a:graphic>
          </wp:inline>
        </w:drawing>
      </w:r>
    </w:p>
    <w:p w14:paraId="50E4AB1E">
      <w:pPr>
        <w:bidi w:val="0"/>
        <w:ind w:left="0" w:leftChars="0" w:firstLine="0" w:firstLineChars="0"/>
        <w:jc w:val="center"/>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drawing>
          <wp:inline distT="0" distB="0" distL="114300" distR="114300">
            <wp:extent cx="2104390" cy="457200"/>
            <wp:effectExtent l="0" t="0" r="10160" b="0"/>
            <wp:docPr id="18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9"/>
                    <pic:cNvPicPr>
                      <a:picLocks noChangeAspect="1"/>
                    </pic:cNvPicPr>
                  </pic:nvPicPr>
                  <pic:blipFill>
                    <a:blip r:embed="rId115"/>
                    <a:stretch>
                      <a:fillRect/>
                    </a:stretch>
                  </pic:blipFill>
                  <pic:spPr>
                    <a:xfrm>
                      <a:off x="0" y="0"/>
                      <a:ext cx="2104390" cy="457200"/>
                    </a:xfrm>
                    <a:prstGeom prst="rect">
                      <a:avLst/>
                    </a:prstGeom>
                    <a:noFill/>
                    <a:ln>
                      <a:noFill/>
                    </a:ln>
                  </pic:spPr>
                </pic:pic>
              </a:graphicData>
            </a:graphic>
          </wp:inline>
        </w:drawing>
      </w:r>
    </w:p>
    <w:p w14:paraId="1B50BFA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式中：W—扰动地表土壤流失量，t；</w:t>
      </w:r>
    </w:p>
    <w:p w14:paraId="2C33CACE">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ΔW—扰动地表新增土壤流失量，t；</w:t>
      </w:r>
    </w:p>
    <w:p w14:paraId="6E7E859E">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i—预测单元，i=1、2、3、……、n，本次预测单元取施工期。</w:t>
      </w:r>
    </w:p>
    <w:p w14:paraId="4D646ADB">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k—预测时段，j=1、2、3，指施工期。</w:t>
      </w:r>
    </w:p>
    <w:p w14:paraId="3E91C04F">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F</w:t>
      </w:r>
      <w:r>
        <w:rPr>
          <w:rFonts w:hint="default" w:ascii="Times New Roman" w:hAnsi="Times New Roman" w:cs="Times New Roman"/>
          <w:sz w:val="24"/>
          <w:szCs w:val="24"/>
          <w:highlight w:val="none"/>
          <w:vertAlign w:val="subscript"/>
          <w:lang w:val="en-US" w:eastAsia="zh-CN"/>
        </w:rPr>
        <w:t>i</w:t>
      </w:r>
      <w:r>
        <w:rPr>
          <w:rFonts w:hint="default" w:ascii="Times New Roman" w:hAnsi="Times New Roman" w:cs="Times New Roman"/>
          <w:sz w:val="24"/>
          <w:szCs w:val="24"/>
          <w:highlight w:val="none"/>
          <w:lang w:val="en-US" w:eastAsia="zh-CN"/>
        </w:rPr>
        <w:t>—第i个预测单元的面积，km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，项目总占地面积0.0392174km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，（含废渣区、填埋场、临时道路和取土场等，</w:t>
      </w:r>
      <w:r>
        <w:rPr>
          <w:rFonts w:hint="eastAsia" w:cs="Times New Roman"/>
          <w:sz w:val="24"/>
          <w:szCs w:val="24"/>
          <w:highlight w:val="none"/>
          <w:lang w:val="en-US" w:eastAsia="zh-CN"/>
        </w:rPr>
        <w:t>34557.68</w:t>
      </w:r>
      <w:r>
        <w:rPr>
          <w:rFonts w:hint="default" w:ascii="Times New Roman" w:hAnsi="Times New Roman" w:cs="Times New Roman"/>
          <w:sz w:val="24"/>
          <w:szCs w:val="24"/>
          <w:highlight w:val="none"/>
          <w:lang w:val="en-US" w:eastAsia="zh-CN"/>
        </w:rPr>
        <w:t>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w:t>
      </w:r>
    </w:p>
    <w:p w14:paraId="21687FFA">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M</w:t>
      </w:r>
      <w:r>
        <w:rPr>
          <w:rFonts w:hint="default" w:ascii="Times New Roman" w:hAnsi="Times New Roman" w:cs="Times New Roman"/>
          <w:sz w:val="24"/>
          <w:szCs w:val="24"/>
          <w:highlight w:val="none"/>
          <w:vertAlign w:val="subscript"/>
          <w:lang w:val="en-US" w:eastAsia="zh-CN"/>
        </w:rPr>
        <w:t>ik</w:t>
      </w:r>
      <w:r>
        <w:rPr>
          <w:rFonts w:hint="default" w:ascii="Times New Roman" w:hAnsi="Times New Roman" w:cs="Times New Roman"/>
          <w:sz w:val="24"/>
          <w:szCs w:val="24"/>
          <w:highlight w:val="none"/>
          <w:lang w:val="en-US" w:eastAsia="zh-CN"/>
        </w:rPr>
        <w:t>—扰动后不同预测单元不同时段的土壤侵蚀模数，t/km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·a，预测侵蚀强度取7000t/km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·a；</w:t>
      </w:r>
    </w:p>
    <w:p w14:paraId="7E018CA6">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ΔM</w:t>
      </w:r>
      <w:r>
        <w:rPr>
          <w:rFonts w:hint="default" w:ascii="Times New Roman" w:hAnsi="Times New Roman" w:cs="Times New Roman"/>
          <w:sz w:val="24"/>
          <w:szCs w:val="24"/>
          <w:highlight w:val="none"/>
          <w:vertAlign w:val="subscript"/>
          <w:lang w:val="en-US" w:eastAsia="zh-CN"/>
        </w:rPr>
        <w:t>ik</w:t>
      </w:r>
      <w:r>
        <w:rPr>
          <w:rFonts w:hint="default" w:ascii="Times New Roman" w:hAnsi="Times New Roman" w:cs="Times New Roman"/>
          <w:sz w:val="24"/>
          <w:szCs w:val="24"/>
          <w:highlight w:val="none"/>
          <w:lang w:val="en-US" w:eastAsia="zh-CN"/>
        </w:rPr>
        <w:t>—不同单元各时段新增土壤侵蚀模数，t/km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·a；</w:t>
      </w:r>
    </w:p>
    <w:p w14:paraId="2AC4AC59">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M</w:t>
      </w:r>
      <w:r>
        <w:rPr>
          <w:rFonts w:hint="default" w:ascii="Times New Roman" w:hAnsi="Times New Roman" w:cs="Times New Roman"/>
          <w:sz w:val="24"/>
          <w:szCs w:val="24"/>
          <w:highlight w:val="none"/>
          <w:vertAlign w:val="subscript"/>
          <w:lang w:val="en-US" w:eastAsia="zh-CN"/>
        </w:rPr>
        <w:t>i0</w:t>
      </w:r>
      <w:r>
        <w:rPr>
          <w:rFonts w:hint="default" w:ascii="Times New Roman" w:hAnsi="Times New Roman" w:cs="Times New Roman"/>
          <w:sz w:val="24"/>
          <w:szCs w:val="24"/>
          <w:highlight w:val="none"/>
          <w:lang w:val="en-US" w:eastAsia="zh-CN"/>
        </w:rPr>
        <w:t>—扰动前不同预测单元土壤侵蚀模数，t/km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·a，背景值取400t/ km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·a；</w:t>
      </w:r>
    </w:p>
    <w:p w14:paraId="55F4690F">
      <w:pPr>
        <w:bidi w:val="0"/>
        <w:ind w:firstLine="1200" w:firstLineChars="50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T</w:t>
      </w:r>
      <w:r>
        <w:rPr>
          <w:rFonts w:hint="default" w:ascii="Times New Roman" w:hAnsi="Times New Roman" w:cs="Times New Roman"/>
          <w:sz w:val="24"/>
          <w:szCs w:val="24"/>
          <w:highlight w:val="none"/>
          <w:vertAlign w:val="subscript"/>
          <w:lang w:val="en-US" w:eastAsia="zh-CN"/>
        </w:rPr>
        <w:t>ik</w:t>
      </w:r>
      <w:r>
        <w:rPr>
          <w:rFonts w:hint="default" w:ascii="Times New Roman" w:hAnsi="Times New Roman" w:cs="Times New Roman"/>
          <w:sz w:val="24"/>
          <w:szCs w:val="24"/>
          <w:highlight w:val="none"/>
          <w:lang w:val="en-US" w:eastAsia="zh-CN"/>
        </w:rPr>
        <w:t>—预测时段（扰动时段），a，本次取0.5a。</w:t>
      </w:r>
    </w:p>
    <w:p w14:paraId="650D019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根据计算，本工程施工过程中新增水土流失量为17.05t，水土流失较项目建设前大幅提高。若对产生的水土流失不加以防治，将对项目区造成一定的危害，主要表现为降低土壤肥力、影响水质和破坏自然景观等。</w:t>
      </w:r>
    </w:p>
    <w:p w14:paraId="02B4DA06">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为防止水土流失，建设单位应合理选择施工工期，尽量避免在雨季施工；科学规划、合理安排施工程序；分区分片施工，做好场内挖填方平衡；对施工完成的坡面做护坡处理（如对坡面夯实、植草等），以防止水土流失。</w:t>
      </w:r>
    </w:p>
    <w:p w14:paraId="2F8DBD07">
      <w:pPr>
        <w:bidi w:val="0"/>
        <w:rPr>
          <w:rFonts w:hint="eastAsia"/>
          <w:highlight w:val="none"/>
          <w:lang w:val="en-US" w:eastAsia="zh-CN"/>
        </w:rPr>
      </w:pPr>
      <w:r>
        <w:rPr>
          <w:rFonts w:hint="default" w:ascii="Times New Roman" w:hAnsi="Times New Roman" w:cs="Times New Roman"/>
          <w:sz w:val="24"/>
          <w:szCs w:val="24"/>
          <w:highlight w:val="none"/>
          <w:lang w:val="en-US" w:eastAsia="zh-CN"/>
        </w:rPr>
        <w:t>采取以上措施后，项目施工期水土流失会有所降低，项目建设对环境的影响也会有所减小。</w:t>
      </w:r>
    </w:p>
    <w:p w14:paraId="6F13138B">
      <w:pPr>
        <w:pStyle w:val="3"/>
        <w:pageBreakBefore w:val="0"/>
        <w:widowControl w:val="0"/>
        <w:numPr>
          <w:ilvl w:val="0"/>
          <w:numId w:val="0"/>
        </w:numPr>
        <w:kinsoku/>
        <w:topLinePunct w:val="0"/>
        <w:bidi w:val="0"/>
        <w:snapToGrid w:val="0"/>
        <w:spacing w:before="0" w:beforeLines="0" w:after="0" w:afterLines="0" w:line="360" w:lineRule="auto"/>
        <w:rPr>
          <w:rFonts w:hint="default" w:ascii="Times New Roman" w:hAnsi="Times New Roman" w:eastAsia="宋体" w:cs="Times New Roman"/>
          <w:color w:val="auto"/>
          <w:sz w:val="30"/>
          <w:szCs w:val="30"/>
          <w:highlight w:val="none"/>
          <w:u w:val="none" w:color="auto"/>
          <w:lang w:val="en-US" w:eastAsia="zh-CN"/>
        </w:rPr>
      </w:pPr>
      <w:bookmarkStart w:id="450" w:name="_Toc4828"/>
      <w:bookmarkStart w:id="451" w:name="_Toc30019"/>
      <w:r>
        <w:rPr>
          <w:rFonts w:hint="eastAsia" w:ascii="Times New Roman" w:hAnsi="Times New Roman" w:eastAsia="宋体" w:cs="Times New Roman"/>
          <w:color w:val="auto"/>
          <w:sz w:val="30"/>
          <w:szCs w:val="30"/>
          <w:highlight w:val="none"/>
          <w:u w:val="none" w:color="auto"/>
          <w:lang w:val="en-US" w:eastAsia="zh-CN"/>
        </w:rPr>
        <w:t>5.2封场后环境影响分析</w:t>
      </w:r>
      <w:bookmarkEnd w:id="450"/>
      <w:bookmarkEnd w:id="451"/>
    </w:p>
    <w:p w14:paraId="7F9D75FC">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5.2.1大气环境影响分析</w:t>
      </w:r>
    </w:p>
    <w:p w14:paraId="75278BC5">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项目废渣填埋场填埋的废物属于</w:t>
      </w:r>
      <w:r>
        <w:rPr>
          <w:rFonts w:hint="default" w:ascii="Times New Roman" w:hAnsi="Times New Roman" w:eastAsia="宋体" w:cs="Times New Roman"/>
          <w:sz w:val="24"/>
          <w:szCs w:val="24"/>
          <w:highlight w:val="none"/>
          <w:lang w:val="en-US" w:eastAsia="zh-CN"/>
        </w:rPr>
        <w:t>Ⅰ</w:t>
      </w:r>
      <w:r>
        <w:rPr>
          <w:rFonts w:hint="default" w:ascii="Times New Roman" w:hAnsi="Times New Roman" w:cs="Times New Roman"/>
          <w:sz w:val="24"/>
          <w:szCs w:val="24"/>
          <w:highlight w:val="none"/>
          <w:lang w:val="en-US" w:eastAsia="zh-CN"/>
        </w:rPr>
        <w:t>类和Ⅱ类</w:t>
      </w:r>
      <w:r>
        <w:rPr>
          <w:rFonts w:hint="eastAsia" w:ascii="Times New Roman" w:hAnsi="Times New Roman" w:cs="Times New Roman"/>
          <w:sz w:val="24"/>
          <w:szCs w:val="24"/>
          <w:highlight w:val="none"/>
          <w:lang w:val="en-US" w:eastAsia="zh-CN"/>
        </w:rPr>
        <w:t>一般</w:t>
      </w:r>
      <w:r>
        <w:rPr>
          <w:rFonts w:hint="default" w:ascii="Times New Roman" w:hAnsi="Times New Roman" w:cs="Times New Roman"/>
          <w:sz w:val="24"/>
          <w:szCs w:val="24"/>
          <w:highlight w:val="none"/>
          <w:lang w:val="en-US" w:eastAsia="zh-CN"/>
        </w:rPr>
        <w:t>固体废物，这些废物填埋后不产生废气。因此，项目治理完</w:t>
      </w:r>
      <w:r>
        <w:rPr>
          <w:rFonts w:hint="eastAsia" w:ascii="Times New Roman" w:hAnsi="Times New Roman" w:cs="Times New Roman"/>
          <w:sz w:val="24"/>
          <w:szCs w:val="24"/>
          <w:highlight w:val="none"/>
          <w:lang w:val="en-US" w:eastAsia="zh-CN"/>
        </w:rPr>
        <w:t>成后</w:t>
      </w:r>
      <w:r>
        <w:rPr>
          <w:rFonts w:hint="default" w:ascii="Times New Roman" w:hAnsi="Times New Roman" w:cs="Times New Roman"/>
          <w:sz w:val="24"/>
          <w:szCs w:val="24"/>
          <w:highlight w:val="none"/>
          <w:lang w:val="en-US" w:eastAsia="zh-CN"/>
        </w:rPr>
        <w:t>，废渣填埋场封场后不会产生废气。</w:t>
      </w:r>
    </w:p>
    <w:p w14:paraId="2D972FA9">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5.2.2地表水环境影响分析</w:t>
      </w:r>
    </w:p>
    <w:p w14:paraId="5480851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根据《环境影响评价技术导则  地表水环境》（HJ2.3-2018）中7.1.2规定：水污染影响型三级B评价可不进行水环境影响预测。主要评价内容包括</w:t>
      </w:r>
      <w:r>
        <w:rPr>
          <w:rFonts w:hint="eastAsia" w:cs="Times New Roman"/>
          <w:sz w:val="24"/>
          <w:szCs w:val="24"/>
          <w:highlight w:val="none"/>
          <w:lang w:val="en-US" w:eastAsia="zh-CN"/>
        </w:rPr>
        <w:t>：①</w:t>
      </w:r>
      <w:r>
        <w:rPr>
          <w:rFonts w:hint="default" w:ascii="Times New Roman" w:hAnsi="Times New Roman" w:cs="Times New Roman"/>
          <w:sz w:val="24"/>
          <w:szCs w:val="24"/>
          <w:highlight w:val="none"/>
          <w:lang w:val="en-US" w:eastAsia="zh-CN"/>
        </w:rPr>
        <w:t>水污染控制和水环境影响减缓措施有效性评价</w:t>
      </w:r>
      <w:r>
        <w:rPr>
          <w:rFonts w:hint="eastAsia" w:cs="Times New Roman"/>
          <w:sz w:val="24"/>
          <w:szCs w:val="24"/>
          <w:highlight w:val="none"/>
          <w:lang w:val="en-US" w:eastAsia="zh-CN"/>
        </w:rPr>
        <w:t>；②</w:t>
      </w:r>
      <w:r>
        <w:rPr>
          <w:rFonts w:hint="default" w:ascii="Times New Roman" w:hAnsi="Times New Roman" w:cs="Times New Roman"/>
          <w:sz w:val="24"/>
          <w:szCs w:val="24"/>
          <w:highlight w:val="none"/>
          <w:lang w:val="en-US" w:eastAsia="zh-CN"/>
        </w:rPr>
        <w:t>依托污水处理设施的环境可行性评价。</w:t>
      </w:r>
    </w:p>
    <w:p w14:paraId="13B30772">
      <w:pPr>
        <w:numPr>
          <w:ilvl w:val="3"/>
          <w:numId w:val="0"/>
        </w:numPr>
        <w:tabs>
          <w:tab w:val="left" w:pos="964"/>
        </w:tabs>
        <w:bidi w:val="0"/>
        <w:ind w:leftChars="0" w:firstLine="482" w:firstLineChars="200"/>
        <w:outlineLvl w:val="9"/>
        <w:rPr>
          <w:rFonts w:hint="default"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1、</w:t>
      </w:r>
      <w:r>
        <w:rPr>
          <w:rFonts w:hint="default" w:ascii="Times New Roman" w:hAnsi="Times New Roman" w:cs="Times New Roman"/>
          <w:b/>
          <w:bCs/>
          <w:sz w:val="24"/>
          <w:szCs w:val="24"/>
          <w:highlight w:val="none"/>
          <w:lang w:val="en-US" w:eastAsia="zh-CN"/>
        </w:rPr>
        <w:t>水污染控制和水环境影响减缓措施有效性评价</w:t>
      </w:r>
    </w:p>
    <w:p w14:paraId="2990EAFF">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填埋场渗滤液的产生主要集中在废渣填埋前期（一般为废渣填埋后6个月内），后续在表面阻隔层无破损的情况下，废渣填埋场的渗滤液产生量不大，且呈逐步减少趋势，一定时间后，渗滤液的产生量会几乎为零。</w:t>
      </w:r>
    </w:p>
    <w:p w14:paraId="444B6591">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根据工程分析，项目施工期及封场后填埋场渗滤液最大产生量为17.28m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/d，淋溶水约4m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lang w:val="en-US" w:eastAsia="zh-CN"/>
        </w:rPr>
        <w:t>/d。项目治理后产生的填埋场渗滤液经渗滤液池收集，经重金属一体化污水处理设备处理达到《污水综合排放标准》</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GB8978-1996</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中表1第一类污染物最高允许排放浓度及表4第二类污染物最高允许排放浓度一级标准后，采用防腐、防漏的密闭罐车收集运输至湖南黄金天岳矿业有限公司垂拱洞尾矿库废水处理站处置，湖南黄金天岳矿业有限公司垂拱洞尾矿库废水处理站尾水重金属污染物执行《农田灌溉水质标准》（GB5084-2021）中表1、表2标准，其他污染物执行《污水综合排放标准》（GB8978-1996）表4中一级标准。</w:t>
      </w:r>
    </w:p>
    <w:p w14:paraId="1F3C4059">
      <w:pPr>
        <w:bidi w:val="0"/>
        <w:outlineLvl w:val="9"/>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项目封场后填埋场无废水直接排入区域地表水环境，对区域地表水影响较小。</w:t>
      </w:r>
    </w:p>
    <w:p w14:paraId="3B01D737">
      <w:pPr>
        <w:outlineLvl w:val="9"/>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渗滤液不得向其他地方转移或随意丢弃，运输过程应加强监管，确保容器稳固，不泄漏、不倒塌、不坠落、不损坏，防止渗滤液的渗漏。运输应按规定路线行驶，途经村庄等要减速慢行，不可在居民区和人口稠密区停留，对周围地表水环境影响较小。</w:t>
      </w:r>
    </w:p>
    <w:p w14:paraId="04FB5367">
      <w:pPr>
        <w:outlineLvl w:val="9"/>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本项目设截洪排水沟，雨水经排水沟收集后，未经土壤污染直接外排至周边山涧小溪，对地表水环境影响较小。</w:t>
      </w:r>
    </w:p>
    <w:p w14:paraId="0C3262AE">
      <w:pPr>
        <w:numPr>
          <w:ilvl w:val="3"/>
          <w:numId w:val="0"/>
        </w:numPr>
        <w:tabs>
          <w:tab w:val="left" w:pos="964"/>
        </w:tabs>
        <w:bidi w:val="0"/>
        <w:ind w:leftChars="0" w:firstLine="482" w:firstLineChars="200"/>
        <w:outlineLvl w:val="9"/>
        <w:rPr>
          <w:rFonts w:hint="default" w:ascii="Times New Roman" w:hAnsi="Times New Roman" w:cs="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2、</w:t>
      </w:r>
      <w:r>
        <w:rPr>
          <w:rFonts w:hint="default" w:ascii="Times New Roman" w:hAnsi="Times New Roman" w:cs="Times New Roman"/>
          <w:b/>
          <w:bCs/>
          <w:sz w:val="24"/>
          <w:szCs w:val="24"/>
          <w:highlight w:val="none"/>
          <w:lang w:val="en-US" w:eastAsia="zh-CN"/>
        </w:rPr>
        <w:t>依托污水处理设施的环境可行性评价</w:t>
      </w:r>
    </w:p>
    <w:p w14:paraId="11A826AD">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详见7.2章节地表水污染防治措施及其可行性论证章节</w:t>
      </w:r>
      <w:r>
        <w:rPr>
          <w:rFonts w:hint="eastAsia" w:cs="Times New Roman"/>
          <w:sz w:val="24"/>
          <w:szCs w:val="24"/>
          <w:highlight w:val="none"/>
          <w:lang w:val="en-US" w:eastAsia="zh-CN"/>
        </w:rPr>
        <w:t>。</w:t>
      </w:r>
    </w:p>
    <w:p w14:paraId="25E7130E">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5.2.3地下水环境影响分析</w:t>
      </w:r>
    </w:p>
    <w:p w14:paraId="152BB46A">
      <w:pPr>
        <w:pStyle w:val="5"/>
        <w:numPr>
          <w:ilvl w:val="3"/>
          <w:numId w:val="0"/>
        </w:numPr>
        <w:tabs>
          <w:tab w:val="left" w:pos="964"/>
        </w:tabs>
        <w:bidi w:val="0"/>
        <w:ind w:leftChars="0"/>
        <w:rPr>
          <w:rFonts w:hint="default"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5.2.3.1</w:t>
      </w:r>
      <w:r>
        <w:rPr>
          <w:rFonts w:hint="default" w:ascii="Times New Roman" w:hAnsi="Times New Roman" w:cs="Times New Roman"/>
          <w:sz w:val="24"/>
          <w:szCs w:val="24"/>
          <w:u w:val="none"/>
          <w:lang w:val="en-US" w:eastAsia="zh-CN"/>
        </w:rPr>
        <w:t>地块的地质和水文地质条件</w:t>
      </w:r>
    </w:p>
    <w:p w14:paraId="5E360624">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（1）地块的地质条件</w:t>
      </w:r>
    </w:p>
    <w:p w14:paraId="2E40D933">
      <w:pPr>
        <w:bidi w:val="0"/>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highlight w:val="none"/>
          <w:u w:val="none"/>
          <w:lang w:val="en-US" w:eastAsia="zh-CN"/>
        </w:rPr>
        <w:t>根据《平江县三阳乡万古村万古水库周边历史遗留重金属废渣整治项目详细勘察报告》可知：根据区域地质资料及勘察相关钻探、测试结果，拟建场地无断裂、褶皱等构造，不存在岩溶溶洞、土洞等不良地质作用；场地内未发现泥石流、滑坡、崩塌等不良地质现象；场地内未发现墓穴、防空洞、采空区；场地内未发现埋藏的古河道、沟、浜；场地周边未发现影响场地稳定的地质构造、断层等，场地地内基岩稳定，本场地稳定，适宜进行本工程的建设。项目场地内范围内勘探深度内分布的地层有含金矿石冶炼废渣、第四系覆盖层和前震旦系冷家溪群板岩，各地层的野外特征按自上而下的顺序依次描述如下：</w:t>
      </w:r>
    </w:p>
    <w:p w14:paraId="26D85B4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①杂填土（Q</w:t>
      </w:r>
      <w:r>
        <w:rPr>
          <w:rFonts w:hint="default" w:ascii="Times New Roman" w:hAnsi="Times New Roman" w:cs="Times New Roman"/>
          <w:sz w:val="24"/>
          <w:szCs w:val="24"/>
          <w:highlight w:val="none"/>
          <w:u w:val="none"/>
          <w:vertAlign w:val="subscript"/>
          <w:lang w:val="en-US" w:eastAsia="zh-CN"/>
        </w:rPr>
        <w:t>4</w:t>
      </w:r>
      <w:r>
        <w:rPr>
          <w:rFonts w:hint="default" w:ascii="Times New Roman" w:hAnsi="Times New Roman" w:cs="Times New Roman"/>
          <w:sz w:val="24"/>
          <w:szCs w:val="24"/>
          <w:highlight w:val="none"/>
          <w:u w:val="none"/>
          <w:vertAlign w:val="superscript"/>
          <w:lang w:val="en-US" w:eastAsia="zh-CN"/>
        </w:rPr>
        <w:t>ml</w:t>
      </w:r>
      <w:r>
        <w:rPr>
          <w:rFonts w:hint="default" w:ascii="Times New Roman" w:hAnsi="Times New Roman" w:cs="Times New Roman"/>
          <w:sz w:val="24"/>
          <w:szCs w:val="24"/>
          <w:highlight w:val="none"/>
          <w:u w:val="none"/>
          <w:lang w:val="en-US" w:eastAsia="zh-CN"/>
        </w:rPr>
        <w:t>）：黄褐色、灰褐色，主要由金矿冶炼后残存矿渣组成，松散，稍湿，不均匀，具孔隙，未完成自重固结。勘察期间揭露深度1.50~9.90m，平均厚度5.40m。</w:t>
      </w:r>
    </w:p>
    <w:p w14:paraId="1161F0E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②粉质黏土（Q</w:t>
      </w:r>
      <w:r>
        <w:rPr>
          <w:rFonts w:hint="default" w:ascii="Times New Roman" w:hAnsi="Times New Roman" w:cs="Times New Roman"/>
          <w:sz w:val="24"/>
          <w:szCs w:val="24"/>
          <w:highlight w:val="none"/>
          <w:u w:val="none"/>
          <w:vertAlign w:val="subscript"/>
          <w:lang w:val="en-US" w:eastAsia="zh-CN"/>
        </w:rPr>
        <w:t>4</w:t>
      </w:r>
      <w:r>
        <w:rPr>
          <w:rFonts w:hint="default" w:ascii="Times New Roman" w:hAnsi="Times New Roman" w:cs="Times New Roman"/>
          <w:sz w:val="24"/>
          <w:szCs w:val="24"/>
          <w:highlight w:val="none"/>
          <w:u w:val="none"/>
          <w:vertAlign w:val="superscript"/>
          <w:lang w:val="en-US" w:eastAsia="zh-CN"/>
        </w:rPr>
        <w:t>al</w:t>
      </w:r>
      <w:r>
        <w:rPr>
          <w:rFonts w:hint="default" w:ascii="Times New Roman" w:hAnsi="Times New Roman" w:cs="Times New Roman"/>
          <w:sz w:val="24"/>
          <w:szCs w:val="24"/>
          <w:highlight w:val="none"/>
          <w:u w:val="none"/>
          <w:lang w:val="en-US" w:eastAsia="zh-CN"/>
        </w:rPr>
        <w:t>）：黄褐色，可塑，黏粒成分为主，粉粒成分次之，干强度高，韧性中等，切面稍具光泽，无摇震反应，勘察期间揭露深度0.50~2.70m，平均厚度1.38m。</w:t>
      </w:r>
    </w:p>
    <w:p w14:paraId="2E0A616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highlight w:val="none"/>
          <w:u w:val="none"/>
          <w:lang w:val="en-US" w:eastAsia="zh-CN"/>
        </w:rPr>
        <w:t>③强风化板岩（Pt）：黄褐色、灰黄色，泥质成分，变余泥质结构，板状构造，岩石强烈风化，岩层主要呈薄层状，结构大部分被破坏，矿物成分显著变化，风化裂隙很发育，风化面有褐红色铁质渲染物，属极软岩，岩体极破碎，基本质量等级为</w:t>
      </w:r>
      <w:r>
        <w:rPr>
          <w:rFonts w:hint="default" w:ascii="Times New Roman" w:hAnsi="Times New Roman" w:eastAsia="微软雅黑" w:cs="Times New Roman"/>
          <w:sz w:val="24"/>
          <w:szCs w:val="24"/>
          <w:highlight w:val="none"/>
          <w:u w:val="none"/>
          <w:lang w:val="en-US" w:eastAsia="zh-CN"/>
        </w:rPr>
        <w:t>Ⅴ</w:t>
      </w:r>
      <w:r>
        <w:rPr>
          <w:rFonts w:hint="default" w:ascii="Times New Roman" w:hAnsi="Times New Roman" w:eastAsia="宋体" w:cs="Times New Roman"/>
          <w:sz w:val="24"/>
          <w:szCs w:val="24"/>
          <w:highlight w:val="none"/>
          <w:u w:val="none"/>
          <w:lang w:val="en-US" w:eastAsia="zh-CN"/>
        </w:rPr>
        <w:t>类，岩芯呈破碎状、块状，岩石质量指标RQD极差，勘察期间未揭穿</w:t>
      </w:r>
      <w:r>
        <w:rPr>
          <w:rFonts w:hint="default" w:ascii="Times New Roman" w:hAnsi="Times New Roman" w:cs="Times New Roman"/>
          <w:sz w:val="24"/>
          <w:szCs w:val="24"/>
          <w:highlight w:val="none"/>
          <w:u w:val="none"/>
          <w:lang w:val="en-US" w:eastAsia="zh-CN"/>
        </w:rPr>
        <w:t>。区域水文地质见附图</w:t>
      </w:r>
      <w:r>
        <w:rPr>
          <w:rFonts w:hint="eastAsia" w:cs="Times New Roman"/>
          <w:sz w:val="24"/>
          <w:szCs w:val="24"/>
          <w:highlight w:val="none"/>
          <w:u w:val="none"/>
          <w:lang w:val="en-US" w:eastAsia="zh-CN"/>
        </w:rPr>
        <w:t>7</w:t>
      </w:r>
      <w:r>
        <w:rPr>
          <w:rFonts w:hint="default" w:ascii="Times New Roman" w:hAnsi="Times New Roman" w:cs="Times New Roman"/>
          <w:sz w:val="24"/>
          <w:szCs w:val="24"/>
          <w:highlight w:val="none"/>
          <w:u w:val="none"/>
          <w:lang w:val="en-US" w:eastAsia="zh-CN"/>
        </w:rPr>
        <w:t>。</w:t>
      </w:r>
    </w:p>
    <w:p w14:paraId="1DF0329A">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（2）地块地下水情况</w:t>
      </w:r>
    </w:p>
    <w:p w14:paraId="141915D0">
      <w:pPr>
        <w:widowControl w:val="0"/>
        <w:topLinePunct w:val="0"/>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本项目建场地地貌单元属残蚀丘陵，场地地形起伏较大，根据《平江县三阳乡万古村万古水库周边历史遗留重金属废渣整治项目详细勘察报告》，项目建场地</w:t>
      </w:r>
      <w:r>
        <w:rPr>
          <w:rFonts w:hint="eastAsia" w:cs="Times New Roman"/>
          <w:sz w:val="24"/>
          <w:szCs w:val="24"/>
          <w:highlight w:val="none"/>
          <w:lang w:val="en-US" w:eastAsia="zh-CN"/>
        </w:rPr>
        <w:t>勘察</w:t>
      </w:r>
      <w:r>
        <w:rPr>
          <w:rFonts w:hint="default" w:ascii="Times New Roman" w:hAnsi="Times New Roman" w:cs="Times New Roman"/>
          <w:sz w:val="24"/>
          <w:szCs w:val="24"/>
          <w:highlight w:val="none"/>
          <w:lang w:val="en-US" w:eastAsia="zh-CN"/>
        </w:rPr>
        <w:t>钻探点高程变化于192.187~220.015m，最大高差约27.828m，勘察期间本工程场地钻孔未发现地下水，但受季节影响可存在变化，丰水季节地下水位将上升，枯水季节将有一定的下降，地下水变化幅度约0.5~2m。</w:t>
      </w:r>
    </w:p>
    <w:p w14:paraId="2C11E10E">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highlight w:val="none"/>
          <w:lang w:val="en-US" w:eastAsia="zh-CN"/>
        </w:rPr>
        <w:t>5.2.3.2</w:t>
      </w:r>
      <w:r>
        <w:rPr>
          <w:rFonts w:hint="default" w:ascii="Times New Roman" w:hAnsi="Times New Roman" w:cs="Times New Roman"/>
          <w:sz w:val="24"/>
          <w:szCs w:val="24"/>
          <w:highlight w:val="none"/>
          <w:lang w:val="en-US" w:eastAsia="zh-CN"/>
        </w:rPr>
        <w:t>地下水污染途径</w:t>
      </w:r>
    </w:p>
    <w:p w14:paraId="0508CA24">
      <w:pPr>
        <w:rPr>
          <w:rFonts w:hint="default" w:ascii="Times New Roman" w:hAnsi="Times New Roman" w:cs="Times New Roman"/>
          <w:sz w:val="24"/>
          <w:szCs w:val="24"/>
          <w:lang w:val="en-US" w:eastAsia="zh-CN"/>
        </w:rPr>
      </w:pPr>
      <w:r>
        <w:rPr>
          <w:rFonts w:hint="default" w:ascii="Times New Roman" w:hAnsi="Times New Roman" w:cs="Times New Roman"/>
          <w:sz w:val="24"/>
          <w:szCs w:val="24"/>
          <w:highlight w:val="none"/>
          <w:lang w:val="en-US" w:eastAsia="zh-CN"/>
        </w:rPr>
        <w:t>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物的种类和性质。一般说来，土壤粒细而紧密，渗透性差，则污染慢；反之，颗粒大松散，渗透性能良好则污染重。污染物从污染源进入地下水所经过路径称为地下水污染途径，地下水污染途径是多种多样的。本项目可能对地下水造成污染的区域主要为一般</w:t>
      </w:r>
      <w:r>
        <w:rPr>
          <w:rFonts w:hint="default" w:ascii="Times New Roman" w:hAnsi="Times New Roman" w:eastAsia="宋体" w:cs="Times New Roman"/>
          <w:sz w:val="24"/>
          <w:szCs w:val="24"/>
          <w:highlight w:val="none"/>
          <w:lang w:val="en-US" w:eastAsia="zh-CN"/>
        </w:rPr>
        <w:t>Ⅰ</w:t>
      </w:r>
      <w:r>
        <w:rPr>
          <w:rFonts w:hint="default" w:ascii="Times New Roman" w:hAnsi="Times New Roman" w:cs="Times New Roman"/>
          <w:sz w:val="24"/>
          <w:szCs w:val="24"/>
          <w:highlight w:val="none"/>
          <w:lang w:val="en-US" w:eastAsia="zh-CN"/>
        </w:rPr>
        <w:t>类固废和一般Ⅱ类固废填埋场渗滤液可能发生渗漏。正常工况下，填埋场选用双层土工布夹HDPE土工膜的复合衬垫层防渗处理，防渗系统建设规范，一般不会发生渗漏事故，基本无污染。在遭遇地震、防渗膜开裂等情况下，发生渗漏，将对地下水造成点源污染，污染物可能下渗至包气带从而在潜水层中进行运移。</w:t>
      </w:r>
    </w:p>
    <w:p w14:paraId="50B6AB23">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5.2.3.3</w:t>
      </w:r>
      <w:r>
        <w:rPr>
          <w:rFonts w:hint="default" w:ascii="Times New Roman" w:hAnsi="Times New Roman" w:cs="Times New Roman"/>
          <w:sz w:val="24"/>
          <w:szCs w:val="24"/>
          <w:lang w:val="en-US" w:eastAsia="zh-CN"/>
        </w:rPr>
        <w:t>地下水环境影响分析</w:t>
      </w:r>
    </w:p>
    <w:p w14:paraId="35C9A2A6">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（1）正常状况下影响分析</w:t>
      </w:r>
    </w:p>
    <w:p w14:paraId="00A01A9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具有完善的渗滤液收集设施，填埋场采用双层土工布夹HDPE土工膜的复合衬垫层防渗处理，渗透率极低，能够更好地保护地下水不受污染；场区内的渗滤液收集后，经重金属一体化污水处理设备处理达标后，采用防腐、防漏的密闭罐车运至湖南黄金天岳矿业有限公司垂拱洞尾矿库废水处理站进行处理。</w:t>
      </w:r>
    </w:p>
    <w:p w14:paraId="6551E569">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根据地下水环境质量现状监测结果，本项目所在地及周边地下水各监测指标均不超标，满足《地下水环境质量标准》（GB/T14848-2017）</w:t>
      </w:r>
      <w:r>
        <w:rPr>
          <w:rFonts w:hint="default" w:ascii="Times New Roman" w:hAnsi="Times New Roman" w:eastAsia="宋体" w:cs="Times New Roman"/>
          <w:sz w:val="24"/>
          <w:szCs w:val="24"/>
          <w:highlight w:val="none"/>
          <w:lang w:val="en-US" w:eastAsia="zh-CN"/>
        </w:rPr>
        <w:t>Ⅲ</w:t>
      </w:r>
      <w:r>
        <w:rPr>
          <w:rFonts w:hint="default" w:ascii="Times New Roman" w:hAnsi="Times New Roman" w:cs="Times New Roman"/>
          <w:sz w:val="24"/>
          <w:szCs w:val="24"/>
          <w:highlight w:val="none"/>
          <w:lang w:val="en-US" w:eastAsia="zh-CN"/>
        </w:rPr>
        <w:t>类标准要求。随着项目的实施，有利于对场地内污染土壤进行管控，可大大减少渗滤液对地下水的污染，能进一步减少对周边地下水的影响。</w:t>
      </w:r>
    </w:p>
    <w:p w14:paraId="68D54F6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本工程填埋场地质及水文地质条件基本符合第</w:t>
      </w:r>
      <w:r>
        <w:rPr>
          <w:rFonts w:hint="default" w:ascii="Times New Roman" w:hAnsi="Times New Roman" w:eastAsia="宋体" w:cs="Times New Roman"/>
          <w:sz w:val="24"/>
          <w:szCs w:val="24"/>
          <w:highlight w:val="none"/>
          <w:lang w:val="en-US" w:eastAsia="zh-CN"/>
        </w:rPr>
        <w:t>Ⅱ</w:t>
      </w:r>
      <w:r>
        <w:rPr>
          <w:rFonts w:hint="default" w:ascii="Times New Roman" w:hAnsi="Times New Roman" w:cs="Times New Roman"/>
          <w:sz w:val="24"/>
          <w:szCs w:val="24"/>
          <w:highlight w:val="none"/>
          <w:lang w:val="en-US" w:eastAsia="zh-CN"/>
        </w:rPr>
        <w:t>类一般工业固废填埋场的建设要求，地下水的水平迁移能力较弱，同时工程设计了人工防渗措施，按规范设计符合要求的截排洪。</w:t>
      </w:r>
    </w:p>
    <w:p w14:paraId="7F07129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为进一步防止评价地区地下水受到污染，减少地下水受污染的潜在风险，建设单位应：</w:t>
      </w:r>
    </w:p>
    <w:p w14:paraId="45F9C6B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①在本项目设计、施工和运行时，必须严格按照《一般工业固体废物贮存和填埋污染控制标准》（GB18599-2020）要求，对填埋场和渗滤液收集池进行防渗。</w:t>
      </w:r>
    </w:p>
    <w:p w14:paraId="0FCF98C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②防止其他危险废物混入填埋场填埋。</w:t>
      </w:r>
    </w:p>
    <w:p w14:paraId="0D7CD0A0">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③加强渗滤液收集池的日常运行管理，保障正常运转。将渗滤液处理达标后及时清运至湖南黄金天岳矿业有限公司垂拱洞尾矿库废水处理站处理，尤其是雨季时应加强清运频次。制定应急预案，万一发生防渗膜破损时，可采取行之有效的方法加以补救。</w:t>
      </w:r>
    </w:p>
    <w:p w14:paraId="104042D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④建立完善的地下水监测系统。填埋场地下水采样设监测井8口：其中本底井1口，用于提供未受场地影响的地下水水质数据作为对照；污染扩散井3口，设在废渣填埋场边界两侧，用于提供直接受场地影响的地下水水质数据；污染监测井4口，设在废渣填埋场边界地下水流向的下游，用于提供场地受影响的地下水水质数据结果证明。在施工期及封场后定期监测，发现地下水出现污染现象时，应加大取样频率，并根据实际情况增加监测项目，查出原因并采取补救措施。</w:t>
      </w:r>
    </w:p>
    <w:p w14:paraId="5072E55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本项目工程完工后，将具有较完善的截排水收集设施，能够更好地保护地下水不受污染，与施工前相比，地下水水文地质条件基本没有发生变化，对区域地下水环境影响较小，同时本项目建设后可消除</w:t>
      </w:r>
      <w:r>
        <w:rPr>
          <w:rFonts w:hint="default" w:ascii="Times New Roman" w:hAnsi="Times New Roman" w:cs="Times New Roman"/>
          <w:sz w:val="24"/>
          <w:szCs w:val="24"/>
        </w:rPr>
        <w:t>遗漏废渣污染源</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阻断遗留废渣对地下水的污染途径，减少废渣堆对区域地下水的影响</w:t>
      </w:r>
      <w:r>
        <w:rPr>
          <w:rFonts w:hint="default" w:ascii="Times New Roman" w:hAnsi="Times New Roman" w:cs="Times New Roman"/>
          <w:sz w:val="24"/>
          <w:szCs w:val="24"/>
          <w:highlight w:val="none"/>
          <w:lang w:val="en-US" w:eastAsia="zh-CN"/>
        </w:rPr>
        <w:t>。</w:t>
      </w:r>
    </w:p>
    <w:p w14:paraId="7D656134">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b/>
          <w:bCs/>
          <w:sz w:val="24"/>
          <w:szCs w:val="24"/>
          <w:highlight w:val="none"/>
          <w:u w:val="none"/>
          <w:lang w:val="en-US" w:eastAsia="zh-CN"/>
        </w:rPr>
        <w:t>（2）非正常工况下地下水环境影响分析</w:t>
      </w:r>
    </w:p>
    <w:p w14:paraId="537FB565">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①预测方法</w:t>
      </w:r>
    </w:p>
    <w:p w14:paraId="7CECD214">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根据《环境影响评价技术导则  地下水环境》（HJ610-2016）中建设项目行业分类和地下水环境敏感程度分级方法，本项目的地下水环境影响评价级别为</w:t>
      </w:r>
      <w:r>
        <w:rPr>
          <w:rFonts w:hint="eastAsia" w:cs="Times New Roman"/>
          <w:sz w:val="24"/>
          <w:szCs w:val="24"/>
          <w:highlight w:val="none"/>
          <w:u w:val="none"/>
          <w:lang w:val="en-US" w:eastAsia="zh-CN"/>
        </w:rPr>
        <w:t>三</w:t>
      </w:r>
      <w:r>
        <w:rPr>
          <w:rFonts w:hint="default" w:ascii="Times New Roman" w:hAnsi="Times New Roman" w:cs="Times New Roman"/>
          <w:sz w:val="24"/>
          <w:szCs w:val="24"/>
          <w:highlight w:val="none"/>
          <w:u w:val="none"/>
          <w:lang w:val="en-US" w:eastAsia="zh-CN"/>
        </w:rPr>
        <w:t>级，应采用数值法或者解析法对研究区域内地下水流场和污染物迁移进行模拟，在此，本项目采用解析法对地下水环境影响进行预测。</w:t>
      </w:r>
    </w:p>
    <w:p w14:paraId="0DDC5B6A">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②预测因子及评价标准</w:t>
      </w:r>
    </w:p>
    <w:p w14:paraId="7612944A">
      <w:pPr>
        <w:rPr>
          <w:rFonts w:hint="default" w:ascii="Times New Roman" w:hAnsi="Times New Roman" w:cs="Times New Roman"/>
          <w:strike w:val="0"/>
          <w:dstrike w:val="0"/>
          <w:sz w:val="24"/>
          <w:szCs w:val="24"/>
          <w:highlight w:val="none"/>
          <w:u w:val="none"/>
          <w:lang w:val="en-US" w:eastAsia="zh-CN"/>
        </w:rPr>
      </w:pPr>
      <w:r>
        <w:rPr>
          <w:rFonts w:hint="default" w:ascii="Times New Roman" w:hAnsi="Times New Roman" w:cs="Times New Roman"/>
          <w:strike w:val="0"/>
          <w:dstrike w:val="0"/>
          <w:sz w:val="24"/>
          <w:szCs w:val="24"/>
          <w:highlight w:val="none"/>
          <w:u w:val="none"/>
          <w:lang w:val="en-US" w:eastAsia="zh-CN"/>
        </w:rPr>
        <w:t>本项目封场后场区内的渗滤液收集后，经重金属一体化污水处理设备处理达标后，采用防腐、防漏的密闭罐车运至湖南黄金天岳矿业有限公司垂拱洞尾矿库废水处理站进行处理。本项目主要考虑渗滤液收集池发生渗漏，主要污染因子选取废渣中水浸监测结果较大的砷、锌、镍、铬；根据《地下水质量标准》（GB/T14848-2017）</w:t>
      </w:r>
      <w:r>
        <w:rPr>
          <w:rFonts w:hint="default" w:ascii="Times New Roman" w:hAnsi="Times New Roman" w:eastAsia="宋体" w:cs="Times New Roman"/>
          <w:strike w:val="0"/>
          <w:dstrike w:val="0"/>
          <w:sz w:val="24"/>
          <w:szCs w:val="24"/>
          <w:highlight w:val="none"/>
          <w:u w:val="none"/>
          <w:lang w:val="en-US" w:eastAsia="zh-CN"/>
        </w:rPr>
        <w:t>Ⅲ</w:t>
      </w:r>
      <w:r>
        <w:rPr>
          <w:rFonts w:hint="default" w:ascii="Times New Roman" w:hAnsi="Times New Roman" w:cs="Times New Roman"/>
          <w:strike w:val="0"/>
          <w:dstrike w:val="0"/>
          <w:sz w:val="24"/>
          <w:szCs w:val="24"/>
          <w:highlight w:val="none"/>
          <w:u w:val="none"/>
          <w:lang w:val="en-US" w:eastAsia="zh-CN"/>
        </w:rPr>
        <w:t>类标准要求，砷限值为≤0.01mg/L、锌限值为≤1.0mg/L、镍≤0.02mg/L、铬≤0.05mg/L。</w:t>
      </w:r>
    </w:p>
    <w:p w14:paraId="48181A94">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③评价预测范围</w:t>
      </w:r>
    </w:p>
    <w:p w14:paraId="34784BDB">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根据项目场区所处的地理位置，从水文地质条件上分析，工程建设后会对附近地下水产生污染潜势，本次确定地下水环境影响预测范围与调查评价范围一致，以场址为中心面积约为6km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的区域，重点预测项目填埋场周边区域。</w:t>
      </w:r>
    </w:p>
    <w:p w14:paraId="39867662">
      <w:pPr>
        <w:widowControl w:val="0"/>
        <w:topLinePunct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④评价预测时段</w:t>
      </w:r>
    </w:p>
    <w:p w14:paraId="08F05927">
      <w:pPr>
        <w:widowControl w:val="0"/>
        <w:topLinePunct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根据本建设项目的类型，结合《环境影响评价技术导则  地下水环境》（HJ610-2016）的规定，项目的评价预测时段可以分为以下关键时段：污染发生后10天、污染发生后100天、污染发生后1000天。</w:t>
      </w:r>
    </w:p>
    <w:p w14:paraId="1C2842B2">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⑤预测结果</w:t>
      </w:r>
    </w:p>
    <w:p w14:paraId="06484D6F">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根据《给水排水构筑物工程施工及验收规范》（GB50141-2008）9.2.6条，正常情况下钢筋混凝土结构水池渗水量不得超过2L/（m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·d），本评价中非正常状况下的渗透系数按GB50141中限值的10倍考虑，即废水渗透强度为20L/（m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·d）。非正常状况下渗滤液收集池废水渗漏量按最不利情况考虑全部泄漏即为30m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/d，</w:t>
      </w:r>
      <w:r>
        <w:rPr>
          <w:rFonts w:hint="default" w:ascii="Times New Roman" w:hAnsi="Times New Roman" w:eastAsia="宋体" w:cs="Times New Roman"/>
          <w:color w:val="auto"/>
          <w:sz w:val="24"/>
          <w:szCs w:val="24"/>
          <w:lang w:val="en-US" w:eastAsia="zh-CN"/>
        </w:rPr>
        <w:t>根据</w:t>
      </w:r>
      <w:r>
        <w:rPr>
          <w:rFonts w:hint="default" w:ascii="Times New Roman" w:hAnsi="Times New Roman" w:eastAsia="宋体" w:cs="Times New Roman"/>
          <w:color w:val="auto"/>
          <w:sz w:val="24"/>
          <w:szCs w:val="24"/>
          <w:u w:val="none" w:color="auto"/>
        </w:rPr>
        <w:t>《环境影响评价技术导则</w:t>
      </w:r>
      <w:r>
        <w:rPr>
          <w:rFonts w:hint="default" w:ascii="Times New Roman" w:hAnsi="Times New Roman" w:eastAsia="宋体" w:cs="Times New Roman"/>
          <w:color w:val="auto"/>
          <w:sz w:val="24"/>
          <w:szCs w:val="24"/>
          <w:u w:val="none" w:color="auto"/>
          <w:lang w:val="en-US" w:eastAsia="zh-CN"/>
        </w:rPr>
        <w:t xml:space="preserve"> </w:t>
      </w:r>
      <w:r>
        <w:rPr>
          <w:rFonts w:hint="default" w:ascii="Times New Roman" w:hAnsi="Times New Roman" w:eastAsia="宋体" w:cs="Times New Roman"/>
          <w:color w:val="auto"/>
          <w:sz w:val="24"/>
          <w:szCs w:val="24"/>
          <w:u w:val="none" w:color="auto"/>
        </w:rPr>
        <w:t>地下水环境》（HJ610-2016）</w:t>
      </w:r>
      <w:r>
        <w:rPr>
          <w:rFonts w:hint="default" w:ascii="Times New Roman" w:hAnsi="Times New Roman" w:eastAsia="宋体" w:cs="Times New Roman"/>
          <w:color w:val="auto"/>
          <w:sz w:val="24"/>
          <w:szCs w:val="24"/>
          <w:u w:val="none" w:color="auto"/>
          <w:lang w:val="en-US" w:eastAsia="zh-CN"/>
        </w:rPr>
        <w:t>中“5.3.2识别建设项目可能导致地下水污染的特征因子。特征因子应根据建设项目污废水成分（可参照HJ/T2.3）、液体物料成分、固废浸出液成分等确定”。</w:t>
      </w:r>
      <w:r>
        <w:rPr>
          <w:rFonts w:hint="default" w:ascii="Times New Roman" w:hAnsi="Times New Roman" w:eastAsia="宋体" w:cs="Times New Roman"/>
          <w:color w:val="auto"/>
          <w:sz w:val="24"/>
          <w:szCs w:val="24"/>
          <w:highlight w:val="none"/>
          <w:lang w:val="en-US" w:eastAsia="zh-CN"/>
        </w:rPr>
        <w:t>即</w:t>
      </w:r>
      <w:r>
        <w:rPr>
          <w:rFonts w:hint="default" w:ascii="Times New Roman" w:hAnsi="Times New Roman" w:eastAsia="宋体" w:cs="Times New Roman"/>
          <w:color w:val="auto"/>
          <w:sz w:val="24"/>
          <w:szCs w:val="24"/>
          <w:highlight w:val="none"/>
          <w:u w:val="none" w:color="auto"/>
          <w:lang w:val="en-US" w:eastAsia="zh-CN"/>
        </w:rPr>
        <w:t>选取</w:t>
      </w:r>
      <w:r>
        <w:rPr>
          <w:rFonts w:hint="default" w:ascii="Times New Roman" w:hAnsi="Times New Roman" w:cs="Times New Roman"/>
          <w:strike w:val="0"/>
          <w:dstrike w:val="0"/>
          <w:sz w:val="24"/>
          <w:szCs w:val="24"/>
          <w:highlight w:val="none"/>
          <w:u w:val="none"/>
          <w:lang w:val="en-US" w:eastAsia="zh-CN"/>
        </w:rPr>
        <w:t>砷、锌、镍、铬</w:t>
      </w:r>
      <w:r>
        <w:rPr>
          <w:rFonts w:hint="default" w:ascii="Times New Roman" w:hAnsi="Times New Roman" w:eastAsia="宋体" w:cs="Times New Roman"/>
          <w:color w:val="auto"/>
          <w:sz w:val="24"/>
          <w:szCs w:val="24"/>
          <w:highlight w:val="none"/>
          <w:u w:val="none" w:color="auto"/>
          <w:lang w:val="en-US" w:eastAsia="zh-CN"/>
        </w:rPr>
        <w:t>因子作为地下水影响预测因子</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cs="Times New Roman"/>
          <w:sz w:val="24"/>
          <w:szCs w:val="24"/>
          <w:highlight w:val="none"/>
          <w:u w:val="none"/>
          <w:lang w:val="en-US" w:eastAsia="zh-CN"/>
        </w:rPr>
        <w:t>根据工程分析，渗滤液砷产生浓度1.84mg/L、锌产生浓度0.34mg/L、</w:t>
      </w:r>
      <w:r>
        <w:rPr>
          <w:rFonts w:hint="default" w:ascii="Times New Roman" w:hAnsi="Times New Roman" w:cs="Times New Roman"/>
          <w:strike w:val="0"/>
          <w:dstrike w:val="0"/>
          <w:sz w:val="24"/>
          <w:szCs w:val="24"/>
          <w:highlight w:val="none"/>
          <w:u w:val="none"/>
          <w:lang w:val="en-US" w:eastAsia="zh-CN"/>
        </w:rPr>
        <w:t>镍</w:t>
      </w:r>
      <w:r>
        <w:rPr>
          <w:rFonts w:hint="default" w:ascii="Times New Roman" w:hAnsi="Times New Roman" w:cs="Times New Roman"/>
          <w:sz w:val="24"/>
          <w:szCs w:val="24"/>
          <w:highlight w:val="none"/>
          <w:u w:val="none"/>
          <w:lang w:val="en-US" w:eastAsia="zh-CN"/>
        </w:rPr>
        <w:t>产生浓度0.02mg/L、</w:t>
      </w:r>
      <w:r>
        <w:rPr>
          <w:rFonts w:hint="default" w:ascii="Times New Roman" w:hAnsi="Times New Roman" w:cs="Times New Roman"/>
          <w:strike w:val="0"/>
          <w:dstrike w:val="0"/>
          <w:sz w:val="24"/>
          <w:szCs w:val="24"/>
          <w:highlight w:val="none"/>
          <w:u w:val="none"/>
          <w:lang w:val="en-US" w:eastAsia="zh-CN"/>
        </w:rPr>
        <w:t>铬</w:t>
      </w:r>
      <w:r>
        <w:rPr>
          <w:rFonts w:hint="default" w:ascii="Times New Roman" w:hAnsi="Times New Roman" w:cs="Times New Roman"/>
          <w:sz w:val="24"/>
          <w:szCs w:val="24"/>
          <w:highlight w:val="none"/>
          <w:u w:val="none"/>
          <w:lang w:val="en-US" w:eastAsia="zh-CN"/>
        </w:rPr>
        <w:t>产生浓度0.02mg/L，则非正常状况下的砷渗入量为0.032kg/d、锌渗入量为0.0059kg/d、镍渗入量为0.00035kg/d、铬渗入量为0.00035kg/d。</w:t>
      </w:r>
    </w:p>
    <w:p w14:paraId="4DBA19C4">
      <w:pPr>
        <w:rPr>
          <w:rFonts w:hint="default" w:ascii="Times New Roman" w:hAnsi="Times New Roman" w:cs="Times New Roman"/>
          <w:b/>
          <w:bCs/>
          <w:color w:val="auto"/>
          <w:sz w:val="24"/>
          <w:szCs w:val="24"/>
          <w:highlight w:val="none"/>
          <w:u w:val="none"/>
          <w:lang w:val="en-US" w:eastAsia="zh-CN"/>
        </w:rPr>
      </w:pPr>
      <w:r>
        <w:rPr>
          <w:rFonts w:hint="default" w:ascii="Times New Roman" w:hAnsi="Times New Roman" w:cs="Times New Roman"/>
          <w:b/>
          <w:bCs/>
          <w:color w:val="auto"/>
          <w:sz w:val="24"/>
          <w:szCs w:val="24"/>
          <w:highlight w:val="none"/>
          <w:u w:val="none"/>
          <w:lang w:val="en-US" w:eastAsia="zh-CN"/>
        </w:rPr>
        <w:t>预测模型及参数：</w:t>
      </w:r>
    </w:p>
    <w:p w14:paraId="18CF2140">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当渗滤液收集池破裂时，含有污染物的废水将以入渗的方式进入含水层，从保守角度，本次模拟计算忽略污染物在包气带的运移过程，建设场地地下水流向呈一维流动，地下水位动态稳定，因此污染物在浅层含水层中的迁移，可概化为瞬时注入示踪剂（平面瞬时点源）的一维稳定流动二维水动力弥散问题，当取平行地下水流动的方向为X轴正方向时，则污染物浓度分布模型如下：</w:t>
      </w:r>
    </w:p>
    <w:p w14:paraId="664E5CD0">
      <w:pPr>
        <w:ind w:left="0" w:leftChars="0" w:firstLine="0" w:firstLineChars="0"/>
        <w:jc w:val="center"/>
        <w:rPr>
          <w:rFonts w:hint="default" w:ascii="Times New Roman" w:hAnsi="Times New Roman" w:cs="Times New Roman"/>
          <w:sz w:val="24"/>
          <w:szCs w:val="24"/>
          <w:highlight w:val="yellow"/>
          <w:u w:val="none"/>
          <w:lang w:val="en-US" w:eastAsia="zh-CN"/>
        </w:rPr>
      </w:pPr>
      <w:r>
        <w:rPr>
          <w:rFonts w:hint="default" w:ascii="Times New Roman" w:hAnsi="Times New Roman" w:eastAsia="宋体" w:cs="Times New Roman"/>
          <w:color w:val="0000FF"/>
          <w:kern w:val="0"/>
          <w:sz w:val="24"/>
          <w:szCs w:val="24"/>
          <w:highlight w:val="none"/>
          <w:u w:val="none"/>
        </w:rPr>
        <w:drawing>
          <wp:inline distT="0" distB="0" distL="114300" distR="114300">
            <wp:extent cx="2438400" cy="666750"/>
            <wp:effectExtent l="0" t="0" r="0" b="0"/>
            <wp:docPr id="18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80"/>
                    <pic:cNvPicPr>
                      <a:picLocks noChangeAspect="1"/>
                    </pic:cNvPicPr>
                  </pic:nvPicPr>
                  <pic:blipFill>
                    <a:blip r:embed="rId116"/>
                    <a:stretch>
                      <a:fillRect/>
                    </a:stretch>
                  </pic:blipFill>
                  <pic:spPr>
                    <a:xfrm>
                      <a:off x="0" y="0"/>
                      <a:ext cx="2438400" cy="666750"/>
                    </a:xfrm>
                    <a:prstGeom prst="rect">
                      <a:avLst/>
                    </a:prstGeom>
                    <a:noFill/>
                    <a:ln>
                      <a:noFill/>
                    </a:ln>
                  </pic:spPr>
                </pic:pic>
              </a:graphicData>
            </a:graphic>
          </wp:inline>
        </w:drawing>
      </w:r>
    </w:p>
    <w:p w14:paraId="591870E4">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式中：x，y—计算点处的位置坐标；</w:t>
      </w:r>
    </w:p>
    <w:p w14:paraId="7F3367B5">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t—时间，d；</w:t>
      </w:r>
    </w:p>
    <w:p w14:paraId="7D78C871">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C（x，y，t）—t时刻点x，y处的示踪剂浓度，mg/L；</w:t>
      </w:r>
    </w:p>
    <w:p w14:paraId="5958F2A6">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M—含水层厚度，m；</w:t>
      </w:r>
    </w:p>
    <w:p w14:paraId="2ADCA318">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m</w:t>
      </w:r>
      <w:r>
        <w:rPr>
          <w:rFonts w:hint="default" w:ascii="Times New Roman" w:hAnsi="Times New Roman" w:eastAsia="宋体" w:cs="Times New Roman"/>
          <w:color w:val="auto"/>
          <w:kern w:val="0"/>
          <w:sz w:val="24"/>
          <w:szCs w:val="24"/>
          <w:highlight w:val="none"/>
          <w:u w:val="none"/>
          <w:vertAlign w:val="subscript"/>
        </w:rPr>
        <w:t>M</w:t>
      </w:r>
      <w:r>
        <w:rPr>
          <w:rFonts w:hint="default" w:ascii="Times New Roman" w:hAnsi="Times New Roman" w:eastAsia="宋体" w:cs="Times New Roman"/>
          <w:color w:val="auto"/>
          <w:kern w:val="0"/>
          <w:sz w:val="24"/>
          <w:szCs w:val="24"/>
          <w:highlight w:val="none"/>
          <w:u w:val="none"/>
        </w:rPr>
        <w:t>—长度为M的线源瞬时注入的示踪剂质量，kg；</w:t>
      </w:r>
    </w:p>
    <w:p w14:paraId="1EA108C9">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u—水流速度，m/d；</w:t>
      </w:r>
    </w:p>
    <w:p w14:paraId="22C7EF74">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n—有效孔隙度，无量纲；</w:t>
      </w:r>
    </w:p>
    <w:p w14:paraId="2A0AD69E">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D</w:t>
      </w:r>
      <w:r>
        <w:rPr>
          <w:rFonts w:hint="default" w:ascii="Times New Roman" w:hAnsi="Times New Roman" w:eastAsia="宋体" w:cs="Times New Roman"/>
          <w:color w:val="auto"/>
          <w:kern w:val="0"/>
          <w:sz w:val="24"/>
          <w:szCs w:val="24"/>
          <w:highlight w:val="none"/>
          <w:u w:val="none"/>
          <w:vertAlign w:val="subscript"/>
        </w:rPr>
        <w:t>L</w:t>
      </w:r>
      <w:r>
        <w:rPr>
          <w:rFonts w:hint="default" w:ascii="Times New Roman" w:hAnsi="Times New Roman" w:eastAsia="宋体" w:cs="Times New Roman"/>
          <w:color w:val="auto"/>
          <w:kern w:val="0"/>
          <w:sz w:val="24"/>
          <w:szCs w:val="24"/>
          <w:highlight w:val="none"/>
          <w:u w:val="none"/>
        </w:rPr>
        <w:t>—纵向弥散系数</w:t>
      </w:r>
      <w:r>
        <w:rPr>
          <w:rFonts w:hint="default" w:ascii="Times New Roman" w:hAnsi="Times New Roman" w:eastAsia="宋体" w:cs="Times New Roman"/>
          <w:i/>
          <w:iCs/>
          <w:color w:val="auto"/>
          <w:kern w:val="0"/>
          <w:sz w:val="24"/>
          <w:szCs w:val="24"/>
          <w:highlight w:val="none"/>
          <w:u w:val="none"/>
        </w:rPr>
        <w:t>，</w:t>
      </w:r>
      <w:r>
        <w:rPr>
          <w:rFonts w:hint="default" w:ascii="Times New Roman" w:hAnsi="Times New Roman" w:eastAsia="宋体" w:cs="Times New Roman"/>
          <w:color w:val="auto"/>
          <w:kern w:val="0"/>
          <w:sz w:val="24"/>
          <w:szCs w:val="24"/>
          <w:highlight w:val="none"/>
          <w:u w:val="none"/>
        </w:rPr>
        <w:t>m</w:t>
      </w:r>
      <w:r>
        <w:rPr>
          <w:rFonts w:hint="default" w:ascii="Times New Roman" w:hAnsi="Times New Roman" w:eastAsia="宋体" w:cs="Times New Roman"/>
          <w:color w:val="auto"/>
          <w:kern w:val="0"/>
          <w:sz w:val="24"/>
          <w:szCs w:val="24"/>
          <w:highlight w:val="none"/>
          <w:u w:val="none"/>
          <w:vertAlign w:val="superscript"/>
        </w:rPr>
        <w:t>2</w:t>
      </w:r>
      <w:r>
        <w:rPr>
          <w:rFonts w:hint="default" w:ascii="Times New Roman" w:hAnsi="Times New Roman" w:eastAsia="宋体" w:cs="Times New Roman"/>
          <w:color w:val="auto"/>
          <w:kern w:val="0"/>
          <w:sz w:val="24"/>
          <w:szCs w:val="24"/>
          <w:highlight w:val="none"/>
          <w:u w:val="none"/>
        </w:rPr>
        <w:t>/d；</w:t>
      </w:r>
    </w:p>
    <w:p w14:paraId="712A5A3D">
      <w:pPr>
        <w:keepNext w:val="0"/>
        <w:keepLines w:val="0"/>
        <w:pageBreakBefore w:val="0"/>
        <w:widowControl/>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D</w:t>
      </w:r>
      <w:r>
        <w:rPr>
          <w:rFonts w:hint="default" w:ascii="Times New Roman" w:hAnsi="Times New Roman" w:eastAsia="宋体" w:cs="Times New Roman"/>
          <w:color w:val="auto"/>
          <w:kern w:val="0"/>
          <w:sz w:val="24"/>
          <w:szCs w:val="24"/>
          <w:highlight w:val="none"/>
          <w:u w:val="none"/>
          <w:vertAlign w:val="subscript"/>
        </w:rPr>
        <w:t>T</w:t>
      </w:r>
      <w:r>
        <w:rPr>
          <w:rFonts w:hint="default" w:ascii="Times New Roman" w:hAnsi="Times New Roman" w:eastAsia="宋体" w:cs="Times New Roman"/>
          <w:color w:val="auto"/>
          <w:kern w:val="0"/>
          <w:sz w:val="24"/>
          <w:szCs w:val="24"/>
          <w:highlight w:val="none"/>
          <w:u w:val="none"/>
        </w:rPr>
        <w:t>—横向y方向的弥散系数，m</w:t>
      </w:r>
      <w:r>
        <w:rPr>
          <w:rFonts w:hint="default" w:ascii="Times New Roman" w:hAnsi="Times New Roman" w:eastAsia="宋体" w:cs="Times New Roman"/>
          <w:color w:val="auto"/>
          <w:kern w:val="0"/>
          <w:sz w:val="24"/>
          <w:szCs w:val="24"/>
          <w:highlight w:val="none"/>
          <w:u w:val="none"/>
          <w:vertAlign w:val="superscript"/>
        </w:rPr>
        <w:t>2</w:t>
      </w:r>
      <w:r>
        <w:rPr>
          <w:rFonts w:hint="default" w:ascii="Times New Roman" w:hAnsi="Times New Roman" w:eastAsia="宋体" w:cs="Times New Roman"/>
          <w:color w:val="auto"/>
          <w:kern w:val="0"/>
          <w:sz w:val="24"/>
          <w:szCs w:val="24"/>
          <w:highlight w:val="none"/>
          <w:u w:val="none"/>
        </w:rPr>
        <w:t>/d；</w:t>
      </w:r>
    </w:p>
    <w:p w14:paraId="641FCFCC">
      <w:pPr>
        <w:keepNext w:val="0"/>
        <w:keepLines w:val="0"/>
        <w:pageBreakBefore w:val="0"/>
        <w:widowControl/>
        <w:tabs>
          <w:tab w:val="left" w:pos="1021"/>
        </w:tabs>
        <w:kinsoku/>
        <w:wordWrap/>
        <w:overflowPunct/>
        <w:topLinePunct w:val="0"/>
        <w:autoSpaceDE/>
        <w:autoSpaceDN/>
        <w:bidi w:val="0"/>
        <w:adjustRightInd/>
        <w:snapToGrid/>
        <w:spacing w:line="360" w:lineRule="auto"/>
        <w:ind w:left="0" w:leftChars="0" w:firstLine="1200" w:firstLineChars="500"/>
        <w:jc w:val="left"/>
        <w:textAlignment w:val="auto"/>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olor w:val="auto"/>
          <w:kern w:val="0"/>
          <w:sz w:val="24"/>
          <w:szCs w:val="24"/>
          <w:highlight w:val="none"/>
          <w:u w:val="none"/>
        </w:rPr>
        <w:t>π—圆周率。</w:t>
      </w:r>
    </w:p>
    <w:p w14:paraId="34706C01">
      <w:pPr>
        <w:rPr>
          <w:rFonts w:hint="default" w:ascii="Times New Roman" w:hAnsi="Times New Roman" w:cs="Times New Roman"/>
          <w:color w:val="auto"/>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rPr>
        <w:t>模型需要的参数有：含水层厚度M；外泄污染物质量m；土层的有效孔隙度n</w:t>
      </w:r>
      <w:r>
        <w:rPr>
          <w:rFonts w:hint="default" w:ascii="Times New Roman" w:hAnsi="Times New Roman" w:eastAsia="宋体" w:cs="Times New Roman"/>
          <w:color w:val="auto"/>
          <w:kern w:val="0"/>
          <w:sz w:val="24"/>
          <w:szCs w:val="24"/>
          <w:highlight w:val="none"/>
          <w:u w:val="none"/>
          <w:vertAlign w:val="subscript"/>
        </w:rPr>
        <w:t>e</w:t>
      </w:r>
      <w:r>
        <w:rPr>
          <w:rFonts w:hint="default" w:ascii="Times New Roman" w:hAnsi="Times New Roman" w:eastAsia="宋体" w:cs="Times New Roman"/>
          <w:color w:val="auto"/>
          <w:kern w:val="0"/>
          <w:sz w:val="24"/>
          <w:szCs w:val="24"/>
          <w:highlight w:val="none"/>
          <w:u w:val="none"/>
        </w:rPr>
        <w:t>；水流的实际平均速度u；污染物在土层中的纵向弥散系数。这些参数主要由现场调查、水文地质试验或类比相同土层的成果资料确定。</w:t>
      </w:r>
    </w:p>
    <w:p w14:paraId="4AF289C4">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a.水层的厚度M</w:t>
      </w:r>
    </w:p>
    <w:p w14:paraId="23B681FB">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现场实地调查，非正常状况下受到污染的地下水为松散岩类孔隙水，主要含水层为细砂，根据本次工程勘察工作可知，含水层顶平均数作为计算参数，根据《平江县三阳乡万古村万古水库周边历史遗留重金属废渣整治项目详细勘察报告》，目前完成钻孔揭露该层层厚为1.50~9.90m。因此本次预测场地内潜水含水层厚度M为10m。</w:t>
      </w:r>
    </w:p>
    <w:p w14:paraId="7EB5735C">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b.土层的有效孔隙度n</w:t>
      </w:r>
      <w:r>
        <w:rPr>
          <w:rFonts w:hint="default" w:ascii="Times New Roman" w:hAnsi="Times New Roman" w:cs="Times New Roman"/>
          <w:sz w:val="24"/>
          <w:szCs w:val="24"/>
          <w:highlight w:val="none"/>
          <w:u w:val="none"/>
          <w:vertAlign w:val="subscript"/>
          <w:lang w:val="en-US" w:eastAsia="zh-CN"/>
        </w:rPr>
        <w:t>e</w:t>
      </w:r>
    </w:p>
    <w:p w14:paraId="13CCC370">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根据相关经验系数，细沙有效孔隙度为0.3。</w:t>
      </w:r>
    </w:p>
    <w:p w14:paraId="7444117F">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c.地下水平均流速</w:t>
      </w:r>
    </w:p>
    <w:p w14:paraId="491F3A65">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项目场地含水层地下水流速按最不利情况狭窄集中型考虑为0.0003m/d。</w:t>
      </w:r>
    </w:p>
    <w:p w14:paraId="647B95F1">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d.弥散系数</w:t>
      </w:r>
    </w:p>
    <w:p w14:paraId="2498F513">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弥散系数是污染物溶质运移的关键参数，地质介质中溶质运移主要受渗透系数在空间上变化的制约，即地质介质的结构影响。这一空间上变化影响到地下水流速，从而影响到溶质的对流与弥散。考虑到弥散系数的尺度效应问题，参考孔隙介质解析模型，结合本次评价的模型研究尺度大小，综合确定弥散度的取值应介于1~10之间，按照偏保守的评价原则，本次计算弥散度取10，由此计算项目场地内的纵向弥散系数：</w:t>
      </w:r>
    </w:p>
    <w:p w14:paraId="1FAC225C">
      <w:pPr>
        <w:spacing w:line="240" w:lineRule="auto"/>
        <w:ind w:left="0" w:leftChars="0" w:firstLine="0" w:firstLineChars="0"/>
        <w:jc w:val="center"/>
        <w:rPr>
          <w:rFonts w:hint="default" w:ascii="Times New Roman" w:hAnsi="Times New Roman" w:cs="Times New Roman"/>
          <w:sz w:val="24"/>
          <w:szCs w:val="24"/>
          <w:highlight w:val="none"/>
          <w:u w:val="none"/>
          <w:lang w:val="en-US" w:eastAsia="zh-CN"/>
        </w:rPr>
      </w:pPr>
      <w:r>
        <w:rPr>
          <w:rFonts w:hint="default" w:ascii="Times New Roman" w:hAnsi="Times New Roman" w:eastAsia="宋体" w:cs="Times New Roman"/>
          <w:color w:val="000000"/>
          <w:kern w:val="20"/>
          <w:sz w:val="24"/>
          <w:szCs w:val="24"/>
          <w:highlight w:val="none"/>
          <w:u w:val="none"/>
        </w:rPr>
        <w:drawing>
          <wp:inline distT="0" distB="0" distL="114300" distR="114300">
            <wp:extent cx="758825" cy="215900"/>
            <wp:effectExtent l="0" t="0" r="3175" b="0"/>
            <wp:docPr id="18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1"/>
                    <pic:cNvPicPr>
                      <a:picLocks noChangeAspect="1"/>
                    </pic:cNvPicPr>
                  </pic:nvPicPr>
                  <pic:blipFill>
                    <a:blip r:embed="rId117">
                      <a:clrChange>
                        <a:clrFrom>
                          <a:srgbClr val="FFFFFF"/>
                        </a:clrFrom>
                        <a:clrTo>
                          <a:srgbClr val="FFFFFF">
                            <a:alpha val="0"/>
                          </a:srgbClr>
                        </a:clrTo>
                      </a:clrChange>
                    </a:blip>
                    <a:stretch>
                      <a:fillRect/>
                    </a:stretch>
                  </pic:blipFill>
                  <pic:spPr>
                    <a:xfrm>
                      <a:off x="0" y="0"/>
                      <a:ext cx="758825" cy="215900"/>
                    </a:xfrm>
                    <a:prstGeom prst="rect">
                      <a:avLst/>
                    </a:prstGeom>
                    <a:noFill/>
                    <a:ln>
                      <a:noFill/>
                    </a:ln>
                  </pic:spPr>
                </pic:pic>
              </a:graphicData>
            </a:graphic>
          </wp:inline>
        </w:drawing>
      </w:r>
    </w:p>
    <w:p w14:paraId="023EBFCC">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式中：</w:t>
      </w:r>
    </w:p>
    <w:p w14:paraId="457AF381">
      <w:pPr>
        <w:ind w:firstLine="960" w:firstLineChars="40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D</w:t>
      </w:r>
      <w:r>
        <w:rPr>
          <w:rFonts w:hint="default" w:ascii="Times New Roman" w:hAnsi="Times New Roman" w:cs="Times New Roman"/>
          <w:sz w:val="24"/>
          <w:szCs w:val="24"/>
          <w:highlight w:val="none"/>
          <w:u w:val="none"/>
          <w:vertAlign w:val="subscript"/>
          <w:lang w:val="en-US" w:eastAsia="zh-CN"/>
        </w:rPr>
        <w:t>L</w:t>
      </w:r>
      <w:r>
        <w:rPr>
          <w:rFonts w:hint="default" w:ascii="Times New Roman" w:hAnsi="Times New Roman" w:cs="Times New Roman"/>
          <w:sz w:val="24"/>
          <w:szCs w:val="24"/>
          <w:highlight w:val="none"/>
          <w:u w:val="none"/>
          <w:lang w:val="en-US" w:eastAsia="zh-CN"/>
        </w:rPr>
        <w:t>—土层中的纵向弥散系数（m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/d）；</w:t>
      </w:r>
    </w:p>
    <w:p w14:paraId="5B713A1E">
      <w:pPr>
        <w:ind w:firstLine="960" w:firstLineChars="40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α</w:t>
      </w:r>
      <w:r>
        <w:rPr>
          <w:rFonts w:hint="default" w:ascii="Times New Roman" w:hAnsi="Times New Roman" w:cs="Times New Roman"/>
          <w:sz w:val="24"/>
          <w:szCs w:val="24"/>
          <w:highlight w:val="none"/>
          <w:u w:val="none"/>
          <w:vertAlign w:val="subscript"/>
          <w:lang w:val="en-US" w:eastAsia="zh-CN"/>
        </w:rPr>
        <w:t>L</w:t>
      </w:r>
      <w:r>
        <w:rPr>
          <w:rFonts w:hint="default" w:ascii="Times New Roman" w:hAnsi="Times New Roman" w:cs="Times New Roman"/>
          <w:sz w:val="24"/>
          <w:szCs w:val="24"/>
          <w:highlight w:val="none"/>
          <w:u w:val="none"/>
          <w:lang w:val="en-US" w:eastAsia="zh-CN"/>
        </w:rPr>
        <w:t>—土层中的弥散度（m）；</w:t>
      </w:r>
    </w:p>
    <w:p w14:paraId="19822E64">
      <w:pPr>
        <w:ind w:firstLine="960" w:firstLineChars="40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u—土层中的地下水的流速（m/d）。</w:t>
      </w:r>
    </w:p>
    <w:p w14:paraId="29624680">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按照上式计算可得场地的纵向弥散系数D</w:t>
      </w:r>
      <w:r>
        <w:rPr>
          <w:rFonts w:hint="default" w:ascii="Times New Roman" w:hAnsi="Times New Roman" w:cs="Times New Roman"/>
          <w:sz w:val="24"/>
          <w:szCs w:val="24"/>
          <w:highlight w:val="none"/>
          <w:u w:val="none"/>
          <w:vertAlign w:val="subscript"/>
          <w:lang w:val="en-US" w:eastAsia="zh-CN"/>
        </w:rPr>
        <w:t>L</w:t>
      </w:r>
      <w:r>
        <w:rPr>
          <w:rFonts w:hint="default" w:ascii="Times New Roman" w:hAnsi="Times New Roman" w:cs="Times New Roman"/>
          <w:sz w:val="24"/>
          <w:szCs w:val="24"/>
          <w:highlight w:val="none"/>
          <w:u w:val="none"/>
          <w:lang w:val="en-US" w:eastAsia="zh-CN"/>
        </w:rPr>
        <w:t>=0.003m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/d。</w:t>
      </w:r>
    </w:p>
    <w:p w14:paraId="35FA179E">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e.横向弥散系数D</w:t>
      </w:r>
      <w:r>
        <w:rPr>
          <w:rFonts w:hint="default" w:ascii="Times New Roman" w:hAnsi="Times New Roman" w:cs="Times New Roman"/>
          <w:sz w:val="24"/>
          <w:szCs w:val="24"/>
          <w:highlight w:val="none"/>
          <w:u w:val="none"/>
          <w:vertAlign w:val="subscript"/>
          <w:lang w:val="en-US" w:eastAsia="zh-CN"/>
        </w:rPr>
        <w:t>T</w:t>
      </w:r>
    </w:p>
    <w:p w14:paraId="16850FD6">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根据经验，横向弥散系数是纵向弥散系数的比值为0.1，因此D</w:t>
      </w:r>
      <w:r>
        <w:rPr>
          <w:rFonts w:hint="default" w:ascii="Times New Roman" w:hAnsi="Times New Roman" w:cs="Times New Roman"/>
          <w:sz w:val="24"/>
          <w:szCs w:val="24"/>
          <w:highlight w:val="none"/>
          <w:u w:val="none"/>
          <w:vertAlign w:val="subscript"/>
          <w:lang w:val="en-US" w:eastAsia="zh-CN"/>
        </w:rPr>
        <w:t>T</w:t>
      </w:r>
      <w:r>
        <w:rPr>
          <w:rFonts w:hint="default" w:ascii="Times New Roman" w:hAnsi="Times New Roman" w:cs="Times New Roman"/>
          <w:sz w:val="24"/>
          <w:szCs w:val="24"/>
          <w:highlight w:val="none"/>
          <w:u w:val="none"/>
          <w:lang w:val="en-US" w:eastAsia="zh-CN"/>
        </w:rPr>
        <w:t>=0.0003m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/d。</w:t>
      </w:r>
    </w:p>
    <w:p w14:paraId="1A9CC7DC">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f.参数统计</w:t>
      </w:r>
    </w:p>
    <w:p w14:paraId="08DDC577">
      <w:pPr>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highlight w:val="none"/>
          <w:u w:val="none"/>
          <w:lang w:val="en-US" w:eastAsia="zh-CN"/>
        </w:rPr>
        <w:t>根据上述求得的各参数，估算结果如下表所示。</w:t>
      </w:r>
    </w:p>
    <w:p w14:paraId="091A36CA">
      <w:pPr>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表5.2-1  地下水影响预测取值参数</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764"/>
        <w:gridCol w:w="810"/>
        <w:gridCol w:w="1486"/>
        <w:gridCol w:w="1201"/>
        <w:gridCol w:w="1242"/>
        <w:gridCol w:w="1254"/>
        <w:gridCol w:w="821"/>
      </w:tblGrid>
      <w:tr w14:paraId="091EFA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0" w:type="pct"/>
            <w:tcBorders>
              <w:top w:val="single" w:color="auto" w:sz="12" w:space="0"/>
              <w:left w:val="single" w:color="auto" w:sz="12" w:space="0"/>
              <w:bottom w:val="single" w:color="auto" w:sz="4" w:space="0"/>
              <w:right w:val="single" w:color="auto" w:sz="4" w:space="0"/>
            </w:tcBorders>
            <w:noWrap w:val="0"/>
            <w:vAlign w:val="center"/>
          </w:tcPr>
          <w:p w14:paraId="145CD67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参数</w:t>
            </w:r>
          </w:p>
        </w:tc>
        <w:tc>
          <w:tcPr>
            <w:tcW w:w="950" w:type="pct"/>
            <w:tcBorders>
              <w:top w:val="single" w:color="auto" w:sz="12" w:space="0"/>
              <w:left w:val="single" w:color="auto" w:sz="4" w:space="0"/>
              <w:bottom w:val="single" w:color="auto" w:sz="4" w:space="0"/>
              <w:right w:val="single" w:color="auto" w:sz="4" w:space="0"/>
            </w:tcBorders>
            <w:noWrap w:val="0"/>
            <w:vAlign w:val="center"/>
          </w:tcPr>
          <w:p w14:paraId="625883C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m</w:t>
            </w:r>
            <w:r>
              <w:rPr>
                <w:rFonts w:hint="default" w:ascii="Times New Roman" w:hAnsi="Times New Roman" w:cs="Times New Roman"/>
                <w:b/>
                <w:bCs/>
                <w:sz w:val="21"/>
                <w:szCs w:val="21"/>
                <w:highlight w:val="none"/>
                <w:u w:val="none"/>
                <w:vertAlign w:val="subscript"/>
                <w:lang w:val="en-US" w:eastAsia="zh-CN"/>
              </w:rPr>
              <w:t>M</w:t>
            </w:r>
          </w:p>
        </w:tc>
        <w:tc>
          <w:tcPr>
            <w:tcW w:w="436" w:type="pct"/>
            <w:tcBorders>
              <w:top w:val="single" w:color="auto" w:sz="12" w:space="0"/>
              <w:left w:val="single" w:color="auto" w:sz="4" w:space="0"/>
              <w:bottom w:val="single" w:color="auto" w:sz="4" w:space="0"/>
              <w:right w:val="single" w:color="auto" w:sz="4" w:space="0"/>
            </w:tcBorders>
            <w:noWrap w:val="0"/>
            <w:vAlign w:val="center"/>
          </w:tcPr>
          <w:p w14:paraId="6827E4D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M</w:t>
            </w:r>
          </w:p>
        </w:tc>
        <w:tc>
          <w:tcPr>
            <w:tcW w:w="800" w:type="pct"/>
            <w:tcBorders>
              <w:top w:val="single" w:color="auto" w:sz="12" w:space="0"/>
              <w:left w:val="single" w:color="auto" w:sz="4" w:space="0"/>
              <w:bottom w:val="single" w:color="auto" w:sz="4" w:space="0"/>
              <w:right w:val="single" w:color="auto" w:sz="4" w:space="0"/>
            </w:tcBorders>
            <w:noWrap w:val="0"/>
            <w:vAlign w:val="center"/>
          </w:tcPr>
          <w:p w14:paraId="5FF19CE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n</w:t>
            </w:r>
          </w:p>
        </w:tc>
        <w:tc>
          <w:tcPr>
            <w:tcW w:w="646" w:type="pct"/>
            <w:tcBorders>
              <w:top w:val="single" w:color="auto" w:sz="12" w:space="0"/>
              <w:left w:val="single" w:color="auto" w:sz="4" w:space="0"/>
              <w:bottom w:val="single" w:color="auto" w:sz="4" w:space="0"/>
              <w:right w:val="single" w:color="auto" w:sz="4" w:space="0"/>
            </w:tcBorders>
            <w:noWrap w:val="0"/>
            <w:vAlign w:val="center"/>
          </w:tcPr>
          <w:p w14:paraId="40761D6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u</w:t>
            </w:r>
          </w:p>
        </w:tc>
        <w:tc>
          <w:tcPr>
            <w:tcW w:w="668" w:type="pct"/>
            <w:tcBorders>
              <w:top w:val="single" w:color="auto" w:sz="12" w:space="0"/>
              <w:left w:val="single" w:color="auto" w:sz="4" w:space="0"/>
              <w:bottom w:val="single" w:color="auto" w:sz="4" w:space="0"/>
              <w:right w:val="single" w:color="auto" w:sz="4" w:space="0"/>
            </w:tcBorders>
            <w:noWrap w:val="0"/>
            <w:vAlign w:val="center"/>
          </w:tcPr>
          <w:p w14:paraId="69BA0AB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D</w:t>
            </w:r>
            <w:r>
              <w:rPr>
                <w:rFonts w:hint="default" w:ascii="Times New Roman" w:hAnsi="Times New Roman" w:cs="Times New Roman"/>
                <w:b/>
                <w:bCs/>
                <w:sz w:val="21"/>
                <w:szCs w:val="21"/>
                <w:highlight w:val="none"/>
                <w:u w:val="none"/>
                <w:vertAlign w:val="subscript"/>
                <w:lang w:val="en-US" w:eastAsia="zh-CN"/>
              </w:rPr>
              <w:t>L</w:t>
            </w:r>
          </w:p>
        </w:tc>
        <w:tc>
          <w:tcPr>
            <w:tcW w:w="675" w:type="pct"/>
            <w:tcBorders>
              <w:top w:val="single" w:color="auto" w:sz="12" w:space="0"/>
              <w:left w:val="single" w:color="auto" w:sz="4" w:space="0"/>
              <w:bottom w:val="single" w:color="auto" w:sz="4" w:space="0"/>
              <w:right w:val="single" w:color="auto" w:sz="4" w:space="0"/>
            </w:tcBorders>
            <w:noWrap w:val="0"/>
            <w:vAlign w:val="center"/>
          </w:tcPr>
          <w:p w14:paraId="3393E38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D</w:t>
            </w:r>
            <w:r>
              <w:rPr>
                <w:rFonts w:hint="default" w:ascii="Times New Roman" w:hAnsi="Times New Roman" w:cs="Times New Roman"/>
                <w:b/>
                <w:bCs/>
                <w:sz w:val="21"/>
                <w:szCs w:val="21"/>
                <w:highlight w:val="none"/>
                <w:u w:val="none"/>
                <w:vertAlign w:val="subscript"/>
                <w:lang w:val="en-US" w:eastAsia="zh-CN"/>
              </w:rPr>
              <w:t>T</w:t>
            </w:r>
          </w:p>
        </w:tc>
        <w:tc>
          <w:tcPr>
            <w:tcW w:w="442" w:type="pct"/>
            <w:tcBorders>
              <w:top w:val="single" w:color="auto" w:sz="12" w:space="0"/>
              <w:left w:val="single" w:color="auto" w:sz="4" w:space="0"/>
              <w:bottom w:val="single" w:color="auto" w:sz="4" w:space="0"/>
              <w:right w:val="single" w:color="auto" w:sz="12" w:space="0"/>
            </w:tcBorders>
            <w:noWrap w:val="0"/>
            <w:vAlign w:val="center"/>
          </w:tcPr>
          <w:p w14:paraId="049E866F">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π</w:t>
            </w:r>
          </w:p>
        </w:tc>
      </w:tr>
      <w:tr w14:paraId="3E1C53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0" w:type="pct"/>
            <w:tcBorders>
              <w:top w:val="single" w:color="auto" w:sz="4" w:space="0"/>
              <w:left w:val="single" w:color="auto" w:sz="12" w:space="0"/>
              <w:bottom w:val="single" w:color="auto" w:sz="12" w:space="0"/>
              <w:right w:val="single" w:color="auto" w:sz="4" w:space="0"/>
            </w:tcBorders>
            <w:noWrap w:val="0"/>
            <w:vAlign w:val="center"/>
          </w:tcPr>
          <w:p w14:paraId="6AAD77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取值</w:t>
            </w:r>
          </w:p>
        </w:tc>
        <w:tc>
          <w:tcPr>
            <w:tcW w:w="950" w:type="pct"/>
            <w:tcBorders>
              <w:top w:val="single" w:color="auto" w:sz="4" w:space="0"/>
              <w:left w:val="single" w:color="auto" w:sz="4" w:space="0"/>
              <w:bottom w:val="single" w:color="auto" w:sz="12" w:space="0"/>
              <w:right w:val="single" w:color="auto" w:sz="4" w:space="0"/>
            </w:tcBorders>
            <w:noWrap w:val="0"/>
            <w:vAlign w:val="center"/>
          </w:tcPr>
          <w:p w14:paraId="33C034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砷：0.032kg</w:t>
            </w:r>
          </w:p>
          <w:p w14:paraId="63B59B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锌：0.0059kg</w:t>
            </w:r>
          </w:p>
          <w:p w14:paraId="3A71AA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镍：0.00035kg</w:t>
            </w:r>
          </w:p>
          <w:p w14:paraId="40133C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铬：0.00035kg</w:t>
            </w:r>
          </w:p>
        </w:tc>
        <w:tc>
          <w:tcPr>
            <w:tcW w:w="436" w:type="pct"/>
            <w:tcBorders>
              <w:top w:val="single" w:color="auto" w:sz="4" w:space="0"/>
              <w:left w:val="single" w:color="auto" w:sz="4" w:space="0"/>
              <w:bottom w:val="single" w:color="auto" w:sz="12" w:space="0"/>
              <w:right w:val="single" w:color="auto" w:sz="4" w:space="0"/>
            </w:tcBorders>
            <w:noWrap w:val="0"/>
            <w:vAlign w:val="center"/>
          </w:tcPr>
          <w:p w14:paraId="5C325EB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10</w:t>
            </w:r>
          </w:p>
        </w:tc>
        <w:tc>
          <w:tcPr>
            <w:tcW w:w="800" w:type="pct"/>
            <w:tcBorders>
              <w:top w:val="single" w:color="auto" w:sz="4" w:space="0"/>
              <w:left w:val="single" w:color="auto" w:sz="4" w:space="0"/>
              <w:bottom w:val="single" w:color="auto" w:sz="12" w:space="0"/>
              <w:right w:val="single" w:color="auto" w:sz="4" w:space="0"/>
            </w:tcBorders>
            <w:noWrap w:val="0"/>
            <w:vAlign w:val="center"/>
          </w:tcPr>
          <w:p w14:paraId="0F3C6D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0.3（无量纲）</w:t>
            </w:r>
          </w:p>
        </w:tc>
        <w:tc>
          <w:tcPr>
            <w:tcW w:w="646" w:type="pct"/>
            <w:tcBorders>
              <w:top w:val="single" w:color="auto" w:sz="4" w:space="0"/>
              <w:left w:val="single" w:color="auto" w:sz="4" w:space="0"/>
              <w:bottom w:val="single" w:color="auto" w:sz="12" w:space="0"/>
              <w:right w:val="single" w:color="auto" w:sz="4" w:space="0"/>
            </w:tcBorders>
            <w:noWrap w:val="0"/>
            <w:vAlign w:val="center"/>
          </w:tcPr>
          <w:p w14:paraId="02C1B8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0.000</w:t>
            </w:r>
            <w:r>
              <w:rPr>
                <w:rFonts w:hint="eastAsia"/>
                <w:sz w:val="21"/>
                <w:szCs w:val="21"/>
                <w:highlight w:val="none"/>
                <w:u w:val="none"/>
                <w:vertAlign w:val="baseline"/>
                <w:lang w:val="en-US" w:eastAsia="zh-CN"/>
              </w:rPr>
              <w:t>3</w:t>
            </w:r>
            <w:r>
              <w:rPr>
                <w:rFonts w:hint="eastAsia"/>
                <w:sz w:val="21"/>
                <w:szCs w:val="21"/>
                <w:highlight w:val="none"/>
                <w:u w:val="none"/>
                <w:lang w:val="en-US" w:eastAsia="zh-CN"/>
              </w:rPr>
              <w:t>m/d</w:t>
            </w:r>
          </w:p>
        </w:tc>
        <w:tc>
          <w:tcPr>
            <w:tcW w:w="668" w:type="pct"/>
            <w:tcBorders>
              <w:top w:val="single" w:color="auto" w:sz="4" w:space="0"/>
              <w:left w:val="single" w:color="auto" w:sz="4" w:space="0"/>
              <w:bottom w:val="single" w:color="auto" w:sz="12" w:space="0"/>
              <w:right w:val="single" w:color="auto" w:sz="4" w:space="0"/>
            </w:tcBorders>
            <w:noWrap w:val="0"/>
            <w:vAlign w:val="center"/>
          </w:tcPr>
          <w:p w14:paraId="75F9FA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0.003m</w:t>
            </w:r>
            <w:r>
              <w:rPr>
                <w:rFonts w:hint="eastAsia"/>
                <w:sz w:val="21"/>
                <w:szCs w:val="21"/>
                <w:highlight w:val="none"/>
                <w:u w:val="none"/>
                <w:vertAlign w:val="superscript"/>
                <w:lang w:val="en-US" w:eastAsia="zh-CN"/>
              </w:rPr>
              <w:t>2</w:t>
            </w:r>
            <w:r>
              <w:rPr>
                <w:rFonts w:hint="eastAsia"/>
                <w:sz w:val="21"/>
                <w:szCs w:val="21"/>
                <w:highlight w:val="none"/>
                <w:u w:val="none"/>
                <w:lang w:val="en-US" w:eastAsia="zh-CN"/>
              </w:rPr>
              <w:t>/d</w:t>
            </w:r>
          </w:p>
        </w:tc>
        <w:tc>
          <w:tcPr>
            <w:tcW w:w="675" w:type="pct"/>
            <w:tcBorders>
              <w:top w:val="single" w:color="auto" w:sz="4" w:space="0"/>
              <w:left w:val="single" w:color="auto" w:sz="4" w:space="0"/>
              <w:bottom w:val="single" w:color="auto" w:sz="12" w:space="0"/>
              <w:right w:val="single" w:color="auto" w:sz="4" w:space="0"/>
            </w:tcBorders>
            <w:noWrap w:val="0"/>
            <w:vAlign w:val="center"/>
          </w:tcPr>
          <w:p w14:paraId="48AA5CA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0.0003m</w:t>
            </w:r>
            <w:r>
              <w:rPr>
                <w:rFonts w:hint="eastAsia"/>
                <w:sz w:val="21"/>
                <w:szCs w:val="21"/>
                <w:highlight w:val="none"/>
                <w:u w:val="none"/>
                <w:vertAlign w:val="superscript"/>
                <w:lang w:val="en-US" w:eastAsia="zh-CN"/>
              </w:rPr>
              <w:t>2</w:t>
            </w:r>
            <w:r>
              <w:rPr>
                <w:rFonts w:hint="eastAsia"/>
                <w:sz w:val="21"/>
                <w:szCs w:val="21"/>
                <w:highlight w:val="none"/>
                <w:u w:val="none"/>
                <w:lang w:val="en-US" w:eastAsia="zh-CN"/>
              </w:rPr>
              <w:t>/d</w:t>
            </w:r>
          </w:p>
        </w:tc>
        <w:tc>
          <w:tcPr>
            <w:tcW w:w="442" w:type="pct"/>
            <w:tcBorders>
              <w:top w:val="single" w:color="auto" w:sz="4" w:space="0"/>
              <w:left w:val="single" w:color="auto" w:sz="4" w:space="0"/>
              <w:bottom w:val="single" w:color="auto" w:sz="12" w:space="0"/>
              <w:right w:val="single" w:color="auto" w:sz="12" w:space="0"/>
            </w:tcBorders>
            <w:noWrap w:val="0"/>
            <w:vAlign w:val="center"/>
          </w:tcPr>
          <w:p w14:paraId="54C0B34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3.14</w:t>
            </w:r>
          </w:p>
        </w:tc>
      </w:tr>
    </w:tbl>
    <w:p w14:paraId="10760D29">
      <w:pPr>
        <w:bidi w:val="0"/>
        <w:rPr>
          <w:rFonts w:hint="eastAsia"/>
          <w:sz w:val="24"/>
          <w:szCs w:val="24"/>
          <w:highlight w:val="none"/>
          <w:u w:val="none"/>
          <w:lang w:val="en-US" w:eastAsia="zh-CN"/>
        </w:rPr>
      </w:pPr>
      <w:r>
        <w:rPr>
          <w:rFonts w:hint="eastAsia"/>
          <w:sz w:val="24"/>
          <w:szCs w:val="24"/>
          <w:highlight w:val="none"/>
          <w:u w:val="none"/>
          <w:lang w:val="en-US" w:eastAsia="zh-CN"/>
        </w:rPr>
        <w:t>采用固定时间、不同距离泄漏混合液体浓度预测，预测时段为污染发生后10d、50d、100d、365d、500d、1000d，最近距离为0m、最远距离为1000m，预测结果见下表。</w:t>
      </w:r>
    </w:p>
    <w:p w14:paraId="5E954D3A">
      <w:pPr>
        <w:bidi w:val="0"/>
        <w:rPr>
          <w:rFonts w:hint="default"/>
          <w:sz w:val="24"/>
          <w:szCs w:val="24"/>
          <w:highlight w:val="none"/>
          <w:u w:val="none"/>
          <w:lang w:val="en-US" w:eastAsia="zh-CN"/>
        </w:rPr>
      </w:pPr>
      <w:r>
        <w:rPr>
          <w:rFonts w:hint="default"/>
          <w:sz w:val="24"/>
          <w:szCs w:val="24"/>
          <w:highlight w:val="none"/>
          <w:u w:val="none"/>
          <w:lang w:val="en-US" w:eastAsia="zh-CN"/>
        </w:rPr>
        <w:t>本项目所在区域地下水水质类别为</w:t>
      </w:r>
      <w:r>
        <w:rPr>
          <w:rFonts w:hint="eastAsia" w:ascii="宋体" w:hAnsi="宋体" w:eastAsia="宋体" w:cs="宋体"/>
          <w:sz w:val="24"/>
          <w:szCs w:val="24"/>
          <w:highlight w:val="none"/>
          <w:u w:val="none"/>
          <w:lang w:val="en-US" w:eastAsia="zh-CN"/>
        </w:rPr>
        <w:t>Ⅲ</w:t>
      </w:r>
      <w:r>
        <w:rPr>
          <w:rFonts w:hint="default"/>
          <w:sz w:val="24"/>
          <w:szCs w:val="24"/>
          <w:highlight w:val="none"/>
          <w:u w:val="none"/>
          <w:lang w:val="en-US" w:eastAsia="zh-CN"/>
        </w:rPr>
        <w:t>类</w:t>
      </w:r>
      <w:r>
        <w:rPr>
          <w:rFonts w:hint="eastAsia"/>
          <w:sz w:val="24"/>
          <w:szCs w:val="24"/>
          <w:highlight w:val="none"/>
          <w:u w:val="none"/>
          <w:lang w:val="en-US" w:eastAsia="zh-CN"/>
        </w:rPr>
        <w:t>，</w:t>
      </w:r>
      <w:r>
        <w:rPr>
          <w:rFonts w:hint="default"/>
          <w:sz w:val="24"/>
          <w:szCs w:val="24"/>
          <w:highlight w:val="none"/>
          <w:u w:val="none"/>
          <w:lang w:val="en-US" w:eastAsia="zh-CN"/>
        </w:rPr>
        <w:t>需执行《地下水质量标准》（GB/T14848-2017）</w:t>
      </w:r>
      <w:r>
        <w:rPr>
          <w:rFonts w:hint="eastAsia" w:ascii="宋体" w:hAnsi="宋体" w:eastAsia="宋体" w:cs="宋体"/>
          <w:sz w:val="24"/>
          <w:szCs w:val="24"/>
          <w:highlight w:val="none"/>
          <w:u w:val="none"/>
          <w:lang w:val="en-US" w:eastAsia="zh-CN"/>
        </w:rPr>
        <w:t>Ⅲ</w:t>
      </w:r>
      <w:r>
        <w:rPr>
          <w:rFonts w:hint="default"/>
          <w:sz w:val="24"/>
          <w:szCs w:val="24"/>
          <w:highlight w:val="none"/>
          <w:u w:val="none"/>
          <w:lang w:val="en-US" w:eastAsia="zh-CN"/>
        </w:rPr>
        <w:t>类水质标准，鉴于《地下水质量标准》（GB/T14848-2017）中</w:t>
      </w:r>
      <w:r>
        <w:rPr>
          <w:rFonts w:hint="eastAsia" w:ascii="宋体" w:hAnsi="宋体" w:eastAsia="宋体" w:cs="宋体"/>
          <w:sz w:val="24"/>
          <w:szCs w:val="24"/>
          <w:highlight w:val="none"/>
          <w:u w:val="none"/>
          <w:lang w:val="en-US" w:eastAsia="zh-CN"/>
        </w:rPr>
        <w:t>Ⅲ</w:t>
      </w:r>
      <w:r>
        <w:rPr>
          <w:rFonts w:hint="default"/>
          <w:sz w:val="24"/>
          <w:szCs w:val="24"/>
          <w:highlight w:val="none"/>
          <w:u w:val="none"/>
          <w:lang w:val="en-US" w:eastAsia="zh-CN"/>
        </w:rPr>
        <w:t>类水质为标准值均为大于值，因此本次评价按地下水水质中污染物浓度满足</w:t>
      </w:r>
      <w:r>
        <w:rPr>
          <w:rFonts w:hint="eastAsia" w:ascii="宋体" w:hAnsi="宋体" w:eastAsia="宋体" w:cs="宋体"/>
          <w:sz w:val="24"/>
          <w:szCs w:val="24"/>
          <w:highlight w:val="none"/>
          <w:u w:val="none"/>
          <w:lang w:val="en-US" w:eastAsia="zh-CN"/>
        </w:rPr>
        <w:t>Ⅲ</w:t>
      </w:r>
      <w:r>
        <w:rPr>
          <w:rFonts w:hint="default"/>
          <w:sz w:val="24"/>
          <w:szCs w:val="24"/>
          <w:highlight w:val="none"/>
          <w:u w:val="none"/>
          <w:lang w:val="en-US" w:eastAsia="zh-CN"/>
        </w:rPr>
        <w:t>类标准时，视为不对地下水造成污染；《地下水质量标准》（GB/T14848-2017）</w:t>
      </w:r>
      <w:r>
        <w:rPr>
          <w:rFonts w:hint="eastAsia"/>
          <w:sz w:val="24"/>
          <w:szCs w:val="24"/>
          <w:highlight w:val="none"/>
          <w:u w:val="none"/>
          <w:lang w:val="en-US" w:eastAsia="zh-CN"/>
        </w:rPr>
        <w:t>中</w:t>
      </w:r>
      <w:r>
        <w:rPr>
          <w:rFonts w:hint="eastAsia" w:ascii="宋体" w:hAnsi="宋体" w:eastAsia="宋体" w:cs="宋体"/>
          <w:sz w:val="24"/>
          <w:szCs w:val="24"/>
          <w:highlight w:val="none"/>
          <w:u w:val="none"/>
          <w:lang w:val="en-US" w:eastAsia="zh-CN"/>
        </w:rPr>
        <w:t>Ⅲ</w:t>
      </w:r>
      <w:r>
        <w:rPr>
          <w:rFonts w:hint="default"/>
          <w:sz w:val="24"/>
          <w:szCs w:val="24"/>
          <w:highlight w:val="none"/>
          <w:u w:val="none"/>
          <w:lang w:val="en-US" w:eastAsia="zh-CN"/>
        </w:rPr>
        <w:t>类标准中砷限值为≤0.01mg/L、锌限值为≤1.0mg/L、镍≤0.02mg/L、铬≤0.05mg/</w:t>
      </w:r>
      <w:r>
        <w:rPr>
          <w:rFonts w:hint="eastAsia"/>
          <w:sz w:val="24"/>
          <w:szCs w:val="24"/>
          <w:highlight w:val="none"/>
          <w:u w:val="none"/>
          <w:lang w:val="en-US" w:eastAsia="zh-CN"/>
        </w:rPr>
        <w:t>L</w:t>
      </w:r>
      <w:r>
        <w:rPr>
          <w:rFonts w:hint="default"/>
          <w:sz w:val="24"/>
          <w:szCs w:val="24"/>
          <w:highlight w:val="none"/>
          <w:u w:val="none"/>
          <w:lang w:val="en-US" w:eastAsia="zh-CN"/>
        </w:rPr>
        <w:t>。</w:t>
      </w:r>
    </w:p>
    <w:p w14:paraId="01F45575">
      <w:pPr>
        <w:spacing w:line="240" w:lineRule="auto"/>
        <w:ind w:left="0" w:leftChars="0" w:firstLine="0" w:firstLineChars="0"/>
        <w:jc w:val="center"/>
        <w:rPr>
          <w:rFonts w:hint="default"/>
          <w:b/>
          <w:bCs/>
          <w:sz w:val="21"/>
          <w:szCs w:val="21"/>
          <w:highlight w:val="none"/>
          <w:u w:val="none"/>
          <w:lang w:val="en-US" w:eastAsia="zh-CN"/>
        </w:rPr>
      </w:pPr>
      <w:r>
        <w:rPr>
          <w:rFonts w:hint="eastAsia"/>
          <w:b/>
          <w:bCs/>
          <w:sz w:val="21"/>
          <w:szCs w:val="21"/>
          <w:highlight w:val="none"/>
          <w:u w:val="none"/>
          <w:lang w:val="en-US" w:eastAsia="zh-CN"/>
        </w:rPr>
        <w:t>表5.2-2  非正常状况下砷对地下水影响范围预测表</w:t>
      </w:r>
    </w:p>
    <w:tbl>
      <w:tblPr>
        <w:tblStyle w:val="46"/>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9"/>
        <w:gridCol w:w="1393"/>
        <w:gridCol w:w="1245"/>
        <w:gridCol w:w="1245"/>
        <w:gridCol w:w="1245"/>
        <w:gridCol w:w="1245"/>
        <w:gridCol w:w="1275"/>
      </w:tblGrid>
      <w:tr w14:paraId="77C766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tblHeader/>
        </w:trPr>
        <w:tc>
          <w:tcPr>
            <w:tcW w:w="810" w:type="pct"/>
            <w:vMerge w:val="restart"/>
            <w:noWrap w:val="0"/>
            <w:tcMar>
              <w:top w:w="0" w:type="dxa"/>
              <w:left w:w="28" w:type="dxa"/>
              <w:bottom w:w="0" w:type="dxa"/>
              <w:right w:w="28" w:type="dxa"/>
            </w:tcMar>
            <w:vAlign w:val="center"/>
          </w:tcPr>
          <w:p w14:paraId="308211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0"/>
                <w:sz w:val="21"/>
                <w:szCs w:val="21"/>
                <w:highlight w:val="none"/>
                <w:u w:val="none"/>
                <w:lang w:eastAsia="zh-CN"/>
              </w:rPr>
            </w:pPr>
            <w:r>
              <w:rPr>
                <w:rFonts w:hint="eastAsia" w:ascii="Times New Roman" w:hAnsi="Times New Roman" w:eastAsia="宋体" w:cs="Times New Roman"/>
                <w:b/>
                <w:bCs/>
                <w:color w:val="auto"/>
                <w:kern w:val="0"/>
                <w:sz w:val="21"/>
                <w:szCs w:val="21"/>
                <w:highlight w:val="none"/>
                <w:u w:val="none"/>
                <w:lang w:val="en-US" w:eastAsia="zh-CN"/>
              </w:rPr>
              <w:t>距离（m）</w:t>
            </w:r>
          </w:p>
        </w:tc>
        <w:tc>
          <w:tcPr>
            <w:tcW w:w="4189" w:type="pct"/>
            <w:gridSpan w:val="6"/>
            <w:noWrap w:val="0"/>
            <w:tcMar>
              <w:top w:w="0" w:type="dxa"/>
              <w:left w:w="28" w:type="dxa"/>
              <w:bottom w:w="0" w:type="dxa"/>
              <w:right w:w="28" w:type="dxa"/>
            </w:tcMar>
            <w:vAlign w:val="center"/>
          </w:tcPr>
          <w:p w14:paraId="0AA697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kern w:val="0"/>
                <w:sz w:val="21"/>
                <w:szCs w:val="21"/>
                <w:highlight w:val="none"/>
                <w:u w:val="none"/>
                <w:lang w:val="en-US" w:eastAsia="zh-CN"/>
              </w:rPr>
            </w:pPr>
            <w:r>
              <w:rPr>
                <w:rFonts w:hint="eastAsia" w:cs="Times New Roman"/>
                <w:b/>
                <w:bCs/>
                <w:color w:val="auto"/>
                <w:kern w:val="0"/>
                <w:sz w:val="21"/>
                <w:szCs w:val="21"/>
                <w:highlight w:val="none"/>
                <w:u w:val="none"/>
                <w:lang w:val="en-US" w:eastAsia="zh-CN"/>
              </w:rPr>
              <w:t>预测浓度（mg/L）</w:t>
            </w:r>
          </w:p>
        </w:tc>
      </w:tr>
      <w:tr w14:paraId="214709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810" w:type="pct"/>
            <w:vMerge w:val="continue"/>
            <w:noWrap w:val="0"/>
            <w:tcMar>
              <w:top w:w="0" w:type="dxa"/>
              <w:left w:w="28" w:type="dxa"/>
              <w:bottom w:w="0" w:type="dxa"/>
              <w:right w:w="28" w:type="dxa"/>
            </w:tcMar>
            <w:vAlign w:val="center"/>
          </w:tcPr>
          <w:p w14:paraId="24A6CC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rPr>
            </w:pPr>
          </w:p>
        </w:tc>
        <w:tc>
          <w:tcPr>
            <w:tcW w:w="763" w:type="pct"/>
            <w:noWrap w:val="0"/>
            <w:tcMar>
              <w:top w:w="0" w:type="dxa"/>
              <w:left w:w="28" w:type="dxa"/>
              <w:bottom w:w="0" w:type="dxa"/>
              <w:right w:w="28" w:type="dxa"/>
            </w:tcMar>
            <w:vAlign w:val="center"/>
          </w:tcPr>
          <w:p w14:paraId="175DA8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10d</w:t>
            </w:r>
          </w:p>
        </w:tc>
        <w:tc>
          <w:tcPr>
            <w:tcW w:w="682" w:type="pct"/>
            <w:noWrap w:val="0"/>
            <w:tcMar>
              <w:top w:w="0" w:type="dxa"/>
              <w:left w:w="28" w:type="dxa"/>
              <w:bottom w:w="0" w:type="dxa"/>
              <w:right w:w="28" w:type="dxa"/>
            </w:tcMar>
            <w:vAlign w:val="center"/>
          </w:tcPr>
          <w:p w14:paraId="30CC74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50d</w:t>
            </w:r>
          </w:p>
        </w:tc>
        <w:tc>
          <w:tcPr>
            <w:tcW w:w="682" w:type="pct"/>
            <w:noWrap w:val="0"/>
            <w:tcMar>
              <w:top w:w="0" w:type="dxa"/>
              <w:left w:w="28" w:type="dxa"/>
              <w:bottom w:w="0" w:type="dxa"/>
              <w:right w:w="28" w:type="dxa"/>
            </w:tcMar>
            <w:vAlign w:val="center"/>
          </w:tcPr>
          <w:p w14:paraId="25267C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100d</w:t>
            </w:r>
          </w:p>
        </w:tc>
        <w:tc>
          <w:tcPr>
            <w:tcW w:w="682" w:type="pct"/>
            <w:noWrap w:val="0"/>
            <w:tcMar>
              <w:top w:w="0" w:type="dxa"/>
              <w:left w:w="28" w:type="dxa"/>
              <w:bottom w:w="0" w:type="dxa"/>
              <w:right w:w="28" w:type="dxa"/>
            </w:tcMar>
            <w:vAlign w:val="center"/>
          </w:tcPr>
          <w:p w14:paraId="0A297E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365</w:t>
            </w:r>
            <w:r>
              <w:rPr>
                <w:rFonts w:ascii="Times New Roman" w:hAnsi="Times New Roman" w:eastAsia="宋体" w:cs="Times New Roman"/>
                <w:b/>
                <w:bCs/>
                <w:color w:val="auto"/>
                <w:kern w:val="0"/>
                <w:sz w:val="21"/>
                <w:szCs w:val="21"/>
                <w:highlight w:val="none"/>
                <w:u w:val="none"/>
              </w:rPr>
              <w:t>d</w:t>
            </w:r>
          </w:p>
        </w:tc>
        <w:tc>
          <w:tcPr>
            <w:tcW w:w="682" w:type="pct"/>
            <w:noWrap w:val="0"/>
            <w:tcMar>
              <w:top w:w="0" w:type="dxa"/>
              <w:left w:w="28" w:type="dxa"/>
              <w:bottom w:w="0" w:type="dxa"/>
              <w:right w:w="28" w:type="dxa"/>
            </w:tcMar>
            <w:vAlign w:val="center"/>
          </w:tcPr>
          <w:p w14:paraId="2CBDB5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5</w:t>
            </w:r>
            <w:r>
              <w:rPr>
                <w:rFonts w:ascii="Times New Roman" w:hAnsi="Times New Roman" w:eastAsia="宋体" w:cs="Times New Roman"/>
                <w:b/>
                <w:bCs/>
                <w:color w:val="auto"/>
                <w:kern w:val="0"/>
                <w:sz w:val="21"/>
                <w:szCs w:val="21"/>
                <w:highlight w:val="none"/>
                <w:u w:val="none"/>
              </w:rPr>
              <w:t>00d</w:t>
            </w:r>
          </w:p>
        </w:tc>
        <w:tc>
          <w:tcPr>
            <w:tcW w:w="697" w:type="pct"/>
            <w:noWrap w:val="0"/>
            <w:tcMar>
              <w:top w:w="0" w:type="dxa"/>
              <w:left w:w="28" w:type="dxa"/>
              <w:bottom w:w="0" w:type="dxa"/>
              <w:right w:w="28" w:type="dxa"/>
            </w:tcMar>
            <w:vAlign w:val="center"/>
          </w:tcPr>
          <w:p w14:paraId="1348D9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10</w:t>
            </w:r>
            <w:r>
              <w:rPr>
                <w:rFonts w:ascii="Times New Roman" w:hAnsi="Times New Roman" w:eastAsia="宋体" w:cs="Times New Roman"/>
                <w:b/>
                <w:bCs/>
                <w:color w:val="auto"/>
                <w:kern w:val="0"/>
                <w:sz w:val="21"/>
                <w:szCs w:val="21"/>
                <w:highlight w:val="none"/>
                <w:u w:val="none"/>
              </w:rPr>
              <w:t>00d</w:t>
            </w:r>
          </w:p>
        </w:tc>
      </w:tr>
      <w:tr w14:paraId="2A373D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5972800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w:t>
            </w:r>
          </w:p>
        </w:tc>
        <w:tc>
          <w:tcPr>
            <w:tcW w:w="763" w:type="pct"/>
            <w:noWrap w:val="0"/>
            <w:tcMar>
              <w:top w:w="0" w:type="dxa"/>
              <w:left w:w="28" w:type="dxa"/>
              <w:bottom w:w="0" w:type="dxa"/>
              <w:right w:w="28" w:type="dxa"/>
            </w:tcMar>
            <w:vAlign w:val="center"/>
          </w:tcPr>
          <w:p w14:paraId="4270C6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lang w:val="en-US" w:eastAsia="zh-CN"/>
              </w:rPr>
              <w:t>8.69E+00</w:t>
            </w:r>
          </w:p>
        </w:tc>
        <w:tc>
          <w:tcPr>
            <w:tcW w:w="682" w:type="pct"/>
            <w:shd w:val="clear" w:color="auto" w:fill="auto"/>
            <w:noWrap w:val="0"/>
            <w:tcMar>
              <w:top w:w="0" w:type="dxa"/>
              <w:left w:w="28" w:type="dxa"/>
              <w:bottom w:w="0" w:type="dxa"/>
              <w:right w:w="28" w:type="dxa"/>
            </w:tcMar>
            <w:vAlign w:val="center"/>
          </w:tcPr>
          <w:p w14:paraId="155D59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3.88E+00</w:t>
            </w:r>
          </w:p>
        </w:tc>
        <w:tc>
          <w:tcPr>
            <w:tcW w:w="682" w:type="pct"/>
            <w:noWrap w:val="0"/>
            <w:tcMar>
              <w:top w:w="0" w:type="dxa"/>
              <w:left w:w="28" w:type="dxa"/>
              <w:bottom w:w="0" w:type="dxa"/>
              <w:right w:w="28" w:type="dxa"/>
            </w:tcMar>
            <w:vAlign w:val="center"/>
          </w:tcPr>
          <w:p w14:paraId="78ACD8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2.74E+00</w:t>
            </w:r>
          </w:p>
        </w:tc>
        <w:tc>
          <w:tcPr>
            <w:tcW w:w="682" w:type="pct"/>
            <w:shd w:val="clear" w:color="auto" w:fill="auto"/>
            <w:noWrap w:val="0"/>
            <w:tcMar>
              <w:top w:w="0" w:type="dxa"/>
              <w:left w:w="28" w:type="dxa"/>
              <w:bottom w:w="0" w:type="dxa"/>
              <w:right w:w="28" w:type="dxa"/>
            </w:tcMar>
            <w:vAlign w:val="center"/>
          </w:tcPr>
          <w:p w14:paraId="623718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1.43E+00</w:t>
            </w:r>
          </w:p>
        </w:tc>
        <w:tc>
          <w:tcPr>
            <w:tcW w:w="682" w:type="pct"/>
            <w:shd w:val="clear" w:color="auto" w:fill="auto"/>
            <w:noWrap w:val="0"/>
            <w:tcMar>
              <w:top w:w="0" w:type="dxa"/>
              <w:left w:w="28" w:type="dxa"/>
              <w:bottom w:w="0" w:type="dxa"/>
              <w:right w:w="28" w:type="dxa"/>
            </w:tcMar>
            <w:vAlign w:val="center"/>
          </w:tcPr>
          <w:p w14:paraId="3425AB9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1.22E+00</w:t>
            </w:r>
          </w:p>
        </w:tc>
        <w:tc>
          <w:tcPr>
            <w:tcW w:w="697" w:type="pct"/>
            <w:shd w:val="clear" w:color="auto" w:fill="auto"/>
            <w:noWrap w:val="0"/>
            <w:tcMar>
              <w:top w:w="0" w:type="dxa"/>
              <w:left w:w="28" w:type="dxa"/>
              <w:bottom w:w="0" w:type="dxa"/>
              <w:right w:w="28" w:type="dxa"/>
            </w:tcMar>
            <w:vAlign w:val="center"/>
          </w:tcPr>
          <w:p w14:paraId="30C4A7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8.62E-01</w:t>
            </w:r>
          </w:p>
        </w:tc>
      </w:tr>
      <w:tr w14:paraId="3D8FFC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631E666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w:t>
            </w:r>
          </w:p>
        </w:tc>
        <w:tc>
          <w:tcPr>
            <w:tcW w:w="763" w:type="pct"/>
            <w:noWrap w:val="0"/>
            <w:tcMar>
              <w:top w:w="0" w:type="dxa"/>
              <w:left w:w="28" w:type="dxa"/>
              <w:bottom w:w="0" w:type="dxa"/>
              <w:right w:w="28" w:type="dxa"/>
            </w:tcMar>
            <w:vAlign w:val="center"/>
          </w:tcPr>
          <w:p w14:paraId="0C3742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30797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4.00E-18</w:t>
            </w:r>
          </w:p>
        </w:tc>
        <w:tc>
          <w:tcPr>
            <w:tcW w:w="682" w:type="pct"/>
            <w:noWrap w:val="0"/>
            <w:tcMar>
              <w:top w:w="0" w:type="dxa"/>
              <w:left w:w="28" w:type="dxa"/>
              <w:bottom w:w="0" w:type="dxa"/>
              <w:right w:w="28" w:type="dxa"/>
            </w:tcMar>
            <w:vAlign w:val="center"/>
          </w:tcPr>
          <w:p w14:paraId="737003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3.16E-09</w:t>
            </w:r>
          </w:p>
        </w:tc>
        <w:tc>
          <w:tcPr>
            <w:tcW w:w="682" w:type="pct"/>
            <w:shd w:val="clear" w:color="auto" w:fill="auto"/>
            <w:noWrap w:val="0"/>
            <w:tcMar>
              <w:top w:w="0" w:type="dxa"/>
              <w:left w:w="28" w:type="dxa"/>
              <w:bottom w:w="0" w:type="dxa"/>
              <w:right w:w="28" w:type="dxa"/>
            </w:tcMar>
            <w:vAlign w:val="center"/>
          </w:tcPr>
          <w:p w14:paraId="3A1425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6.11E-03</w:t>
            </w:r>
          </w:p>
        </w:tc>
        <w:tc>
          <w:tcPr>
            <w:tcW w:w="682" w:type="pct"/>
            <w:shd w:val="clear" w:color="auto" w:fill="auto"/>
            <w:noWrap w:val="0"/>
            <w:tcMar>
              <w:top w:w="0" w:type="dxa"/>
              <w:left w:w="28" w:type="dxa"/>
              <w:bottom w:w="0" w:type="dxa"/>
              <w:right w:w="28" w:type="dxa"/>
            </w:tcMar>
            <w:vAlign w:val="center"/>
          </w:tcPr>
          <w:p w14:paraId="741C40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2.44E-02</w:t>
            </w:r>
          </w:p>
        </w:tc>
        <w:tc>
          <w:tcPr>
            <w:tcW w:w="697" w:type="pct"/>
            <w:shd w:val="clear" w:color="auto" w:fill="auto"/>
            <w:noWrap w:val="0"/>
            <w:tcMar>
              <w:top w:w="0" w:type="dxa"/>
              <w:left w:w="28" w:type="dxa"/>
              <w:bottom w:w="0" w:type="dxa"/>
              <w:right w:w="28" w:type="dxa"/>
            </w:tcMar>
            <w:vAlign w:val="center"/>
          </w:tcPr>
          <w:p w14:paraId="683861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1.38E-01</w:t>
            </w:r>
          </w:p>
        </w:tc>
      </w:tr>
      <w:tr w14:paraId="3DEA1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1F2A283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w:t>
            </w:r>
          </w:p>
        </w:tc>
        <w:tc>
          <w:tcPr>
            <w:tcW w:w="763" w:type="pct"/>
            <w:shd w:val="clear" w:color="auto" w:fill="auto"/>
            <w:noWrap w:val="0"/>
            <w:tcMar>
              <w:top w:w="0" w:type="dxa"/>
              <w:left w:w="28" w:type="dxa"/>
              <w:bottom w:w="0" w:type="dxa"/>
              <w:right w:w="28" w:type="dxa"/>
            </w:tcMar>
            <w:vAlign w:val="center"/>
          </w:tcPr>
          <w:p w14:paraId="76490E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9C45B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64AC3B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2.91E-36</w:t>
            </w:r>
          </w:p>
        </w:tc>
        <w:tc>
          <w:tcPr>
            <w:tcW w:w="682" w:type="pct"/>
            <w:shd w:val="clear" w:color="auto" w:fill="auto"/>
            <w:noWrap w:val="0"/>
            <w:tcMar>
              <w:top w:w="0" w:type="dxa"/>
              <w:left w:w="28" w:type="dxa"/>
              <w:bottom w:w="0" w:type="dxa"/>
              <w:right w:w="28" w:type="dxa"/>
            </w:tcMar>
            <w:vAlign w:val="center"/>
          </w:tcPr>
          <w:p w14:paraId="601532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2.87E-10</w:t>
            </w:r>
          </w:p>
        </w:tc>
        <w:tc>
          <w:tcPr>
            <w:tcW w:w="682" w:type="pct"/>
            <w:noWrap w:val="0"/>
            <w:tcMar>
              <w:top w:w="0" w:type="dxa"/>
              <w:left w:w="28" w:type="dxa"/>
              <w:bottom w:w="0" w:type="dxa"/>
              <w:right w:w="28" w:type="dxa"/>
            </w:tcMar>
            <w:vAlign w:val="center"/>
          </w:tcPr>
          <w:p w14:paraId="40F5A1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1.17E-07</w:t>
            </w:r>
          </w:p>
        </w:tc>
        <w:tc>
          <w:tcPr>
            <w:tcW w:w="697" w:type="pct"/>
            <w:noWrap w:val="0"/>
            <w:tcMar>
              <w:top w:w="0" w:type="dxa"/>
              <w:left w:w="28" w:type="dxa"/>
              <w:bottom w:w="0" w:type="dxa"/>
              <w:right w:w="28" w:type="dxa"/>
            </w:tcMar>
            <w:vAlign w:val="center"/>
          </w:tcPr>
          <w:p w14:paraId="0F5351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3.42E-04</w:t>
            </w:r>
          </w:p>
        </w:tc>
      </w:tr>
      <w:tr w14:paraId="0B4FBA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693218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w:t>
            </w:r>
          </w:p>
        </w:tc>
        <w:tc>
          <w:tcPr>
            <w:tcW w:w="763" w:type="pct"/>
            <w:noWrap w:val="0"/>
            <w:tcMar>
              <w:top w:w="0" w:type="dxa"/>
              <w:left w:w="28" w:type="dxa"/>
              <w:bottom w:w="0" w:type="dxa"/>
              <w:right w:w="28" w:type="dxa"/>
            </w:tcMar>
            <w:vAlign w:val="center"/>
          </w:tcPr>
          <w:p w14:paraId="02C719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1942B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eastAsia="zh-CN"/>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C1F9E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614CC8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8.50E-40</w:t>
            </w:r>
          </w:p>
        </w:tc>
        <w:tc>
          <w:tcPr>
            <w:tcW w:w="682" w:type="pct"/>
            <w:noWrap w:val="0"/>
            <w:tcMar>
              <w:top w:w="0" w:type="dxa"/>
              <w:left w:w="28" w:type="dxa"/>
              <w:bottom w:w="0" w:type="dxa"/>
              <w:right w:w="28" w:type="dxa"/>
            </w:tcMar>
            <w:vAlign w:val="center"/>
          </w:tcPr>
          <w:p w14:paraId="4A1DEC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kern w:val="0"/>
                <w:sz w:val="21"/>
                <w:szCs w:val="21"/>
                <w:highlight w:val="none"/>
                <w:u w:val="none"/>
              </w:rPr>
            </w:pPr>
            <w:r>
              <w:rPr>
                <w:rFonts w:hint="eastAsia" w:ascii="Times New Roman" w:hAnsi="Times New Roman" w:eastAsia="宋体" w:cs="Times New Roman"/>
                <w:b w:val="0"/>
                <w:bCs w:val="0"/>
                <w:color w:val="auto"/>
                <w:kern w:val="0"/>
                <w:sz w:val="21"/>
                <w:szCs w:val="21"/>
                <w:highlight w:val="none"/>
                <w:u w:val="none"/>
              </w:rPr>
              <w:t>3.71E-29</w:t>
            </w:r>
          </w:p>
        </w:tc>
        <w:tc>
          <w:tcPr>
            <w:tcW w:w="697" w:type="pct"/>
            <w:noWrap w:val="0"/>
            <w:tcMar>
              <w:top w:w="0" w:type="dxa"/>
              <w:left w:w="28" w:type="dxa"/>
              <w:bottom w:w="0" w:type="dxa"/>
              <w:right w:w="28" w:type="dxa"/>
            </w:tcMar>
            <w:vAlign w:val="center"/>
          </w:tcPr>
          <w:p w14:paraId="1FAD1F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7.82E-15</w:t>
            </w:r>
          </w:p>
        </w:tc>
      </w:tr>
      <w:tr w14:paraId="53E064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55357B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w:t>
            </w:r>
          </w:p>
        </w:tc>
        <w:tc>
          <w:tcPr>
            <w:tcW w:w="763" w:type="pct"/>
            <w:noWrap w:val="0"/>
            <w:tcMar>
              <w:top w:w="0" w:type="dxa"/>
              <w:left w:w="28" w:type="dxa"/>
              <w:bottom w:w="0" w:type="dxa"/>
              <w:right w:w="28" w:type="dxa"/>
            </w:tcMar>
            <w:vAlign w:val="center"/>
          </w:tcPr>
          <w:p w14:paraId="55FF72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C20E0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3B3CE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C6EAB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BA3C7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291BD6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1.03E-32</w:t>
            </w:r>
          </w:p>
        </w:tc>
      </w:tr>
      <w:tr w14:paraId="6C9ED5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36259CB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w:t>
            </w:r>
          </w:p>
        </w:tc>
        <w:tc>
          <w:tcPr>
            <w:tcW w:w="763" w:type="pct"/>
            <w:noWrap w:val="0"/>
            <w:tcMar>
              <w:top w:w="0" w:type="dxa"/>
              <w:left w:w="28" w:type="dxa"/>
              <w:bottom w:w="0" w:type="dxa"/>
              <w:right w:w="28" w:type="dxa"/>
            </w:tcMar>
            <w:vAlign w:val="center"/>
          </w:tcPr>
          <w:p w14:paraId="460136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2EBFE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1FC4B6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6EDEFD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1ACCB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04A413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2A6E2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55E54E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w:t>
            </w:r>
          </w:p>
        </w:tc>
        <w:tc>
          <w:tcPr>
            <w:tcW w:w="763" w:type="pct"/>
            <w:noWrap w:val="0"/>
            <w:tcMar>
              <w:top w:w="0" w:type="dxa"/>
              <w:left w:w="28" w:type="dxa"/>
              <w:bottom w:w="0" w:type="dxa"/>
              <w:right w:w="28" w:type="dxa"/>
            </w:tcMar>
            <w:vAlign w:val="center"/>
          </w:tcPr>
          <w:p w14:paraId="724078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AE94A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7F9946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A17F5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48A09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7.10E-0</w:t>
            </w:r>
            <w:r>
              <w:rPr>
                <w:rFonts w:hint="eastAsia" w:cs="Times New Roman"/>
                <w:color w:val="auto"/>
                <w:kern w:val="0"/>
                <w:sz w:val="21"/>
                <w:szCs w:val="21"/>
                <w:highlight w:val="none"/>
                <w:u w:val="none"/>
                <w:lang w:val="en-US" w:eastAsia="zh-CN" w:bidi="ar-SA"/>
              </w:rPr>
              <w:t>6</w:t>
            </w:r>
          </w:p>
        </w:tc>
        <w:tc>
          <w:tcPr>
            <w:tcW w:w="697" w:type="pct"/>
            <w:shd w:val="clear" w:color="auto" w:fill="auto"/>
            <w:noWrap w:val="0"/>
            <w:tcMar>
              <w:top w:w="0" w:type="dxa"/>
              <w:left w:w="28" w:type="dxa"/>
              <w:bottom w:w="0" w:type="dxa"/>
              <w:right w:w="28" w:type="dxa"/>
            </w:tcMar>
            <w:vAlign w:val="center"/>
          </w:tcPr>
          <w:p w14:paraId="34FB17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06FA4E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504BF3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60</w:t>
            </w:r>
          </w:p>
        </w:tc>
        <w:tc>
          <w:tcPr>
            <w:tcW w:w="763" w:type="pct"/>
            <w:noWrap w:val="0"/>
            <w:tcMar>
              <w:top w:w="0" w:type="dxa"/>
              <w:left w:w="28" w:type="dxa"/>
              <w:bottom w:w="0" w:type="dxa"/>
              <w:right w:w="28" w:type="dxa"/>
            </w:tcMar>
            <w:vAlign w:val="center"/>
          </w:tcPr>
          <w:p w14:paraId="3912C0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AA226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2016C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5BE7C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3BACF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14C709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7183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60FAD4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763" w:type="pct"/>
            <w:noWrap w:val="0"/>
            <w:tcMar>
              <w:top w:w="0" w:type="dxa"/>
              <w:left w:w="28" w:type="dxa"/>
              <w:bottom w:w="0" w:type="dxa"/>
              <w:right w:w="28" w:type="dxa"/>
            </w:tcMar>
            <w:vAlign w:val="center"/>
          </w:tcPr>
          <w:p w14:paraId="3C9BAC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B442A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6EA31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F0827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D463A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56DBAC9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286FB6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546770E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80</w:t>
            </w:r>
          </w:p>
        </w:tc>
        <w:tc>
          <w:tcPr>
            <w:tcW w:w="763" w:type="pct"/>
            <w:noWrap w:val="0"/>
            <w:tcMar>
              <w:top w:w="0" w:type="dxa"/>
              <w:left w:w="28" w:type="dxa"/>
              <w:bottom w:w="0" w:type="dxa"/>
              <w:right w:w="28" w:type="dxa"/>
            </w:tcMar>
            <w:vAlign w:val="center"/>
          </w:tcPr>
          <w:p w14:paraId="401E7B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4751C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691FC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04660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64225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79A586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8FF04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noWrap w:val="0"/>
            <w:tcMar>
              <w:top w:w="0" w:type="dxa"/>
              <w:left w:w="28" w:type="dxa"/>
              <w:bottom w:w="0" w:type="dxa"/>
              <w:right w:w="28" w:type="dxa"/>
            </w:tcMar>
            <w:vAlign w:val="center"/>
          </w:tcPr>
          <w:p w14:paraId="5BEF0B5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90</w:t>
            </w:r>
          </w:p>
        </w:tc>
        <w:tc>
          <w:tcPr>
            <w:tcW w:w="763" w:type="pct"/>
            <w:noWrap w:val="0"/>
            <w:tcMar>
              <w:top w:w="0" w:type="dxa"/>
              <w:left w:w="28" w:type="dxa"/>
              <w:bottom w:w="0" w:type="dxa"/>
              <w:right w:w="28" w:type="dxa"/>
            </w:tcMar>
            <w:vAlign w:val="center"/>
          </w:tcPr>
          <w:p w14:paraId="31B256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17AA0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BC3CD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9DB6E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89C8B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41EF6D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E308F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vAlign w:val="center"/>
          </w:tcPr>
          <w:p w14:paraId="367BDBD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w:t>
            </w:r>
          </w:p>
        </w:tc>
        <w:tc>
          <w:tcPr>
            <w:tcW w:w="763" w:type="pct"/>
            <w:shd w:val="clear" w:color="auto" w:fill="auto"/>
            <w:vAlign w:val="center"/>
          </w:tcPr>
          <w:p w14:paraId="269DC1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26A4E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E43E8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1D3D0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CB834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7BB935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1F301E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vAlign w:val="center"/>
          </w:tcPr>
          <w:p w14:paraId="3025D5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200</w:t>
            </w:r>
          </w:p>
        </w:tc>
        <w:tc>
          <w:tcPr>
            <w:tcW w:w="763" w:type="pct"/>
            <w:shd w:val="clear" w:color="auto" w:fill="auto"/>
            <w:vAlign w:val="center"/>
          </w:tcPr>
          <w:p w14:paraId="42D013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8744B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51B74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B832F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1AD846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2BA01C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3D78EB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vAlign w:val="center"/>
          </w:tcPr>
          <w:p w14:paraId="3916048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500</w:t>
            </w:r>
          </w:p>
        </w:tc>
        <w:tc>
          <w:tcPr>
            <w:tcW w:w="763" w:type="pct"/>
            <w:vAlign w:val="center"/>
          </w:tcPr>
          <w:p w14:paraId="2B028A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321C3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4B5A3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9A63E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8B2A9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596BB3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BDC23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10" w:type="pct"/>
            <w:shd w:val="clear" w:color="auto" w:fill="auto"/>
            <w:vAlign w:val="center"/>
          </w:tcPr>
          <w:p w14:paraId="33489B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1000</w:t>
            </w:r>
          </w:p>
        </w:tc>
        <w:tc>
          <w:tcPr>
            <w:tcW w:w="763" w:type="pct"/>
            <w:vAlign w:val="center"/>
          </w:tcPr>
          <w:p w14:paraId="42F93C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FB075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6ED0A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209EE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67276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60F629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bl>
    <w:p w14:paraId="4E36F430">
      <w:pPr>
        <w:spacing w:line="240" w:lineRule="auto"/>
        <w:ind w:left="0" w:leftChars="0" w:firstLine="0" w:firstLineChars="0"/>
        <w:jc w:val="center"/>
        <w:rPr>
          <w:rFonts w:hint="default"/>
          <w:b/>
          <w:bCs/>
          <w:sz w:val="21"/>
          <w:szCs w:val="21"/>
          <w:highlight w:val="none"/>
          <w:u w:val="none"/>
          <w:lang w:val="en-US" w:eastAsia="zh-CN"/>
        </w:rPr>
      </w:pPr>
      <w:r>
        <w:rPr>
          <w:rFonts w:hint="eastAsia"/>
          <w:b/>
          <w:bCs/>
          <w:sz w:val="21"/>
          <w:szCs w:val="21"/>
          <w:highlight w:val="none"/>
          <w:u w:val="none"/>
          <w:lang w:val="en-US" w:eastAsia="zh-CN"/>
        </w:rPr>
        <w:t>表5.2-3  非正常状况下锌对地下水影响范围预测表</w:t>
      </w:r>
    </w:p>
    <w:tbl>
      <w:tblPr>
        <w:tblStyle w:val="46"/>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5"/>
        <w:gridCol w:w="1397"/>
        <w:gridCol w:w="1245"/>
        <w:gridCol w:w="1245"/>
        <w:gridCol w:w="1245"/>
        <w:gridCol w:w="1245"/>
        <w:gridCol w:w="1275"/>
      </w:tblGrid>
      <w:tr w14:paraId="262D9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tblHeader/>
        </w:trPr>
        <w:tc>
          <w:tcPr>
            <w:tcW w:w="808" w:type="pct"/>
            <w:vMerge w:val="restart"/>
            <w:noWrap w:val="0"/>
            <w:tcMar>
              <w:top w:w="0" w:type="dxa"/>
              <w:left w:w="28" w:type="dxa"/>
              <w:bottom w:w="0" w:type="dxa"/>
              <w:right w:w="28" w:type="dxa"/>
            </w:tcMar>
            <w:vAlign w:val="center"/>
          </w:tcPr>
          <w:p w14:paraId="220AA2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0"/>
                <w:sz w:val="21"/>
                <w:szCs w:val="21"/>
                <w:highlight w:val="none"/>
                <w:u w:val="none"/>
                <w:lang w:eastAsia="zh-CN"/>
              </w:rPr>
            </w:pPr>
            <w:r>
              <w:rPr>
                <w:rFonts w:hint="eastAsia" w:ascii="Times New Roman" w:hAnsi="Times New Roman" w:eastAsia="宋体" w:cs="Times New Roman"/>
                <w:b/>
                <w:bCs/>
                <w:color w:val="auto"/>
                <w:kern w:val="0"/>
                <w:sz w:val="21"/>
                <w:szCs w:val="21"/>
                <w:highlight w:val="none"/>
                <w:u w:val="none"/>
                <w:lang w:val="en-US" w:eastAsia="zh-CN"/>
              </w:rPr>
              <w:t>距离（m）</w:t>
            </w:r>
          </w:p>
        </w:tc>
        <w:tc>
          <w:tcPr>
            <w:tcW w:w="4191" w:type="pct"/>
            <w:gridSpan w:val="6"/>
            <w:noWrap w:val="0"/>
            <w:tcMar>
              <w:top w:w="0" w:type="dxa"/>
              <w:left w:w="28" w:type="dxa"/>
              <w:bottom w:w="0" w:type="dxa"/>
              <w:right w:w="28" w:type="dxa"/>
            </w:tcMar>
            <w:vAlign w:val="center"/>
          </w:tcPr>
          <w:p w14:paraId="1B7234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kern w:val="0"/>
                <w:sz w:val="21"/>
                <w:szCs w:val="21"/>
                <w:highlight w:val="none"/>
                <w:u w:val="none"/>
                <w:lang w:val="en-US" w:eastAsia="zh-CN"/>
              </w:rPr>
            </w:pPr>
            <w:r>
              <w:rPr>
                <w:rFonts w:hint="eastAsia" w:cs="Times New Roman"/>
                <w:b/>
                <w:bCs/>
                <w:color w:val="auto"/>
                <w:kern w:val="0"/>
                <w:sz w:val="21"/>
                <w:szCs w:val="21"/>
                <w:highlight w:val="none"/>
                <w:u w:val="none"/>
                <w:lang w:val="en-US" w:eastAsia="zh-CN"/>
              </w:rPr>
              <w:t>预测浓度（mg/L）</w:t>
            </w:r>
          </w:p>
        </w:tc>
      </w:tr>
      <w:tr w14:paraId="7B0FC2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808" w:type="pct"/>
            <w:vMerge w:val="continue"/>
            <w:noWrap w:val="0"/>
            <w:tcMar>
              <w:top w:w="0" w:type="dxa"/>
              <w:left w:w="28" w:type="dxa"/>
              <w:bottom w:w="0" w:type="dxa"/>
              <w:right w:w="28" w:type="dxa"/>
            </w:tcMar>
            <w:vAlign w:val="center"/>
          </w:tcPr>
          <w:p w14:paraId="6B96B1E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rPr>
            </w:pPr>
          </w:p>
        </w:tc>
        <w:tc>
          <w:tcPr>
            <w:tcW w:w="765" w:type="pct"/>
            <w:noWrap w:val="0"/>
            <w:tcMar>
              <w:top w:w="0" w:type="dxa"/>
              <w:left w:w="28" w:type="dxa"/>
              <w:bottom w:w="0" w:type="dxa"/>
              <w:right w:w="28" w:type="dxa"/>
            </w:tcMar>
            <w:vAlign w:val="center"/>
          </w:tcPr>
          <w:p w14:paraId="7B873E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10d</w:t>
            </w:r>
          </w:p>
        </w:tc>
        <w:tc>
          <w:tcPr>
            <w:tcW w:w="682" w:type="pct"/>
            <w:noWrap w:val="0"/>
            <w:tcMar>
              <w:top w:w="0" w:type="dxa"/>
              <w:left w:w="28" w:type="dxa"/>
              <w:bottom w:w="0" w:type="dxa"/>
              <w:right w:w="28" w:type="dxa"/>
            </w:tcMar>
            <w:vAlign w:val="center"/>
          </w:tcPr>
          <w:p w14:paraId="56B65C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50d</w:t>
            </w:r>
          </w:p>
        </w:tc>
        <w:tc>
          <w:tcPr>
            <w:tcW w:w="682" w:type="pct"/>
            <w:noWrap w:val="0"/>
            <w:tcMar>
              <w:top w:w="0" w:type="dxa"/>
              <w:left w:w="28" w:type="dxa"/>
              <w:bottom w:w="0" w:type="dxa"/>
              <w:right w:w="28" w:type="dxa"/>
            </w:tcMar>
            <w:vAlign w:val="center"/>
          </w:tcPr>
          <w:p w14:paraId="1C7A9D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100d</w:t>
            </w:r>
          </w:p>
        </w:tc>
        <w:tc>
          <w:tcPr>
            <w:tcW w:w="682" w:type="pct"/>
            <w:noWrap w:val="0"/>
            <w:tcMar>
              <w:top w:w="0" w:type="dxa"/>
              <w:left w:w="28" w:type="dxa"/>
              <w:bottom w:w="0" w:type="dxa"/>
              <w:right w:w="28" w:type="dxa"/>
            </w:tcMar>
            <w:vAlign w:val="center"/>
          </w:tcPr>
          <w:p w14:paraId="2791A5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365</w:t>
            </w:r>
            <w:r>
              <w:rPr>
                <w:rFonts w:ascii="Times New Roman" w:hAnsi="Times New Roman" w:eastAsia="宋体" w:cs="Times New Roman"/>
                <w:b/>
                <w:bCs/>
                <w:color w:val="auto"/>
                <w:kern w:val="0"/>
                <w:sz w:val="21"/>
                <w:szCs w:val="21"/>
                <w:highlight w:val="none"/>
                <w:u w:val="none"/>
              </w:rPr>
              <w:t>d</w:t>
            </w:r>
          </w:p>
        </w:tc>
        <w:tc>
          <w:tcPr>
            <w:tcW w:w="682" w:type="pct"/>
            <w:noWrap w:val="0"/>
            <w:tcMar>
              <w:top w:w="0" w:type="dxa"/>
              <w:left w:w="28" w:type="dxa"/>
              <w:bottom w:w="0" w:type="dxa"/>
              <w:right w:w="28" w:type="dxa"/>
            </w:tcMar>
            <w:vAlign w:val="center"/>
          </w:tcPr>
          <w:p w14:paraId="70E000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5</w:t>
            </w:r>
            <w:r>
              <w:rPr>
                <w:rFonts w:ascii="Times New Roman" w:hAnsi="Times New Roman" w:eastAsia="宋体" w:cs="Times New Roman"/>
                <w:b/>
                <w:bCs/>
                <w:color w:val="auto"/>
                <w:kern w:val="0"/>
                <w:sz w:val="21"/>
                <w:szCs w:val="21"/>
                <w:highlight w:val="none"/>
                <w:u w:val="none"/>
              </w:rPr>
              <w:t>00d</w:t>
            </w:r>
          </w:p>
        </w:tc>
        <w:tc>
          <w:tcPr>
            <w:tcW w:w="697" w:type="pct"/>
            <w:noWrap w:val="0"/>
            <w:tcMar>
              <w:top w:w="0" w:type="dxa"/>
              <w:left w:w="28" w:type="dxa"/>
              <w:bottom w:w="0" w:type="dxa"/>
              <w:right w:w="28" w:type="dxa"/>
            </w:tcMar>
            <w:vAlign w:val="center"/>
          </w:tcPr>
          <w:p w14:paraId="079C32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10</w:t>
            </w:r>
            <w:r>
              <w:rPr>
                <w:rFonts w:ascii="Times New Roman" w:hAnsi="Times New Roman" w:eastAsia="宋体" w:cs="Times New Roman"/>
                <w:b/>
                <w:bCs/>
                <w:color w:val="auto"/>
                <w:kern w:val="0"/>
                <w:sz w:val="21"/>
                <w:szCs w:val="21"/>
                <w:highlight w:val="none"/>
                <w:u w:val="none"/>
              </w:rPr>
              <w:t>00d</w:t>
            </w:r>
          </w:p>
        </w:tc>
      </w:tr>
      <w:tr w14:paraId="25B482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8B921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w:t>
            </w:r>
          </w:p>
        </w:tc>
        <w:tc>
          <w:tcPr>
            <w:tcW w:w="765" w:type="pct"/>
            <w:noWrap w:val="0"/>
            <w:tcMar>
              <w:top w:w="0" w:type="dxa"/>
              <w:left w:w="28" w:type="dxa"/>
              <w:bottom w:w="0" w:type="dxa"/>
              <w:right w:w="28" w:type="dxa"/>
            </w:tcMar>
            <w:vAlign w:val="center"/>
          </w:tcPr>
          <w:p w14:paraId="13F2FE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lang w:val="en-US" w:eastAsia="zh-CN"/>
              </w:rPr>
              <w:t>1.60E+00</w:t>
            </w:r>
          </w:p>
        </w:tc>
        <w:tc>
          <w:tcPr>
            <w:tcW w:w="682" w:type="pct"/>
            <w:shd w:val="clear" w:color="auto" w:fill="auto"/>
            <w:noWrap w:val="0"/>
            <w:tcMar>
              <w:top w:w="0" w:type="dxa"/>
              <w:left w:w="28" w:type="dxa"/>
              <w:bottom w:w="0" w:type="dxa"/>
              <w:right w:w="28" w:type="dxa"/>
            </w:tcMar>
            <w:vAlign w:val="center"/>
          </w:tcPr>
          <w:p w14:paraId="21496F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7.16E-01</w:t>
            </w:r>
          </w:p>
        </w:tc>
        <w:tc>
          <w:tcPr>
            <w:tcW w:w="682" w:type="pct"/>
            <w:noWrap w:val="0"/>
            <w:tcMar>
              <w:top w:w="0" w:type="dxa"/>
              <w:left w:w="28" w:type="dxa"/>
              <w:bottom w:w="0" w:type="dxa"/>
              <w:right w:w="28" w:type="dxa"/>
            </w:tcMar>
            <w:vAlign w:val="center"/>
          </w:tcPr>
          <w:p w14:paraId="3F2972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5.06E-01</w:t>
            </w:r>
          </w:p>
        </w:tc>
        <w:tc>
          <w:tcPr>
            <w:tcW w:w="682" w:type="pct"/>
            <w:shd w:val="clear" w:color="auto" w:fill="auto"/>
            <w:noWrap w:val="0"/>
            <w:tcMar>
              <w:top w:w="0" w:type="dxa"/>
              <w:left w:w="28" w:type="dxa"/>
              <w:bottom w:w="0" w:type="dxa"/>
              <w:right w:w="28" w:type="dxa"/>
            </w:tcMar>
            <w:vAlign w:val="center"/>
          </w:tcPr>
          <w:p w14:paraId="2B757B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2.64E-01</w:t>
            </w:r>
          </w:p>
        </w:tc>
        <w:tc>
          <w:tcPr>
            <w:tcW w:w="682" w:type="pct"/>
            <w:shd w:val="clear" w:color="auto" w:fill="auto"/>
            <w:noWrap w:val="0"/>
            <w:tcMar>
              <w:top w:w="0" w:type="dxa"/>
              <w:left w:w="28" w:type="dxa"/>
              <w:bottom w:w="0" w:type="dxa"/>
              <w:right w:w="28" w:type="dxa"/>
            </w:tcMar>
            <w:vAlign w:val="center"/>
          </w:tcPr>
          <w:p w14:paraId="44DCA4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2.26E-01</w:t>
            </w:r>
          </w:p>
        </w:tc>
        <w:tc>
          <w:tcPr>
            <w:tcW w:w="697" w:type="pct"/>
            <w:shd w:val="clear" w:color="auto" w:fill="auto"/>
            <w:noWrap w:val="0"/>
            <w:tcMar>
              <w:top w:w="0" w:type="dxa"/>
              <w:left w:w="28" w:type="dxa"/>
              <w:bottom w:w="0" w:type="dxa"/>
              <w:right w:w="28" w:type="dxa"/>
            </w:tcMar>
            <w:vAlign w:val="center"/>
          </w:tcPr>
          <w:p w14:paraId="5B0833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1.59E-01</w:t>
            </w:r>
          </w:p>
        </w:tc>
      </w:tr>
      <w:tr w14:paraId="455BC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62751E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w:t>
            </w:r>
          </w:p>
        </w:tc>
        <w:tc>
          <w:tcPr>
            <w:tcW w:w="765" w:type="pct"/>
            <w:noWrap w:val="0"/>
            <w:tcMar>
              <w:top w:w="0" w:type="dxa"/>
              <w:left w:w="28" w:type="dxa"/>
              <w:bottom w:w="0" w:type="dxa"/>
              <w:right w:w="28" w:type="dxa"/>
            </w:tcMar>
            <w:vAlign w:val="center"/>
          </w:tcPr>
          <w:p w14:paraId="13DE20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EBD2B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7.38E-19</w:t>
            </w:r>
          </w:p>
        </w:tc>
        <w:tc>
          <w:tcPr>
            <w:tcW w:w="682" w:type="pct"/>
            <w:noWrap w:val="0"/>
            <w:tcMar>
              <w:top w:w="0" w:type="dxa"/>
              <w:left w:w="28" w:type="dxa"/>
              <w:bottom w:w="0" w:type="dxa"/>
              <w:right w:w="28" w:type="dxa"/>
            </w:tcMar>
            <w:vAlign w:val="center"/>
          </w:tcPr>
          <w:p w14:paraId="20E6B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5.82E-10</w:t>
            </w:r>
          </w:p>
        </w:tc>
        <w:tc>
          <w:tcPr>
            <w:tcW w:w="682" w:type="pct"/>
            <w:shd w:val="clear" w:color="auto" w:fill="auto"/>
            <w:noWrap w:val="0"/>
            <w:tcMar>
              <w:top w:w="0" w:type="dxa"/>
              <w:left w:w="28" w:type="dxa"/>
              <w:bottom w:w="0" w:type="dxa"/>
              <w:right w:w="28" w:type="dxa"/>
            </w:tcMar>
            <w:vAlign w:val="center"/>
          </w:tcPr>
          <w:p w14:paraId="410617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1.13E-03</w:t>
            </w:r>
          </w:p>
        </w:tc>
        <w:tc>
          <w:tcPr>
            <w:tcW w:w="682" w:type="pct"/>
            <w:shd w:val="clear" w:color="auto" w:fill="auto"/>
            <w:noWrap w:val="0"/>
            <w:tcMar>
              <w:top w:w="0" w:type="dxa"/>
              <w:left w:w="28" w:type="dxa"/>
              <w:bottom w:w="0" w:type="dxa"/>
              <w:right w:w="28" w:type="dxa"/>
            </w:tcMar>
            <w:vAlign w:val="center"/>
          </w:tcPr>
          <w:p w14:paraId="77194B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4.49E-03</w:t>
            </w:r>
          </w:p>
        </w:tc>
        <w:tc>
          <w:tcPr>
            <w:tcW w:w="697" w:type="pct"/>
            <w:shd w:val="clear" w:color="auto" w:fill="auto"/>
            <w:noWrap w:val="0"/>
            <w:tcMar>
              <w:top w:w="0" w:type="dxa"/>
              <w:left w:w="28" w:type="dxa"/>
              <w:bottom w:w="0" w:type="dxa"/>
              <w:right w:w="28" w:type="dxa"/>
            </w:tcMar>
            <w:vAlign w:val="center"/>
          </w:tcPr>
          <w:p w14:paraId="0B2C72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2.54E-02</w:t>
            </w:r>
          </w:p>
        </w:tc>
      </w:tr>
      <w:tr w14:paraId="4F6861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127F745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w:t>
            </w:r>
          </w:p>
        </w:tc>
        <w:tc>
          <w:tcPr>
            <w:tcW w:w="765" w:type="pct"/>
            <w:shd w:val="clear" w:color="auto" w:fill="auto"/>
            <w:noWrap w:val="0"/>
            <w:tcMar>
              <w:top w:w="0" w:type="dxa"/>
              <w:left w:w="28" w:type="dxa"/>
              <w:bottom w:w="0" w:type="dxa"/>
              <w:right w:w="28" w:type="dxa"/>
            </w:tcMar>
            <w:vAlign w:val="center"/>
          </w:tcPr>
          <w:p w14:paraId="37D84A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19C01C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B3228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5.37E-37</w:t>
            </w:r>
          </w:p>
        </w:tc>
        <w:tc>
          <w:tcPr>
            <w:tcW w:w="682" w:type="pct"/>
            <w:shd w:val="clear" w:color="auto" w:fill="auto"/>
            <w:noWrap w:val="0"/>
            <w:tcMar>
              <w:top w:w="0" w:type="dxa"/>
              <w:left w:w="28" w:type="dxa"/>
              <w:bottom w:w="0" w:type="dxa"/>
              <w:right w:w="28" w:type="dxa"/>
            </w:tcMar>
            <w:vAlign w:val="center"/>
          </w:tcPr>
          <w:p w14:paraId="122E33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5.30E-11</w:t>
            </w:r>
          </w:p>
        </w:tc>
        <w:tc>
          <w:tcPr>
            <w:tcW w:w="682" w:type="pct"/>
            <w:noWrap w:val="0"/>
            <w:tcMar>
              <w:top w:w="0" w:type="dxa"/>
              <w:left w:w="28" w:type="dxa"/>
              <w:bottom w:w="0" w:type="dxa"/>
              <w:right w:w="28" w:type="dxa"/>
            </w:tcMar>
            <w:vAlign w:val="center"/>
          </w:tcPr>
          <w:p w14:paraId="403FC0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2.15E-08</w:t>
            </w:r>
          </w:p>
        </w:tc>
        <w:tc>
          <w:tcPr>
            <w:tcW w:w="697" w:type="pct"/>
            <w:noWrap w:val="0"/>
            <w:tcMar>
              <w:top w:w="0" w:type="dxa"/>
              <w:left w:w="28" w:type="dxa"/>
              <w:bottom w:w="0" w:type="dxa"/>
              <w:right w:w="28" w:type="dxa"/>
            </w:tcMar>
            <w:vAlign w:val="center"/>
          </w:tcPr>
          <w:p w14:paraId="0B271C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6.30E-05</w:t>
            </w:r>
          </w:p>
        </w:tc>
      </w:tr>
      <w:tr w14:paraId="54F638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6688C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w:t>
            </w:r>
          </w:p>
        </w:tc>
        <w:tc>
          <w:tcPr>
            <w:tcW w:w="765" w:type="pct"/>
            <w:noWrap w:val="0"/>
            <w:tcMar>
              <w:top w:w="0" w:type="dxa"/>
              <w:left w:w="28" w:type="dxa"/>
              <w:bottom w:w="0" w:type="dxa"/>
              <w:right w:w="28" w:type="dxa"/>
            </w:tcMar>
            <w:vAlign w:val="center"/>
          </w:tcPr>
          <w:p w14:paraId="3D6F36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701EEB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5A831E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24035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1.57E-40</w:t>
            </w:r>
          </w:p>
        </w:tc>
        <w:tc>
          <w:tcPr>
            <w:tcW w:w="682" w:type="pct"/>
            <w:noWrap w:val="0"/>
            <w:tcMar>
              <w:top w:w="0" w:type="dxa"/>
              <w:left w:w="28" w:type="dxa"/>
              <w:bottom w:w="0" w:type="dxa"/>
              <w:right w:w="28" w:type="dxa"/>
            </w:tcMar>
            <w:vAlign w:val="center"/>
          </w:tcPr>
          <w:p w14:paraId="4163D0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kern w:val="0"/>
                <w:sz w:val="21"/>
                <w:szCs w:val="21"/>
                <w:highlight w:val="none"/>
                <w:u w:val="none"/>
              </w:rPr>
            </w:pPr>
            <w:r>
              <w:rPr>
                <w:rFonts w:hint="eastAsia" w:ascii="Times New Roman" w:hAnsi="Times New Roman" w:eastAsia="宋体" w:cs="Times New Roman"/>
                <w:b w:val="0"/>
                <w:bCs w:val="0"/>
                <w:color w:val="auto"/>
                <w:kern w:val="0"/>
                <w:sz w:val="21"/>
                <w:szCs w:val="21"/>
                <w:highlight w:val="none"/>
                <w:u w:val="none"/>
              </w:rPr>
              <w:t>6.84E-30</w:t>
            </w:r>
          </w:p>
        </w:tc>
        <w:tc>
          <w:tcPr>
            <w:tcW w:w="697" w:type="pct"/>
            <w:noWrap w:val="0"/>
            <w:tcMar>
              <w:top w:w="0" w:type="dxa"/>
              <w:left w:w="28" w:type="dxa"/>
              <w:bottom w:w="0" w:type="dxa"/>
              <w:right w:w="28" w:type="dxa"/>
            </w:tcMar>
            <w:vAlign w:val="center"/>
          </w:tcPr>
          <w:p w14:paraId="160CF3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1.44E-15</w:t>
            </w:r>
          </w:p>
        </w:tc>
      </w:tr>
      <w:tr w14:paraId="1E853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0C21715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w:t>
            </w:r>
          </w:p>
        </w:tc>
        <w:tc>
          <w:tcPr>
            <w:tcW w:w="765" w:type="pct"/>
            <w:noWrap w:val="0"/>
            <w:tcMar>
              <w:top w:w="0" w:type="dxa"/>
              <w:left w:w="28" w:type="dxa"/>
              <w:bottom w:w="0" w:type="dxa"/>
              <w:right w:w="28" w:type="dxa"/>
            </w:tcMar>
            <w:vAlign w:val="center"/>
          </w:tcPr>
          <w:p w14:paraId="08BEE2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B9E07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F500C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1E22CA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7E53D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11BFEE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1.91E-33</w:t>
            </w:r>
          </w:p>
        </w:tc>
      </w:tr>
      <w:tr w14:paraId="1D4FE2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0C39B48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w:t>
            </w:r>
          </w:p>
        </w:tc>
        <w:tc>
          <w:tcPr>
            <w:tcW w:w="765" w:type="pct"/>
            <w:noWrap w:val="0"/>
            <w:tcMar>
              <w:top w:w="0" w:type="dxa"/>
              <w:left w:w="28" w:type="dxa"/>
              <w:bottom w:w="0" w:type="dxa"/>
              <w:right w:w="28" w:type="dxa"/>
            </w:tcMar>
            <w:vAlign w:val="center"/>
          </w:tcPr>
          <w:p w14:paraId="621C9F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217F4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13E08B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45458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523D1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10703D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55403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7E918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w:t>
            </w:r>
          </w:p>
        </w:tc>
        <w:tc>
          <w:tcPr>
            <w:tcW w:w="765" w:type="pct"/>
            <w:noWrap w:val="0"/>
            <w:tcMar>
              <w:top w:w="0" w:type="dxa"/>
              <w:left w:w="28" w:type="dxa"/>
              <w:bottom w:w="0" w:type="dxa"/>
              <w:right w:w="28" w:type="dxa"/>
            </w:tcMar>
            <w:vAlign w:val="center"/>
          </w:tcPr>
          <w:p w14:paraId="5555F1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09E56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01738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B3893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97D1F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5C6D0F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7F4858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23093F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60</w:t>
            </w:r>
          </w:p>
        </w:tc>
        <w:tc>
          <w:tcPr>
            <w:tcW w:w="765" w:type="pct"/>
            <w:noWrap w:val="0"/>
            <w:tcMar>
              <w:top w:w="0" w:type="dxa"/>
              <w:left w:w="28" w:type="dxa"/>
              <w:bottom w:w="0" w:type="dxa"/>
              <w:right w:w="28" w:type="dxa"/>
            </w:tcMar>
            <w:vAlign w:val="center"/>
          </w:tcPr>
          <w:p w14:paraId="76EB3F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E9BD0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872A7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8EE95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14BF1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7A0D5B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0724A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10F17B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765" w:type="pct"/>
            <w:noWrap w:val="0"/>
            <w:tcMar>
              <w:top w:w="0" w:type="dxa"/>
              <w:left w:w="28" w:type="dxa"/>
              <w:bottom w:w="0" w:type="dxa"/>
              <w:right w:w="28" w:type="dxa"/>
            </w:tcMar>
            <w:vAlign w:val="center"/>
          </w:tcPr>
          <w:p w14:paraId="6BF4C2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54051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04EF4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2A61E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B0020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41589D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8B704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547A23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80</w:t>
            </w:r>
          </w:p>
        </w:tc>
        <w:tc>
          <w:tcPr>
            <w:tcW w:w="765" w:type="pct"/>
            <w:noWrap w:val="0"/>
            <w:tcMar>
              <w:top w:w="0" w:type="dxa"/>
              <w:left w:w="28" w:type="dxa"/>
              <w:bottom w:w="0" w:type="dxa"/>
              <w:right w:w="28" w:type="dxa"/>
            </w:tcMar>
            <w:vAlign w:val="center"/>
          </w:tcPr>
          <w:p w14:paraId="5B10C5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8D9B5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35EAF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F1898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C5F16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5D1252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7C03E3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7B494B9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90</w:t>
            </w:r>
          </w:p>
        </w:tc>
        <w:tc>
          <w:tcPr>
            <w:tcW w:w="765" w:type="pct"/>
            <w:noWrap w:val="0"/>
            <w:tcMar>
              <w:top w:w="0" w:type="dxa"/>
              <w:left w:w="28" w:type="dxa"/>
              <w:bottom w:w="0" w:type="dxa"/>
              <w:right w:w="28" w:type="dxa"/>
            </w:tcMar>
            <w:vAlign w:val="center"/>
          </w:tcPr>
          <w:p w14:paraId="2D7AF5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FEA9E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FA225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26F53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066B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31F185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49FA20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13F90F1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w:t>
            </w:r>
          </w:p>
        </w:tc>
        <w:tc>
          <w:tcPr>
            <w:tcW w:w="765" w:type="pct"/>
            <w:shd w:val="clear" w:color="auto" w:fill="auto"/>
            <w:vAlign w:val="center"/>
          </w:tcPr>
          <w:p w14:paraId="7817BA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FE6AE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C0D0D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032AD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D7116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7D56AB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7A8A02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51300BD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200</w:t>
            </w:r>
          </w:p>
        </w:tc>
        <w:tc>
          <w:tcPr>
            <w:tcW w:w="765" w:type="pct"/>
            <w:shd w:val="clear" w:color="auto" w:fill="auto"/>
            <w:vAlign w:val="center"/>
          </w:tcPr>
          <w:p w14:paraId="32C381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B12F1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AF43A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C40D0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D4704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66BEE2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7565C8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7DA348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500</w:t>
            </w:r>
          </w:p>
        </w:tc>
        <w:tc>
          <w:tcPr>
            <w:tcW w:w="765" w:type="pct"/>
            <w:vAlign w:val="center"/>
          </w:tcPr>
          <w:p w14:paraId="6CF933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049BC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CEBC6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CCA52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E3E92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4AE935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14580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7F8DE58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1000</w:t>
            </w:r>
          </w:p>
        </w:tc>
        <w:tc>
          <w:tcPr>
            <w:tcW w:w="765" w:type="pct"/>
            <w:vAlign w:val="center"/>
          </w:tcPr>
          <w:p w14:paraId="7E038A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6CF49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B341F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D0EF7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D54DF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6E42B6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bl>
    <w:p w14:paraId="426E0359">
      <w:pPr>
        <w:spacing w:line="240" w:lineRule="auto"/>
        <w:ind w:left="0" w:leftChars="0" w:firstLine="0" w:firstLineChars="0"/>
        <w:jc w:val="center"/>
        <w:rPr>
          <w:rFonts w:hint="eastAsia"/>
          <w:b/>
          <w:bCs/>
          <w:sz w:val="21"/>
          <w:szCs w:val="21"/>
          <w:highlight w:val="none"/>
          <w:u w:val="none"/>
          <w:lang w:val="en-US" w:eastAsia="zh-CN"/>
        </w:rPr>
      </w:pPr>
    </w:p>
    <w:p w14:paraId="27349875">
      <w:pPr>
        <w:spacing w:line="240" w:lineRule="auto"/>
        <w:ind w:left="0" w:leftChars="0" w:firstLine="0" w:firstLineChars="0"/>
        <w:jc w:val="center"/>
        <w:rPr>
          <w:rFonts w:hint="default"/>
          <w:b/>
          <w:bCs/>
          <w:sz w:val="21"/>
          <w:szCs w:val="21"/>
          <w:highlight w:val="none"/>
          <w:u w:val="none"/>
          <w:lang w:val="en-US" w:eastAsia="zh-CN"/>
        </w:rPr>
      </w:pPr>
      <w:r>
        <w:rPr>
          <w:rFonts w:hint="eastAsia"/>
          <w:b/>
          <w:bCs/>
          <w:sz w:val="21"/>
          <w:szCs w:val="21"/>
          <w:highlight w:val="none"/>
          <w:u w:val="none"/>
          <w:lang w:val="en-US" w:eastAsia="zh-CN"/>
        </w:rPr>
        <w:t>表5.2-4  非正常状况下镍对地下水影响范围预测表</w:t>
      </w:r>
    </w:p>
    <w:tbl>
      <w:tblPr>
        <w:tblStyle w:val="46"/>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5"/>
        <w:gridCol w:w="1397"/>
        <w:gridCol w:w="1245"/>
        <w:gridCol w:w="1245"/>
        <w:gridCol w:w="1245"/>
        <w:gridCol w:w="1245"/>
        <w:gridCol w:w="1275"/>
      </w:tblGrid>
      <w:tr w14:paraId="499F6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tblHeader/>
        </w:trPr>
        <w:tc>
          <w:tcPr>
            <w:tcW w:w="808" w:type="pct"/>
            <w:vMerge w:val="restart"/>
            <w:noWrap w:val="0"/>
            <w:tcMar>
              <w:top w:w="0" w:type="dxa"/>
              <w:left w:w="28" w:type="dxa"/>
              <w:bottom w:w="0" w:type="dxa"/>
              <w:right w:w="28" w:type="dxa"/>
            </w:tcMar>
            <w:vAlign w:val="center"/>
          </w:tcPr>
          <w:p w14:paraId="4FFB46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0"/>
                <w:sz w:val="21"/>
                <w:szCs w:val="21"/>
                <w:highlight w:val="none"/>
                <w:u w:val="none"/>
                <w:lang w:eastAsia="zh-CN"/>
              </w:rPr>
            </w:pPr>
            <w:r>
              <w:rPr>
                <w:rFonts w:hint="eastAsia" w:ascii="Times New Roman" w:hAnsi="Times New Roman" w:eastAsia="宋体" w:cs="Times New Roman"/>
                <w:b/>
                <w:bCs/>
                <w:color w:val="auto"/>
                <w:kern w:val="0"/>
                <w:sz w:val="21"/>
                <w:szCs w:val="21"/>
                <w:highlight w:val="none"/>
                <w:u w:val="none"/>
                <w:lang w:val="en-US" w:eastAsia="zh-CN"/>
              </w:rPr>
              <w:t>距离（m）</w:t>
            </w:r>
          </w:p>
        </w:tc>
        <w:tc>
          <w:tcPr>
            <w:tcW w:w="4191" w:type="pct"/>
            <w:gridSpan w:val="6"/>
            <w:noWrap w:val="0"/>
            <w:tcMar>
              <w:top w:w="0" w:type="dxa"/>
              <w:left w:w="28" w:type="dxa"/>
              <w:bottom w:w="0" w:type="dxa"/>
              <w:right w:w="28" w:type="dxa"/>
            </w:tcMar>
            <w:vAlign w:val="center"/>
          </w:tcPr>
          <w:p w14:paraId="5C3D34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kern w:val="0"/>
                <w:sz w:val="21"/>
                <w:szCs w:val="21"/>
                <w:highlight w:val="none"/>
                <w:u w:val="none"/>
                <w:lang w:val="en-US" w:eastAsia="zh-CN"/>
              </w:rPr>
            </w:pPr>
            <w:r>
              <w:rPr>
                <w:rFonts w:hint="eastAsia" w:cs="Times New Roman"/>
                <w:b/>
                <w:bCs/>
                <w:color w:val="auto"/>
                <w:kern w:val="0"/>
                <w:sz w:val="21"/>
                <w:szCs w:val="21"/>
                <w:highlight w:val="none"/>
                <w:u w:val="none"/>
                <w:lang w:val="en-US" w:eastAsia="zh-CN"/>
              </w:rPr>
              <w:t>预测浓度（mg/L）</w:t>
            </w:r>
          </w:p>
        </w:tc>
      </w:tr>
      <w:tr w14:paraId="4BAE2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808" w:type="pct"/>
            <w:vMerge w:val="continue"/>
            <w:noWrap w:val="0"/>
            <w:tcMar>
              <w:top w:w="0" w:type="dxa"/>
              <w:left w:w="28" w:type="dxa"/>
              <w:bottom w:w="0" w:type="dxa"/>
              <w:right w:w="28" w:type="dxa"/>
            </w:tcMar>
            <w:vAlign w:val="center"/>
          </w:tcPr>
          <w:p w14:paraId="7BAA49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rPr>
            </w:pPr>
          </w:p>
        </w:tc>
        <w:tc>
          <w:tcPr>
            <w:tcW w:w="765" w:type="pct"/>
            <w:noWrap w:val="0"/>
            <w:tcMar>
              <w:top w:w="0" w:type="dxa"/>
              <w:left w:w="28" w:type="dxa"/>
              <w:bottom w:w="0" w:type="dxa"/>
              <w:right w:w="28" w:type="dxa"/>
            </w:tcMar>
            <w:vAlign w:val="center"/>
          </w:tcPr>
          <w:p w14:paraId="728E7D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10d</w:t>
            </w:r>
          </w:p>
        </w:tc>
        <w:tc>
          <w:tcPr>
            <w:tcW w:w="682" w:type="pct"/>
            <w:noWrap w:val="0"/>
            <w:tcMar>
              <w:top w:w="0" w:type="dxa"/>
              <w:left w:w="28" w:type="dxa"/>
              <w:bottom w:w="0" w:type="dxa"/>
              <w:right w:w="28" w:type="dxa"/>
            </w:tcMar>
            <w:vAlign w:val="center"/>
          </w:tcPr>
          <w:p w14:paraId="52E705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50d</w:t>
            </w:r>
          </w:p>
        </w:tc>
        <w:tc>
          <w:tcPr>
            <w:tcW w:w="682" w:type="pct"/>
            <w:noWrap w:val="0"/>
            <w:tcMar>
              <w:top w:w="0" w:type="dxa"/>
              <w:left w:w="28" w:type="dxa"/>
              <w:bottom w:w="0" w:type="dxa"/>
              <w:right w:w="28" w:type="dxa"/>
            </w:tcMar>
            <w:vAlign w:val="center"/>
          </w:tcPr>
          <w:p w14:paraId="54A511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100d</w:t>
            </w:r>
          </w:p>
        </w:tc>
        <w:tc>
          <w:tcPr>
            <w:tcW w:w="682" w:type="pct"/>
            <w:noWrap w:val="0"/>
            <w:tcMar>
              <w:top w:w="0" w:type="dxa"/>
              <w:left w:w="28" w:type="dxa"/>
              <w:bottom w:w="0" w:type="dxa"/>
              <w:right w:w="28" w:type="dxa"/>
            </w:tcMar>
            <w:vAlign w:val="center"/>
          </w:tcPr>
          <w:p w14:paraId="118B45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365</w:t>
            </w:r>
            <w:r>
              <w:rPr>
                <w:rFonts w:ascii="Times New Roman" w:hAnsi="Times New Roman" w:eastAsia="宋体" w:cs="Times New Roman"/>
                <w:b/>
                <w:bCs/>
                <w:color w:val="auto"/>
                <w:kern w:val="0"/>
                <w:sz w:val="21"/>
                <w:szCs w:val="21"/>
                <w:highlight w:val="none"/>
                <w:u w:val="none"/>
              </w:rPr>
              <w:t>d</w:t>
            </w:r>
          </w:p>
        </w:tc>
        <w:tc>
          <w:tcPr>
            <w:tcW w:w="682" w:type="pct"/>
            <w:noWrap w:val="0"/>
            <w:tcMar>
              <w:top w:w="0" w:type="dxa"/>
              <w:left w:w="28" w:type="dxa"/>
              <w:bottom w:w="0" w:type="dxa"/>
              <w:right w:w="28" w:type="dxa"/>
            </w:tcMar>
            <w:vAlign w:val="center"/>
          </w:tcPr>
          <w:p w14:paraId="232D6A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5</w:t>
            </w:r>
            <w:r>
              <w:rPr>
                <w:rFonts w:ascii="Times New Roman" w:hAnsi="Times New Roman" w:eastAsia="宋体" w:cs="Times New Roman"/>
                <w:b/>
                <w:bCs/>
                <w:color w:val="auto"/>
                <w:kern w:val="0"/>
                <w:sz w:val="21"/>
                <w:szCs w:val="21"/>
                <w:highlight w:val="none"/>
                <w:u w:val="none"/>
              </w:rPr>
              <w:t>00d</w:t>
            </w:r>
          </w:p>
        </w:tc>
        <w:tc>
          <w:tcPr>
            <w:tcW w:w="697" w:type="pct"/>
            <w:noWrap w:val="0"/>
            <w:tcMar>
              <w:top w:w="0" w:type="dxa"/>
              <w:left w:w="28" w:type="dxa"/>
              <w:bottom w:w="0" w:type="dxa"/>
              <w:right w:w="28" w:type="dxa"/>
            </w:tcMar>
            <w:vAlign w:val="center"/>
          </w:tcPr>
          <w:p w14:paraId="7005CE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10</w:t>
            </w:r>
            <w:r>
              <w:rPr>
                <w:rFonts w:ascii="Times New Roman" w:hAnsi="Times New Roman" w:eastAsia="宋体" w:cs="Times New Roman"/>
                <w:b/>
                <w:bCs/>
                <w:color w:val="auto"/>
                <w:kern w:val="0"/>
                <w:sz w:val="21"/>
                <w:szCs w:val="21"/>
                <w:highlight w:val="none"/>
                <w:u w:val="none"/>
              </w:rPr>
              <w:t>00d</w:t>
            </w:r>
          </w:p>
        </w:tc>
      </w:tr>
      <w:tr w14:paraId="1C9729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93E60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w:t>
            </w:r>
          </w:p>
        </w:tc>
        <w:tc>
          <w:tcPr>
            <w:tcW w:w="765" w:type="pct"/>
            <w:noWrap w:val="0"/>
            <w:tcMar>
              <w:top w:w="0" w:type="dxa"/>
              <w:left w:w="28" w:type="dxa"/>
              <w:bottom w:w="0" w:type="dxa"/>
              <w:right w:w="28" w:type="dxa"/>
            </w:tcMar>
            <w:vAlign w:val="center"/>
          </w:tcPr>
          <w:p w14:paraId="400D82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lang w:val="en-US" w:eastAsia="zh-CN"/>
              </w:rPr>
              <w:t>9.50E-02</w:t>
            </w:r>
          </w:p>
        </w:tc>
        <w:tc>
          <w:tcPr>
            <w:tcW w:w="682" w:type="pct"/>
            <w:shd w:val="clear" w:color="auto" w:fill="auto"/>
            <w:noWrap w:val="0"/>
            <w:tcMar>
              <w:top w:w="0" w:type="dxa"/>
              <w:left w:w="28" w:type="dxa"/>
              <w:bottom w:w="0" w:type="dxa"/>
              <w:right w:w="28" w:type="dxa"/>
            </w:tcMar>
            <w:vAlign w:val="center"/>
          </w:tcPr>
          <w:p w14:paraId="496A48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4.25E-02</w:t>
            </w:r>
          </w:p>
        </w:tc>
        <w:tc>
          <w:tcPr>
            <w:tcW w:w="682" w:type="pct"/>
            <w:noWrap w:val="0"/>
            <w:tcMar>
              <w:top w:w="0" w:type="dxa"/>
              <w:left w:w="28" w:type="dxa"/>
              <w:bottom w:w="0" w:type="dxa"/>
              <w:right w:w="28" w:type="dxa"/>
            </w:tcMar>
            <w:vAlign w:val="center"/>
          </w:tcPr>
          <w:p w14:paraId="08FCEA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3.00E-02</w:t>
            </w:r>
          </w:p>
        </w:tc>
        <w:tc>
          <w:tcPr>
            <w:tcW w:w="682" w:type="pct"/>
            <w:shd w:val="clear" w:color="auto" w:fill="auto"/>
            <w:noWrap w:val="0"/>
            <w:tcMar>
              <w:top w:w="0" w:type="dxa"/>
              <w:left w:w="28" w:type="dxa"/>
              <w:bottom w:w="0" w:type="dxa"/>
              <w:right w:w="28" w:type="dxa"/>
            </w:tcMar>
            <w:vAlign w:val="center"/>
          </w:tcPr>
          <w:p w14:paraId="647F33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1.57E-02</w:t>
            </w:r>
          </w:p>
        </w:tc>
        <w:tc>
          <w:tcPr>
            <w:tcW w:w="682" w:type="pct"/>
            <w:shd w:val="clear" w:color="auto" w:fill="auto"/>
            <w:noWrap w:val="0"/>
            <w:tcMar>
              <w:top w:w="0" w:type="dxa"/>
              <w:left w:w="28" w:type="dxa"/>
              <w:bottom w:w="0" w:type="dxa"/>
              <w:right w:w="28" w:type="dxa"/>
            </w:tcMar>
            <w:vAlign w:val="center"/>
          </w:tcPr>
          <w:p w14:paraId="08D6D8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1.34E-02</w:t>
            </w:r>
          </w:p>
        </w:tc>
        <w:tc>
          <w:tcPr>
            <w:tcW w:w="697" w:type="pct"/>
            <w:shd w:val="clear" w:color="auto" w:fill="auto"/>
            <w:noWrap w:val="0"/>
            <w:tcMar>
              <w:top w:w="0" w:type="dxa"/>
              <w:left w:w="28" w:type="dxa"/>
              <w:bottom w:w="0" w:type="dxa"/>
              <w:right w:w="28" w:type="dxa"/>
            </w:tcMar>
            <w:vAlign w:val="center"/>
          </w:tcPr>
          <w:p w14:paraId="3C217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9.43E-03</w:t>
            </w:r>
          </w:p>
        </w:tc>
      </w:tr>
      <w:tr w14:paraId="0A885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5F5761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w:t>
            </w:r>
          </w:p>
        </w:tc>
        <w:tc>
          <w:tcPr>
            <w:tcW w:w="765" w:type="pct"/>
            <w:noWrap w:val="0"/>
            <w:tcMar>
              <w:top w:w="0" w:type="dxa"/>
              <w:left w:w="28" w:type="dxa"/>
              <w:bottom w:w="0" w:type="dxa"/>
              <w:right w:w="28" w:type="dxa"/>
            </w:tcMar>
            <w:vAlign w:val="center"/>
          </w:tcPr>
          <w:p w14:paraId="01B163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68028A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4.38E-20</w:t>
            </w:r>
          </w:p>
        </w:tc>
        <w:tc>
          <w:tcPr>
            <w:tcW w:w="682" w:type="pct"/>
            <w:noWrap w:val="0"/>
            <w:tcMar>
              <w:top w:w="0" w:type="dxa"/>
              <w:left w:w="28" w:type="dxa"/>
              <w:bottom w:w="0" w:type="dxa"/>
              <w:right w:w="28" w:type="dxa"/>
            </w:tcMar>
            <w:vAlign w:val="center"/>
          </w:tcPr>
          <w:p w14:paraId="15C1A0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3.45E-11</w:t>
            </w:r>
          </w:p>
        </w:tc>
        <w:tc>
          <w:tcPr>
            <w:tcW w:w="682" w:type="pct"/>
            <w:shd w:val="clear" w:color="auto" w:fill="auto"/>
            <w:noWrap w:val="0"/>
            <w:tcMar>
              <w:top w:w="0" w:type="dxa"/>
              <w:left w:w="28" w:type="dxa"/>
              <w:bottom w:w="0" w:type="dxa"/>
              <w:right w:w="28" w:type="dxa"/>
            </w:tcMar>
            <w:vAlign w:val="center"/>
          </w:tcPr>
          <w:p w14:paraId="376FA7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6.69E-05</w:t>
            </w:r>
          </w:p>
        </w:tc>
        <w:tc>
          <w:tcPr>
            <w:tcW w:w="682" w:type="pct"/>
            <w:shd w:val="clear" w:color="auto" w:fill="auto"/>
            <w:noWrap w:val="0"/>
            <w:tcMar>
              <w:top w:w="0" w:type="dxa"/>
              <w:left w:w="28" w:type="dxa"/>
              <w:bottom w:w="0" w:type="dxa"/>
              <w:right w:w="28" w:type="dxa"/>
            </w:tcMar>
            <w:vAlign w:val="center"/>
          </w:tcPr>
          <w:p w14:paraId="75BBDE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2.66E-04</w:t>
            </w:r>
          </w:p>
        </w:tc>
        <w:tc>
          <w:tcPr>
            <w:tcW w:w="697" w:type="pct"/>
            <w:shd w:val="clear" w:color="auto" w:fill="auto"/>
            <w:noWrap w:val="0"/>
            <w:tcMar>
              <w:top w:w="0" w:type="dxa"/>
              <w:left w:w="28" w:type="dxa"/>
              <w:bottom w:w="0" w:type="dxa"/>
              <w:right w:w="28" w:type="dxa"/>
            </w:tcMar>
            <w:vAlign w:val="center"/>
          </w:tcPr>
          <w:p w14:paraId="006F51E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1.51E-03</w:t>
            </w:r>
          </w:p>
        </w:tc>
      </w:tr>
      <w:tr w14:paraId="51D3E8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91A13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w:t>
            </w:r>
          </w:p>
        </w:tc>
        <w:tc>
          <w:tcPr>
            <w:tcW w:w="765" w:type="pct"/>
            <w:shd w:val="clear" w:color="auto" w:fill="auto"/>
            <w:noWrap w:val="0"/>
            <w:tcMar>
              <w:top w:w="0" w:type="dxa"/>
              <w:left w:w="28" w:type="dxa"/>
              <w:bottom w:w="0" w:type="dxa"/>
              <w:right w:w="28" w:type="dxa"/>
            </w:tcMar>
            <w:vAlign w:val="center"/>
          </w:tcPr>
          <w:p w14:paraId="59EBFF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187A05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78CE1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3.19E-38</w:t>
            </w:r>
          </w:p>
        </w:tc>
        <w:tc>
          <w:tcPr>
            <w:tcW w:w="682" w:type="pct"/>
            <w:shd w:val="clear" w:color="auto" w:fill="auto"/>
            <w:noWrap w:val="0"/>
            <w:tcMar>
              <w:top w:w="0" w:type="dxa"/>
              <w:left w:w="28" w:type="dxa"/>
              <w:bottom w:w="0" w:type="dxa"/>
              <w:right w:w="28" w:type="dxa"/>
            </w:tcMar>
            <w:vAlign w:val="center"/>
          </w:tcPr>
          <w:p w14:paraId="0EEFE7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3.14E-12</w:t>
            </w:r>
          </w:p>
        </w:tc>
        <w:tc>
          <w:tcPr>
            <w:tcW w:w="682" w:type="pct"/>
            <w:noWrap w:val="0"/>
            <w:tcMar>
              <w:top w:w="0" w:type="dxa"/>
              <w:left w:w="28" w:type="dxa"/>
              <w:bottom w:w="0" w:type="dxa"/>
              <w:right w:w="28" w:type="dxa"/>
            </w:tcMar>
            <w:vAlign w:val="center"/>
          </w:tcPr>
          <w:p w14:paraId="03AFBA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1.28E-09</w:t>
            </w:r>
          </w:p>
        </w:tc>
        <w:tc>
          <w:tcPr>
            <w:tcW w:w="697" w:type="pct"/>
            <w:noWrap w:val="0"/>
            <w:tcMar>
              <w:top w:w="0" w:type="dxa"/>
              <w:left w:w="28" w:type="dxa"/>
              <w:bottom w:w="0" w:type="dxa"/>
              <w:right w:w="28" w:type="dxa"/>
            </w:tcMar>
            <w:vAlign w:val="center"/>
          </w:tcPr>
          <w:p w14:paraId="0DD614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3.74E-06</w:t>
            </w:r>
          </w:p>
        </w:tc>
      </w:tr>
      <w:tr w14:paraId="6123DF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0B07B93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w:t>
            </w:r>
          </w:p>
        </w:tc>
        <w:tc>
          <w:tcPr>
            <w:tcW w:w="765" w:type="pct"/>
            <w:noWrap w:val="0"/>
            <w:tcMar>
              <w:top w:w="0" w:type="dxa"/>
              <w:left w:w="28" w:type="dxa"/>
              <w:bottom w:w="0" w:type="dxa"/>
              <w:right w:w="28" w:type="dxa"/>
            </w:tcMar>
            <w:vAlign w:val="center"/>
          </w:tcPr>
          <w:p w14:paraId="3BF252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163EB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FCED5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52561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9.29E-42</w:t>
            </w:r>
          </w:p>
        </w:tc>
        <w:tc>
          <w:tcPr>
            <w:tcW w:w="682" w:type="pct"/>
            <w:noWrap w:val="0"/>
            <w:tcMar>
              <w:top w:w="0" w:type="dxa"/>
              <w:left w:w="28" w:type="dxa"/>
              <w:bottom w:w="0" w:type="dxa"/>
              <w:right w:w="28" w:type="dxa"/>
            </w:tcMar>
            <w:vAlign w:val="center"/>
          </w:tcPr>
          <w:p w14:paraId="1E7522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kern w:val="0"/>
                <w:sz w:val="21"/>
                <w:szCs w:val="21"/>
                <w:highlight w:val="none"/>
                <w:u w:val="none"/>
              </w:rPr>
            </w:pPr>
            <w:r>
              <w:rPr>
                <w:rFonts w:hint="eastAsia" w:ascii="Times New Roman" w:hAnsi="Times New Roman" w:eastAsia="宋体" w:cs="Times New Roman"/>
                <w:b w:val="0"/>
                <w:bCs w:val="0"/>
                <w:color w:val="auto"/>
                <w:kern w:val="0"/>
                <w:sz w:val="21"/>
                <w:szCs w:val="21"/>
                <w:highlight w:val="none"/>
                <w:u w:val="none"/>
              </w:rPr>
              <w:t>4.05E-31</w:t>
            </w:r>
          </w:p>
        </w:tc>
        <w:tc>
          <w:tcPr>
            <w:tcW w:w="697" w:type="pct"/>
            <w:noWrap w:val="0"/>
            <w:tcMar>
              <w:top w:w="0" w:type="dxa"/>
              <w:left w:w="28" w:type="dxa"/>
              <w:bottom w:w="0" w:type="dxa"/>
              <w:right w:w="28" w:type="dxa"/>
            </w:tcMar>
            <w:vAlign w:val="center"/>
          </w:tcPr>
          <w:p w14:paraId="78C657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8.56E-17</w:t>
            </w:r>
          </w:p>
        </w:tc>
      </w:tr>
      <w:tr w14:paraId="55FB9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15CABB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w:t>
            </w:r>
          </w:p>
        </w:tc>
        <w:tc>
          <w:tcPr>
            <w:tcW w:w="765" w:type="pct"/>
            <w:noWrap w:val="0"/>
            <w:tcMar>
              <w:top w:w="0" w:type="dxa"/>
              <w:left w:w="28" w:type="dxa"/>
              <w:bottom w:w="0" w:type="dxa"/>
              <w:right w:w="28" w:type="dxa"/>
            </w:tcMar>
            <w:vAlign w:val="center"/>
          </w:tcPr>
          <w:p w14:paraId="32EEE4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3E07E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5B6BB5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C815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B71B2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2382FE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1.13E-34</w:t>
            </w:r>
          </w:p>
        </w:tc>
      </w:tr>
      <w:tr w14:paraId="122830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C14468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w:t>
            </w:r>
          </w:p>
        </w:tc>
        <w:tc>
          <w:tcPr>
            <w:tcW w:w="765" w:type="pct"/>
            <w:noWrap w:val="0"/>
            <w:tcMar>
              <w:top w:w="0" w:type="dxa"/>
              <w:left w:w="28" w:type="dxa"/>
              <w:bottom w:w="0" w:type="dxa"/>
              <w:right w:w="28" w:type="dxa"/>
            </w:tcMar>
            <w:vAlign w:val="center"/>
          </w:tcPr>
          <w:p w14:paraId="0F3AAB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04638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50D07F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7E082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343B4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40A3D3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022DF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747EFE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w:t>
            </w:r>
          </w:p>
        </w:tc>
        <w:tc>
          <w:tcPr>
            <w:tcW w:w="765" w:type="pct"/>
            <w:noWrap w:val="0"/>
            <w:tcMar>
              <w:top w:w="0" w:type="dxa"/>
              <w:left w:w="28" w:type="dxa"/>
              <w:bottom w:w="0" w:type="dxa"/>
              <w:right w:w="28" w:type="dxa"/>
            </w:tcMar>
            <w:vAlign w:val="center"/>
          </w:tcPr>
          <w:p w14:paraId="0DA189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C84C2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05AAF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1A21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6D290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79C121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863D0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602BBA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60</w:t>
            </w:r>
          </w:p>
        </w:tc>
        <w:tc>
          <w:tcPr>
            <w:tcW w:w="765" w:type="pct"/>
            <w:noWrap w:val="0"/>
            <w:tcMar>
              <w:top w:w="0" w:type="dxa"/>
              <w:left w:w="28" w:type="dxa"/>
              <w:bottom w:w="0" w:type="dxa"/>
              <w:right w:w="28" w:type="dxa"/>
            </w:tcMar>
            <w:vAlign w:val="center"/>
          </w:tcPr>
          <w:p w14:paraId="0EE71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2FBA0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12AC6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7B7F5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17399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5742D2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4899A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95B439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765" w:type="pct"/>
            <w:noWrap w:val="0"/>
            <w:tcMar>
              <w:top w:w="0" w:type="dxa"/>
              <w:left w:w="28" w:type="dxa"/>
              <w:bottom w:w="0" w:type="dxa"/>
              <w:right w:w="28" w:type="dxa"/>
            </w:tcMar>
            <w:vAlign w:val="center"/>
          </w:tcPr>
          <w:p w14:paraId="08B79B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235CC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28C60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41415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5373A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5D7F13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3DE67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A2132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80</w:t>
            </w:r>
          </w:p>
        </w:tc>
        <w:tc>
          <w:tcPr>
            <w:tcW w:w="765" w:type="pct"/>
            <w:noWrap w:val="0"/>
            <w:tcMar>
              <w:top w:w="0" w:type="dxa"/>
              <w:left w:w="28" w:type="dxa"/>
              <w:bottom w:w="0" w:type="dxa"/>
              <w:right w:w="28" w:type="dxa"/>
            </w:tcMar>
            <w:vAlign w:val="center"/>
          </w:tcPr>
          <w:p w14:paraId="5355AB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4673F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503FB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EE284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488BA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3FC79A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101582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63A0AF9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90</w:t>
            </w:r>
          </w:p>
        </w:tc>
        <w:tc>
          <w:tcPr>
            <w:tcW w:w="765" w:type="pct"/>
            <w:noWrap w:val="0"/>
            <w:tcMar>
              <w:top w:w="0" w:type="dxa"/>
              <w:left w:w="28" w:type="dxa"/>
              <w:bottom w:w="0" w:type="dxa"/>
              <w:right w:w="28" w:type="dxa"/>
            </w:tcMar>
            <w:vAlign w:val="center"/>
          </w:tcPr>
          <w:p w14:paraId="25348F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A9377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BD652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CD37E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FBAFA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5E0580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34C7C9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29A1F4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w:t>
            </w:r>
          </w:p>
        </w:tc>
        <w:tc>
          <w:tcPr>
            <w:tcW w:w="765" w:type="pct"/>
            <w:shd w:val="clear" w:color="auto" w:fill="auto"/>
            <w:vAlign w:val="center"/>
          </w:tcPr>
          <w:p w14:paraId="02A014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7F458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37EDD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302AF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656C5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35DC1E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4A377B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2961FA4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200</w:t>
            </w:r>
          </w:p>
        </w:tc>
        <w:tc>
          <w:tcPr>
            <w:tcW w:w="765" w:type="pct"/>
            <w:shd w:val="clear" w:color="auto" w:fill="auto"/>
            <w:vAlign w:val="center"/>
          </w:tcPr>
          <w:p w14:paraId="268498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CE2DF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FAB06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349F8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0BBA6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61C825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1E483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7C4264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500</w:t>
            </w:r>
          </w:p>
        </w:tc>
        <w:tc>
          <w:tcPr>
            <w:tcW w:w="765" w:type="pct"/>
            <w:vAlign w:val="center"/>
          </w:tcPr>
          <w:p w14:paraId="58ACF9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4A44EE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5E944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DC2DF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AFFF7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6EF355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81D03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6B5496F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1000</w:t>
            </w:r>
          </w:p>
        </w:tc>
        <w:tc>
          <w:tcPr>
            <w:tcW w:w="765" w:type="pct"/>
            <w:vAlign w:val="center"/>
          </w:tcPr>
          <w:p w14:paraId="56917B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41AF7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4F3A1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C6D0B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96863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75E295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bl>
    <w:p w14:paraId="1E46B547">
      <w:pPr>
        <w:spacing w:line="240" w:lineRule="auto"/>
        <w:ind w:left="0" w:leftChars="0" w:firstLine="0" w:firstLineChars="0"/>
        <w:jc w:val="center"/>
        <w:rPr>
          <w:rFonts w:hint="default"/>
          <w:b/>
          <w:bCs/>
          <w:sz w:val="21"/>
          <w:szCs w:val="21"/>
          <w:highlight w:val="none"/>
          <w:u w:val="none"/>
          <w:lang w:val="en-US" w:eastAsia="zh-CN"/>
        </w:rPr>
      </w:pPr>
      <w:r>
        <w:rPr>
          <w:rFonts w:hint="eastAsia"/>
          <w:b/>
          <w:bCs/>
          <w:sz w:val="21"/>
          <w:szCs w:val="21"/>
          <w:highlight w:val="none"/>
          <w:u w:val="none"/>
          <w:lang w:val="en-US" w:eastAsia="zh-CN"/>
        </w:rPr>
        <w:t>表5.2-5  非正常状况下铬对地下水影响范围预测表</w:t>
      </w:r>
    </w:p>
    <w:tbl>
      <w:tblPr>
        <w:tblStyle w:val="46"/>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75"/>
        <w:gridCol w:w="1397"/>
        <w:gridCol w:w="1245"/>
        <w:gridCol w:w="1245"/>
        <w:gridCol w:w="1245"/>
        <w:gridCol w:w="1245"/>
        <w:gridCol w:w="1275"/>
      </w:tblGrid>
      <w:tr w14:paraId="35FC79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tblHeader/>
        </w:trPr>
        <w:tc>
          <w:tcPr>
            <w:tcW w:w="808" w:type="pct"/>
            <w:vMerge w:val="restart"/>
            <w:noWrap w:val="0"/>
            <w:tcMar>
              <w:top w:w="0" w:type="dxa"/>
              <w:left w:w="28" w:type="dxa"/>
              <w:bottom w:w="0" w:type="dxa"/>
              <w:right w:w="28" w:type="dxa"/>
            </w:tcMar>
            <w:vAlign w:val="center"/>
          </w:tcPr>
          <w:p w14:paraId="6CBED4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0"/>
                <w:sz w:val="21"/>
                <w:szCs w:val="21"/>
                <w:highlight w:val="none"/>
                <w:u w:val="none"/>
                <w:lang w:eastAsia="zh-CN"/>
              </w:rPr>
            </w:pPr>
            <w:r>
              <w:rPr>
                <w:rFonts w:hint="eastAsia" w:ascii="Times New Roman" w:hAnsi="Times New Roman" w:eastAsia="宋体" w:cs="Times New Roman"/>
                <w:b/>
                <w:bCs/>
                <w:color w:val="auto"/>
                <w:kern w:val="0"/>
                <w:sz w:val="21"/>
                <w:szCs w:val="21"/>
                <w:highlight w:val="none"/>
                <w:u w:val="none"/>
                <w:lang w:val="en-US" w:eastAsia="zh-CN"/>
              </w:rPr>
              <w:t>距离（m）</w:t>
            </w:r>
          </w:p>
        </w:tc>
        <w:tc>
          <w:tcPr>
            <w:tcW w:w="4191" w:type="pct"/>
            <w:gridSpan w:val="6"/>
            <w:noWrap w:val="0"/>
            <w:tcMar>
              <w:top w:w="0" w:type="dxa"/>
              <w:left w:w="28" w:type="dxa"/>
              <w:bottom w:w="0" w:type="dxa"/>
              <w:right w:w="28" w:type="dxa"/>
            </w:tcMar>
            <w:vAlign w:val="center"/>
          </w:tcPr>
          <w:p w14:paraId="650D38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cs="Times New Roman"/>
                <w:b/>
                <w:bCs/>
                <w:color w:val="auto"/>
                <w:kern w:val="0"/>
                <w:sz w:val="21"/>
                <w:szCs w:val="21"/>
                <w:highlight w:val="none"/>
                <w:u w:val="none"/>
                <w:lang w:val="en-US" w:eastAsia="zh-CN"/>
              </w:rPr>
            </w:pPr>
            <w:r>
              <w:rPr>
                <w:rFonts w:hint="eastAsia" w:cs="Times New Roman"/>
                <w:b/>
                <w:bCs/>
                <w:color w:val="auto"/>
                <w:kern w:val="0"/>
                <w:sz w:val="21"/>
                <w:szCs w:val="21"/>
                <w:highlight w:val="none"/>
                <w:u w:val="none"/>
                <w:lang w:val="en-US" w:eastAsia="zh-CN"/>
              </w:rPr>
              <w:t>预测浓度（mg/L）</w:t>
            </w:r>
          </w:p>
        </w:tc>
      </w:tr>
      <w:tr w14:paraId="733CD5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808" w:type="pct"/>
            <w:vMerge w:val="continue"/>
            <w:noWrap w:val="0"/>
            <w:tcMar>
              <w:top w:w="0" w:type="dxa"/>
              <w:left w:w="28" w:type="dxa"/>
              <w:bottom w:w="0" w:type="dxa"/>
              <w:right w:w="28" w:type="dxa"/>
            </w:tcMar>
            <w:vAlign w:val="center"/>
          </w:tcPr>
          <w:p w14:paraId="2D3880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rPr>
            </w:pPr>
          </w:p>
        </w:tc>
        <w:tc>
          <w:tcPr>
            <w:tcW w:w="765" w:type="pct"/>
            <w:noWrap w:val="0"/>
            <w:tcMar>
              <w:top w:w="0" w:type="dxa"/>
              <w:left w:w="28" w:type="dxa"/>
              <w:bottom w:w="0" w:type="dxa"/>
              <w:right w:w="28" w:type="dxa"/>
            </w:tcMar>
            <w:vAlign w:val="center"/>
          </w:tcPr>
          <w:p w14:paraId="28F60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10d</w:t>
            </w:r>
          </w:p>
        </w:tc>
        <w:tc>
          <w:tcPr>
            <w:tcW w:w="682" w:type="pct"/>
            <w:noWrap w:val="0"/>
            <w:tcMar>
              <w:top w:w="0" w:type="dxa"/>
              <w:left w:w="28" w:type="dxa"/>
              <w:bottom w:w="0" w:type="dxa"/>
              <w:right w:w="28" w:type="dxa"/>
            </w:tcMar>
            <w:vAlign w:val="center"/>
          </w:tcPr>
          <w:p w14:paraId="2DAC00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50d</w:t>
            </w:r>
          </w:p>
        </w:tc>
        <w:tc>
          <w:tcPr>
            <w:tcW w:w="682" w:type="pct"/>
            <w:noWrap w:val="0"/>
            <w:tcMar>
              <w:top w:w="0" w:type="dxa"/>
              <w:left w:w="28" w:type="dxa"/>
              <w:bottom w:w="0" w:type="dxa"/>
              <w:right w:w="28" w:type="dxa"/>
            </w:tcMar>
            <w:vAlign w:val="center"/>
          </w:tcPr>
          <w:p w14:paraId="0925BD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ascii="Times New Roman" w:hAnsi="Times New Roman" w:eastAsia="宋体" w:cs="Times New Roman"/>
                <w:b/>
                <w:bCs/>
                <w:color w:val="auto"/>
                <w:kern w:val="0"/>
                <w:sz w:val="21"/>
                <w:szCs w:val="21"/>
                <w:highlight w:val="none"/>
                <w:u w:val="none"/>
              </w:rPr>
              <w:t>100d</w:t>
            </w:r>
          </w:p>
        </w:tc>
        <w:tc>
          <w:tcPr>
            <w:tcW w:w="682" w:type="pct"/>
            <w:noWrap w:val="0"/>
            <w:tcMar>
              <w:top w:w="0" w:type="dxa"/>
              <w:left w:w="28" w:type="dxa"/>
              <w:bottom w:w="0" w:type="dxa"/>
              <w:right w:w="28" w:type="dxa"/>
            </w:tcMar>
            <w:vAlign w:val="center"/>
          </w:tcPr>
          <w:p w14:paraId="2A252D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365</w:t>
            </w:r>
            <w:r>
              <w:rPr>
                <w:rFonts w:ascii="Times New Roman" w:hAnsi="Times New Roman" w:eastAsia="宋体" w:cs="Times New Roman"/>
                <w:b/>
                <w:bCs/>
                <w:color w:val="auto"/>
                <w:kern w:val="0"/>
                <w:sz w:val="21"/>
                <w:szCs w:val="21"/>
                <w:highlight w:val="none"/>
                <w:u w:val="none"/>
              </w:rPr>
              <w:t>d</w:t>
            </w:r>
          </w:p>
        </w:tc>
        <w:tc>
          <w:tcPr>
            <w:tcW w:w="682" w:type="pct"/>
            <w:noWrap w:val="0"/>
            <w:tcMar>
              <w:top w:w="0" w:type="dxa"/>
              <w:left w:w="28" w:type="dxa"/>
              <w:bottom w:w="0" w:type="dxa"/>
              <w:right w:w="28" w:type="dxa"/>
            </w:tcMar>
            <w:vAlign w:val="center"/>
          </w:tcPr>
          <w:p w14:paraId="5743AB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5</w:t>
            </w:r>
            <w:r>
              <w:rPr>
                <w:rFonts w:ascii="Times New Roman" w:hAnsi="Times New Roman" w:eastAsia="宋体" w:cs="Times New Roman"/>
                <w:b/>
                <w:bCs/>
                <w:color w:val="auto"/>
                <w:kern w:val="0"/>
                <w:sz w:val="21"/>
                <w:szCs w:val="21"/>
                <w:highlight w:val="none"/>
                <w:u w:val="none"/>
              </w:rPr>
              <w:t>00d</w:t>
            </w:r>
          </w:p>
        </w:tc>
        <w:tc>
          <w:tcPr>
            <w:tcW w:w="697" w:type="pct"/>
            <w:noWrap w:val="0"/>
            <w:tcMar>
              <w:top w:w="0" w:type="dxa"/>
              <w:left w:w="28" w:type="dxa"/>
              <w:bottom w:w="0" w:type="dxa"/>
              <w:right w:w="28" w:type="dxa"/>
            </w:tcMar>
            <w:vAlign w:val="center"/>
          </w:tcPr>
          <w:p w14:paraId="2025D1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bCs/>
                <w:color w:val="auto"/>
                <w:kern w:val="0"/>
                <w:sz w:val="21"/>
                <w:szCs w:val="21"/>
                <w:highlight w:val="none"/>
                <w:u w:val="none"/>
                <w:lang w:val="en-US" w:eastAsia="zh-CN" w:bidi="ar-SA"/>
              </w:rPr>
            </w:pPr>
            <w:r>
              <w:rPr>
                <w:rFonts w:hint="eastAsia" w:cs="Times New Roman"/>
                <w:b/>
                <w:bCs/>
                <w:color w:val="auto"/>
                <w:kern w:val="0"/>
                <w:sz w:val="21"/>
                <w:szCs w:val="21"/>
                <w:highlight w:val="none"/>
                <w:u w:val="none"/>
                <w:lang w:val="en-US" w:eastAsia="zh-CN"/>
              </w:rPr>
              <w:t>10</w:t>
            </w:r>
            <w:r>
              <w:rPr>
                <w:rFonts w:ascii="Times New Roman" w:hAnsi="Times New Roman" w:eastAsia="宋体" w:cs="Times New Roman"/>
                <w:b/>
                <w:bCs/>
                <w:color w:val="auto"/>
                <w:kern w:val="0"/>
                <w:sz w:val="21"/>
                <w:szCs w:val="21"/>
                <w:highlight w:val="none"/>
                <w:u w:val="none"/>
              </w:rPr>
              <w:t>00d</w:t>
            </w:r>
          </w:p>
        </w:tc>
      </w:tr>
      <w:tr w14:paraId="288D0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5DC512D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0</w:t>
            </w:r>
          </w:p>
        </w:tc>
        <w:tc>
          <w:tcPr>
            <w:tcW w:w="765" w:type="pct"/>
            <w:noWrap w:val="0"/>
            <w:tcMar>
              <w:top w:w="0" w:type="dxa"/>
              <w:left w:w="28" w:type="dxa"/>
              <w:bottom w:w="0" w:type="dxa"/>
              <w:right w:w="28" w:type="dxa"/>
            </w:tcMar>
            <w:vAlign w:val="center"/>
          </w:tcPr>
          <w:p w14:paraId="6FC1BA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lang w:val="en-US" w:eastAsia="zh-CN"/>
              </w:rPr>
              <w:t>9.50E-02</w:t>
            </w:r>
          </w:p>
        </w:tc>
        <w:tc>
          <w:tcPr>
            <w:tcW w:w="682" w:type="pct"/>
            <w:shd w:val="clear" w:color="auto" w:fill="auto"/>
            <w:noWrap w:val="0"/>
            <w:tcMar>
              <w:top w:w="0" w:type="dxa"/>
              <w:left w:w="28" w:type="dxa"/>
              <w:bottom w:w="0" w:type="dxa"/>
              <w:right w:w="28" w:type="dxa"/>
            </w:tcMar>
            <w:vAlign w:val="center"/>
          </w:tcPr>
          <w:p w14:paraId="029AE2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4.25E-02</w:t>
            </w:r>
          </w:p>
        </w:tc>
        <w:tc>
          <w:tcPr>
            <w:tcW w:w="682" w:type="pct"/>
            <w:noWrap w:val="0"/>
            <w:tcMar>
              <w:top w:w="0" w:type="dxa"/>
              <w:left w:w="28" w:type="dxa"/>
              <w:bottom w:w="0" w:type="dxa"/>
              <w:right w:w="28" w:type="dxa"/>
            </w:tcMar>
            <w:vAlign w:val="center"/>
          </w:tcPr>
          <w:p w14:paraId="08B91E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3.00E-02</w:t>
            </w:r>
          </w:p>
        </w:tc>
        <w:tc>
          <w:tcPr>
            <w:tcW w:w="682" w:type="pct"/>
            <w:shd w:val="clear" w:color="auto" w:fill="auto"/>
            <w:noWrap w:val="0"/>
            <w:tcMar>
              <w:top w:w="0" w:type="dxa"/>
              <w:left w:w="28" w:type="dxa"/>
              <w:bottom w:w="0" w:type="dxa"/>
              <w:right w:w="28" w:type="dxa"/>
            </w:tcMar>
            <w:vAlign w:val="center"/>
          </w:tcPr>
          <w:p w14:paraId="106357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1.57E-02</w:t>
            </w:r>
          </w:p>
        </w:tc>
        <w:tc>
          <w:tcPr>
            <w:tcW w:w="682" w:type="pct"/>
            <w:shd w:val="clear" w:color="auto" w:fill="auto"/>
            <w:noWrap w:val="0"/>
            <w:tcMar>
              <w:top w:w="0" w:type="dxa"/>
              <w:left w:w="28" w:type="dxa"/>
              <w:bottom w:w="0" w:type="dxa"/>
              <w:right w:w="28" w:type="dxa"/>
            </w:tcMar>
            <w:vAlign w:val="center"/>
          </w:tcPr>
          <w:p w14:paraId="3EBB48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1.34E-02</w:t>
            </w:r>
          </w:p>
        </w:tc>
        <w:tc>
          <w:tcPr>
            <w:tcW w:w="697" w:type="pct"/>
            <w:shd w:val="clear" w:color="auto" w:fill="auto"/>
            <w:noWrap w:val="0"/>
            <w:tcMar>
              <w:top w:w="0" w:type="dxa"/>
              <w:left w:w="28" w:type="dxa"/>
              <w:bottom w:w="0" w:type="dxa"/>
              <w:right w:w="28" w:type="dxa"/>
            </w:tcMar>
            <w:vAlign w:val="center"/>
          </w:tcPr>
          <w:p w14:paraId="0993DD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9.43E-03</w:t>
            </w:r>
          </w:p>
        </w:tc>
      </w:tr>
      <w:tr w14:paraId="0D27C2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47A4C0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w:t>
            </w:r>
          </w:p>
        </w:tc>
        <w:tc>
          <w:tcPr>
            <w:tcW w:w="765" w:type="pct"/>
            <w:noWrap w:val="0"/>
            <w:tcMar>
              <w:top w:w="0" w:type="dxa"/>
              <w:left w:w="28" w:type="dxa"/>
              <w:bottom w:w="0" w:type="dxa"/>
              <w:right w:w="28" w:type="dxa"/>
            </w:tcMar>
            <w:vAlign w:val="center"/>
          </w:tcPr>
          <w:p w14:paraId="44A363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ED41C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4.38E-20</w:t>
            </w:r>
          </w:p>
        </w:tc>
        <w:tc>
          <w:tcPr>
            <w:tcW w:w="682" w:type="pct"/>
            <w:noWrap w:val="0"/>
            <w:tcMar>
              <w:top w:w="0" w:type="dxa"/>
              <w:left w:w="28" w:type="dxa"/>
              <w:bottom w:w="0" w:type="dxa"/>
              <w:right w:w="28" w:type="dxa"/>
            </w:tcMar>
            <w:vAlign w:val="center"/>
          </w:tcPr>
          <w:p w14:paraId="682A3A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3.45E-11</w:t>
            </w:r>
          </w:p>
        </w:tc>
        <w:tc>
          <w:tcPr>
            <w:tcW w:w="682" w:type="pct"/>
            <w:shd w:val="clear" w:color="auto" w:fill="auto"/>
            <w:noWrap w:val="0"/>
            <w:tcMar>
              <w:top w:w="0" w:type="dxa"/>
              <w:left w:w="28" w:type="dxa"/>
              <w:bottom w:w="0" w:type="dxa"/>
              <w:right w:w="28" w:type="dxa"/>
            </w:tcMar>
            <w:vAlign w:val="center"/>
          </w:tcPr>
          <w:p w14:paraId="3E3725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6.69E-05</w:t>
            </w:r>
          </w:p>
        </w:tc>
        <w:tc>
          <w:tcPr>
            <w:tcW w:w="682" w:type="pct"/>
            <w:shd w:val="clear" w:color="auto" w:fill="auto"/>
            <w:noWrap w:val="0"/>
            <w:tcMar>
              <w:top w:w="0" w:type="dxa"/>
              <w:left w:w="28" w:type="dxa"/>
              <w:bottom w:w="0" w:type="dxa"/>
              <w:right w:w="28" w:type="dxa"/>
            </w:tcMar>
            <w:vAlign w:val="center"/>
          </w:tcPr>
          <w:p w14:paraId="1E8C73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2.66E-04</w:t>
            </w:r>
          </w:p>
        </w:tc>
        <w:tc>
          <w:tcPr>
            <w:tcW w:w="697" w:type="pct"/>
            <w:shd w:val="clear" w:color="auto" w:fill="auto"/>
            <w:noWrap w:val="0"/>
            <w:tcMar>
              <w:top w:w="0" w:type="dxa"/>
              <w:left w:w="28" w:type="dxa"/>
              <w:bottom w:w="0" w:type="dxa"/>
              <w:right w:w="28" w:type="dxa"/>
            </w:tcMar>
            <w:vAlign w:val="center"/>
          </w:tcPr>
          <w:p w14:paraId="124C65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1.51E-03</w:t>
            </w:r>
          </w:p>
        </w:tc>
      </w:tr>
      <w:tr w14:paraId="6063EB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6955886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w:t>
            </w:r>
          </w:p>
        </w:tc>
        <w:tc>
          <w:tcPr>
            <w:tcW w:w="765" w:type="pct"/>
            <w:shd w:val="clear" w:color="auto" w:fill="auto"/>
            <w:noWrap w:val="0"/>
            <w:tcMar>
              <w:top w:w="0" w:type="dxa"/>
              <w:left w:w="28" w:type="dxa"/>
              <w:bottom w:w="0" w:type="dxa"/>
              <w:right w:w="28" w:type="dxa"/>
            </w:tcMar>
            <w:vAlign w:val="center"/>
          </w:tcPr>
          <w:p w14:paraId="411E60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F437D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3B31A9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3.19E-38</w:t>
            </w:r>
          </w:p>
        </w:tc>
        <w:tc>
          <w:tcPr>
            <w:tcW w:w="682" w:type="pct"/>
            <w:shd w:val="clear" w:color="auto" w:fill="auto"/>
            <w:noWrap w:val="0"/>
            <w:tcMar>
              <w:top w:w="0" w:type="dxa"/>
              <w:left w:w="28" w:type="dxa"/>
              <w:bottom w:w="0" w:type="dxa"/>
              <w:right w:w="28" w:type="dxa"/>
            </w:tcMar>
            <w:vAlign w:val="center"/>
          </w:tcPr>
          <w:p w14:paraId="1ACA84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3.14E-12</w:t>
            </w:r>
          </w:p>
        </w:tc>
        <w:tc>
          <w:tcPr>
            <w:tcW w:w="682" w:type="pct"/>
            <w:noWrap w:val="0"/>
            <w:tcMar>
              <w:top w:w="0" w:type="dxa"/>
              <w:left w:w="28" w:type="dxa"/>
              <w:bottom w:w="0" w:type="dxa"/>
              <w:right w:w="28" w:type="dxa"/>
            </w:tcMar>
            <w:vAlign w:val="center"/>
          </w:tcPr>
          <w:p w14:paraId="2BF540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1.28E-09</w:t>
            </w:r>
          </w:p>
        </w:tc>
        <w:tc>
          <w:tcPr>
            <w:tcW w:w="697" w:type="pct"/>
            <w:noWrap w:val="0"/>
            <w:tcMar>
              <w:top w:w="0" w:type="dxa"/>
              <w:left w:w="28" w:type="dxa"/>
              <w:bottom w:w="0" w:type="dxa"/>
              <w:right w:w="28" w:type="dxa"/>
            </w:tcMar>
            <w:vAlign w:val="center"/>
          </w:tcPr>
          <w:p w14:paraId="5764F5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3.74E-06</w:t>
            </w:r>
          </w:p>
        </w:tc>
      </w:tr>
      <w:tr w14:paraId="3CDC7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2E5C60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w:t>
            </w:r>
          </w:p>
        </w:tc>
        <w:tc>
          <w:tcPr>
            <w:tcW w:w="765" w:type="pct"/>
            <w:noWrap w:val="0"/>
            <w:tcMar>
              <w:top w:w="0" w:type="dxa"/>
              <w:left w:w="28" w:type="dxa"/>
              <w:bottom w:w="0" w:type="dxa"/>
              <w:right w:w="28" w:type="dxa"/>
            </w:tcMar>
            <w:vAlign w:val="center"/>
          </w:tcPr>
          <w:p w14:paraId="530FF6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5F4778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61A4F2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7315D6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default" w:ascii="Times New Roman" w:hAnsi="Times New Roman" w:eastAsia="宋体" w:cs="Times New Roman"/>
                <w:color w:val="auto"/>
                <w:kern w:val="0"/>
                <w:sz w:val="21"/>
                <w:szCs w:val="21"/>
                <w:highlight w:val="none"/>
                <w:u w:val="none"/>
                <w:lang w:val="en-US" w:eastAsia="zh-CN" w:bidi="ar-SA"/>
              </w:rPr>
              <w:t>9.29E-42</w:t>
            </w:r>
          </w:p>
        </w:tc>
        <w:tc>
          <w:tcPr>
            <w:tcW w:w="682" w:type="pct"/>
            <w:noWrap w:val="0"/>
            <w:tcMar>
              <w:top w:w="0" w:type="dxa"/>
              <w:left w:w="28" w:type="dxa"/>
              <w:bottom w:w="0" w:type="dxa"/>
              <w:right w:w="28" w:type="dxa"/>
            </w:tcMar>
            <w:vAlign w:val="center"/>
          </w:tcPr>
          <w:p w14:paraId="18817C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b w:val="0"/>
                <w:bCs w:val="0"/>
                <w:color w:val="auto"/>
                <w:kern w:val="0"/>
                <w:sz w:val="21"/>
                <w:szCs w:val="21"/>
                <w:highlight w:val="none"/>
                <w:u w:val="none"/>
              </w:rPr>
            </w:pPr>
            <w:r>
              <w:rPr>
                <w:rFonts w:hint="eastAsia" w:ascii="Times New Roman" w:hAnsi="Times New Roman" w:eastAsia="宋体" w:cs="Times New Roman"/>
                <w:b w:val="0"/>
                <w:bCs w:val="0"/>
                <w:color w:val="auto"/>
                <w:kern w:val="0"/>
                <w:sz w:val="21"/>
                <w:szCs w:val="21"/>
                <w:highlight w:val="none"/>
                <w:u w:val="none"/>
              </w:rPr>
              <w:t>4.05E-31</w:t>
            </w:r>
          </w:p>
        </w:tc>
        <w:tc>
          <w:tcPr>
            <w:tcW w:w="697" w:type="pct"/>
            <w:noWrap w:val="0"/>
            <w:tcMar>
              <w:top w:w="0" w:type="dxa"/>
              <w:left w:w="28" w:type="dxa"/>
              <w:bottom w:w="0" w:type="dxa"/>
              <w:right w:w="28" w:type="dxa"/>
            </w:tcMar>
            <w:vAlign w:val="center"/>
          </w:tcPr>
          <w:p w14:paraId="640AEF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8.56E-17</w:t>
            </w:r>
          </w:p>
        </w:tc>
      </w:tr>
      <w:tr w14:paraId="33F0B6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7BE691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30</w:t>
            </w:r>
          </w:p>
        </w:tc>
        <w:tc>
          <w:tcPr>
            <w:tcW w:w="765" w:type="pct"/>
            <w:noWrap w:val="0"/>
            <w:tcMar>
              <w:top w:w="0" w:type="dxa"/>
              <w:left w:w="28" w:type="dxa"/>
              <w:bottom w:w="0" w:type="dxa"/>
              <w:right w:w="28" w:type="dxa"/>
            </w:tcMar>
            <w:vAlign w:val="center"/>
          </w:tcPr>
          <w:p w14:paraId="15E5E2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8DC45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4874AB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1442408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2A1C65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2B1433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rPr>
            </w:pPr>
            <w:r>
              <w:rPr>
                <w:rFonts w:hint="eastAsia" w:ascii="Times New Roman" w:hAnsi="Times New Roman" w:eastAsia="宋体" w:cs="Times New Roman"/>
                <w:color w:val="auto"/>
                <w:kern w:val="0"/>
                <w:sz w:val="21"/>
                <w:szCs w:val="21"/>
                <w:highlight w:val="none"/>
                <w:u w:val="none"/>
              </w:rPr>
              <w:t>1.13E-34</w:t>
            </w:r>
          </w:p>
        </w:tc>
      </w:tr>
      <w:tr w14:paraId="14873F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33D9E07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40</w:t>
            </w:r>
          </w:p>
        </w:tc>
        <w:tc>
          <w:tcPr>
            <w:tcW w:w="765" w:type="pct"/>
            <w:noWrap w:val="0"/>
            <w:tcMar>
              <w:top w:w="0" w:type="dxa"/>
              <w:left w:w="28" w:type="dxa"/>
              <w:bottom w:w="0" w:type="dxa"/>
              <w:right w:w="28" w:type="dxa"/>
            </w:tcMar>
            <w:vAlign w:val="center"/>
          </w:tcPr>
          <w:p w14:paraId="00EB4D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8083C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5EEC66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087334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5ADDBF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71B731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1EA669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677352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w:t>
            </w:r>
          </w:p>
        </w:tc>
        <w:tc>
          <w:tcPr>
            <w:tcW w:w="765" w:type="pct"/>
            <w:noWrap w:val="0"/>
            <w:tcMar>
              <w:top w:w="0" w:type="dxa"/>
              <w:left w:w="28" w:type="dxa"/>
              <w:bottom w:w="0" w:type="dxa"/>
              <w:right w:w="28" w:type="dxa"/>
            </w:tcMar>
            <w:vAlign w:val="center"/>
          </w:tcPr>
          <w:p w14:paraId="1193BA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A2815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shd w:val="clear" w:color="auto" w:fill="auto"/>
            <w:noWrap w:val="0"/>
            <w:tcMar>
              <w:top w:w="0" w:type="dxa"/>
              <w:left w:w="28" w:type="dxa"/>
              <w:bottom w:w="0" w:type="dxa"/>
              <w:right w:w="28" w:type="dxa"/>
            </w:tcMar>
            <w:vAlign w:val="center"/>
          </w:tcPr>
          <w:p w14:paraId="6936FD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EAFF4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D578C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shd w:val="clear" w:color="auto" w:fill="auto"/>
            <w:noWrap w:val="0"/>
            <w:tcMar>
              <w:top w:w="0" w:type="dxa"/>
              <w:left w:w="28" w:type="dxa"/>
              <w:bottom w:w="0" w:type="dxa"/>
              <w:right w:w="28" w:type="dxa"/>
            </w:tcMar>
            <w:vAlign w:val="center"/>
          </w:tcPr>
          <w:p w14:paraId="65DEB6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195BDB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45504E9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60</w:t>
            </w:r>
          </w:p>
        </w:tc>
        <w:tc>
          <w:tcPr>
            <w:tcW w:w="765" w:type="pct"/>
            <w:noWrap w:val="0"/>
            <w:tcMar>
              <w:top w:w="0" w:type="dxa"/>
              <w:left w:w="28" w:type="dxa"/>
              <w:bottom w:w="0" w:type="dxa"/>
              <w:right w:w="28" w:type="dxa"/>
            </w:tcMar>
            <w:vAlign w:val="center"/>
          </w:tcPr>
          <w:p w14:paraId="67B410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BC4B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4041C5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6A17F9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35ED0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24842C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67E9C7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5A65B38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70</w:t>
            </w:r>
          </w:p>
        </w:tc>
        <w:tc>
          <w:tcPr>
            <w:tcW w:w="765" w:type="pct"/>
            <w:noWrap w:val="0"/>
            <w:tcMar>
              <w:top w:w="0" w:type="dxa"/>
              <w:left w:w="28" w:type="dxa"/>
              <w:bottom w:w="0" w:type="dxa"/>
              <w:right w:w="28" w:type="dxa"/>
            </w:tcMar>
            <w:vAlign w:val="center"/>
          </w:tcPr>
          <w:p w14:paraId="276B6F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29EBFA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1AD36B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43C20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05308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7BB1C4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4117EC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18130E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80</w:t>
            </w:r>
          </w:p>
        </w:tc>
        <w:tc>
          <w:tcPr>
            <w:tcW w:w="765" w:type="pct"/>
            <w:noWrap w:val="0"/>
            <w:tcMar>
              <w:top w:w="0" w:type="dxa"/>
              <w:left w:w="28" w:type="dxa"/>
              <w:bottom w:w="0" w:type="dxa"/>
              <w:right w:w="28" w:type="dxa"/>
            </w:tcMar>
            <w:vAlign w:val="center"/>
          </w:tcPr>
          <w:p w14:paraId="31F8EA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B3F5D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A75C6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9553D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3F8633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1C4632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48EA1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noWrap w:val="0"/>
            <w:tcMar>
              <w:top w:w="0" w:type="dxa"/>
              <w:left w:w="28" w:type="dxa"/>
              <w:bottom w:w="0" w:type="dxa"/>
              <w:right w:w="28" w:type="dxa"/>
            </w:tcMar>
            <w:vAlign w:val="center"/>
          </w:tcPr>
          <w:p w14:paraId="5F644C3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90</w:t>
            </w:r>
          </w:p>
        </w:tc>
        <w:tc>
          <w:tcPr>
            <w:tcW w:w="765" w:type="pct"/>
            <w:noWrap w:val="0"/>
            <w:tcMar>
              <w:top w:w="0" w:type="dxa"/>
              <w:left w:w="28" w:type="dxa"/>
              <w:bottom w:w="0" w:type="dxa"/>
              <w:right w:w="28" w:type="dxa"/>
            </w:tcMar>
            <w:vAlign w:val="center"/>
          </w:tcPr>
          <w:p w14:paraId="1FF152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B1A2F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5C2EC2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09616D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noWrap w:val="0"/>
            <w:tcMar>
              <w:top w:w="0" w:type="dxa"/>
              <w:left w:w="28" w:type="dxa"/>
              <w:bottom w:w="0" w:type="dxa"/>
              <w:right w:w="28" w:type="dxa"/>
            </w:tcMar>
            <w:vAlign w:val="center"/>
          </w:tcPr>
          <w:p w14:paraId="7557B90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noWrap w:val="0"/>
            <w:tcMar>
              <w:top w:w="0" w:type="dxa"/>
              <w:left w:w="28" w:type="dxa"/>
              <w:bottom w:w="0" w:type="dxa"/>
              <w:right w:w="28" w:type="dxa"/>
            </w:tcMar>
            <w:vAlign w:val="center"/>
          </w:tcPr>
          <w:p w14:paraId="13709C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7141B0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03E06F0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w:t>
            </w:r>
          </w:p>
        </w:tc>
        <w:tc>
          <w:tcPr>
            <w:tcW w:w="765" w:type="pct"/>
            <w:shd w:val="clear" w:color="auto" w:fill="auto"/>
            <w:vAlign w:val="center"/>
          </w:tcPr>
          <w:p w14:paraId="5ECABE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B3EC5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90B49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35244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6B554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608ECA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7DBF2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190BF18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200</w:t>
            </w:r>
          </w:p>
        </w:tc>
        <w:tc>
          <w:tcPr>
            <w:tcW w:w="765" w:type="pct"/>
            <w:shd w:val="clear" w:color="auto" w:fill="auto"/>
            <w:vAlign w:val="center"/>
          </w:tcPr>
          <w:p w14:paraId="543784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8989A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C0483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EC6B5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3C98B0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707FEC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2E4D19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471815D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500</w:t>
            </w:r>
          </w:p>
        </w:tc>
        <w:tc>
          <w:tcPr>
            <w:tcW w:w="765" w:type="pct"/>
            <w:vAlign w:val="center"/>
          </w:tcPr>
          <w:p w14:paraId="7DB9A0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264AE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979BB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7FB660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5EF98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7CC103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r w14:paraId="5C301A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8" w:type="pct"/>
            <w:shd w:val="clear" w:color="auto" w:fill="auto"/>
            <w:vAlign w:val="center"/>
          </w:tcPr>
          <w:p w14:paraId="17158C6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u w:val="none" w:color="auto"/>
                <w:lang w:val="en-US" w:eastAsia="zh-CN"/>
              </w:rPr>
              <w:t>1000</w:t>
            </w:r>
          </w:p>
        </w:tc>
        <w:tc>
          <w:tcPr>
            <w:tcW w:w="765" w:type="pct"/>
            <w:vAlign w:val="center"/>
          </w:tcPr>
          <w:p w14:paraId="04E0F3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671B3D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0F8B1A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2B242A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82" w:type="pct"/>
            <w:vAlign w:val="center"/>
          </w:tcPr>
          <w:p w14:paraId="5F88F4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c>
          <w:tcPr>
            <w:tcW w:w="697" w:type="pct"/>
            <w:vAlign w:val="center"/>
          </w:tcPr>
          <w:p w14:paraId="7791D7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rPr>
              <w:t>0.00E+00</w:t>
            </w:r>
          </w:p>
        </w:tc>
      </w:tr>
    </w:tbl>
    <w:p w14:paraId="7DB29021">
      <w:pPr>
        <w:bidi w:val="0"/>
        <w:rPr>
          <w:rFonts w:hint="eastAsia"/>
          <w:sz w:val="24"/>
          <w:szCs w:val="24"/>
          <w:highlight w:val="none"/>
          <w:u w:val="none"/>
          <w:lang w:val="en-US" w:eastAsia="zh-CN"/>
        </w:rPr>
      </w:pPr>
      <w:r>
        <w:rPr>
          <w:rFonts w:hint="eastAsia"/>
          <w:sz w:val="24"/>
          <w:szCs w:val="24"/>
          <w:highlight w:val="none"/>
          <w:u w:val="none"/>
          <w:lang w:val="en-US" w:eastAsia="zh-CN"/>
        </w:rPr>
        <w:t>经预测，污染物最大浓度处为泄漏点，超标距离最远为5m，1000d时砷下游最大浓度为8.69mg/L、锌下游最大浓度为1.60mg/L、镍下游最大浓度为0.095mg/L、铬下游最大浓度为0.095mg/L。从预测结果可以看出，非正常工况下，污染物在运移过程中随着地下水稀释作用，浓度逐渐降低，随着时间增长，污染物运移范围随之扩大，但都在厂界范围内。</w:t>
      </w:r>
    </w:p>
    <w:p w14:paraId="59111E14">
      <w:pPr>
        <w:bidi w:val="0"/>
        <w:rPr>
          <w:rFonts w:hint="eastAsia"/>
          <w:sz w:val="24"/>
          <w:szCs w:val="24"/>
          <w:highlight w:val="none"/>
          <w:u w:val="none"/>
          <w:lang w:val="en-US" w:eastAsia="zh-CN"/>
        </w:rPr>
      </w:pPr>
      <w:r>
        <w:rPr>
          <w:rFonts w:hint="eastAsia"/>
          <w:sz w:val="24"/>
          <w:szCs w:val="24"/>
          <w:highlight w:val="none"/>
          <w:u w:val="none"/>
          <w:lang w:val="en-US" w:eastAsia="zh-CN"/>
        </w:rPr>
        <w:t>因此，项目需严格按照设计要求进行防渗处理。根据本项目建设特点，采用源头控制、分区防渗、地下水长期监测等措施，防止地下水发生污染。当地下水发生污染后，采取积极有效的应急措施。因此在采取以上措施后，建设项目对地下水环境的影响较小，本建设项目对地下水环境的影响可以接受。</w:t>
      </w:r>
    </w:p>
    <w:p w14:paraId="55343A03">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5.2.4噪声环境影响分析</w:t>
      </w:r>
    </w:p>
    <w:p w14:paraId="50731E1D">
      <w:pPr>
        <w:rPr>
          <w:rFonts w:hint="eastAsia"/>
          <w:sz w:val="24"/>
          <w:szCs w:val="24"/>
          <w:highlight w:val="none"/>
          <w:u w:val="none"/>
          <w:lang w:val="en-US" w:eastAsia="zh-CN"/>
        </w:rPr>
      </w:pPr>
      <w:r>
        <w:rPr>
          <w:rFonts w:hint="eastAsia"/>
          <w:sz w:val="24"/>
          <w:szCs w:val="24"/>
          <w:highlight w:val="none"/>
          <w:u w:val="none"/>
          <w:lang w:val="en-US" w:eastAsia="zh-CN"/>
        </w:rPr>
        <w:t>本项目治理完成后渗滤液产生量较小，污水处理装置水泵间断运行，且填埋场200m范围内无居民点，对周围声环境影响较小。另外，渗滤液采用槽罐车运输，会产生一定的噪声，因渗滤液运输量很小，对运输道路周边声环境和居民影响较小。</w:t>
      </w:r>
    </w:p>
    <w:p w14:paraId="2E19B77A">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5.2.5固体废物影响分析</w:t>
      </w:r>
    </w:p>
    <w:p w14:paraId="11F6BBC3">
      <w:pPr>
        <w:rPr>
          <w:rFonts w:hint="eastAsia"/>
          <w:sz w:val="24"/>
          <w:szCs w:val="24"/>
          <w:highlight w:val="none"/>
          <w:lang w:val="en-US" w:eastAsia="zh-CN"/>
        </w:rPr>
      </w:pPr>
      <w:r>
        <w:rPr>
          <w:rFonts w:hint="eastAsia"/>
          <w:sz w:val="24"/>
          <w:szCs w:val="24"/>
          <w:highlight w:val="none"/>
          <w:lang w:val="en-US" w:eastAsia="zh-CN"/>
        </w:rPr>
        <w:t>本项目废渣填埋场渗滤液采用重金属一体化废水处理设备处理，治理过程中会产生少量污泥，污泥属于危险废物，定期由有资质单位处理处置，不在填埋场内暂存。渗滤液的产生主要集中在废渣填埋前期（一般为废渣填埋后6个月内），后续在表面阻隔层无破损的情况下，废渣填埋场的渗滤液产生量不大，且呈逐步减少趋势，一定时间后，渗滤液的产生量会几乎为零，治理完成后不会产生固废。本项目固体废物均能得到妥善处置，项目固体废物妥善处置后对环境影响小，禁止将固废随意丢弃。</w:t>
      </w:r>
    </w:p>
    <w:p w14:paraId="6B18106B">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5.2.6土壤环境影响分析</w:t>
      </w:r>
    </w:p>
    <w:p w14:paraId="6816B06E">
      <w:pPr>
        <w:rPr>
          <w:rFonts w:hint="eastAsia"/>
          <w:sz w:val="24"/>
          <w:szCs w:val="24"/>
          <w:highlight w:val="none"/>
          <w:lang w:val="en-US" w:eastAsia="zh-CN"/>
        </w:rPr>
      </w:pPr>
      <w:r>
        <w:rPr>
          <w:rFonts w:hint="eastAsia"/>
          <w:sz w:val="24"/>
          <w:szCs w:val="24"/>
          <w:highlight w:val="none"/>
          <w:lang w:val="en-US" w:eastAsia="zh-CN"/>
        </w:rPr>
        <w:t>根据前文分析，本项目土壤环境影响评价等级为三级，本项目为历史遗留废渣进行治理项目，采用填埋法处理，由于严格按照要求采取防渗措施，在正常工况下不会发生渗滤液泄漏进入土壤，因此垂直入渗造成土壤污染主要为事故工况下，渗滤液垂直渗入土壤，渗滤液中的重金属污染因子对土壤环境造成的影响。</w:t>
      </w:r>
    </w:p>
    <w:p w14:paraId="30A40DE9">
      <w:pPr>
        <w:rPr>
          <w:rFonts w:hint="eastAsia"/>
          <w:sz w:val="24"/>
          <w:szCs w:val="24"/>
          <w:highlight w:val="none"/>
          <w:lang w:val="en-US" w:eastAsia="zh-CN"/>
        </w:rPr>
      </w:pPr>
      <w:r>
        <w:rPr>
          <w:rFonts w:hint="eastAsia"/>
          <w:sz w:val="24"/>
          <w:szCs w:val="24"/>
          <w:highlight w:val="none"/>
          <w:lang w:val="en-US" w:eastAsia="zh-CN"/>
        </w:rPr>
        <w:t>本项目将设填埋场将地块内历史遗留的废渣进行收集填埋处理，填埋场将按照《一般工业固体废物贮存和填埋污染控制标准》（GB18599-2020）设计，采用双层土工布夹HDPE土工膜的复合衬垫层防渗处理，渗滤液收集池池体采用防渗水泥构筑钢筋混凝土结构，并做好收集池防渗，项目填埋场产生的渗滤液经渗滤液收集池收集，经一体化污水处理设备处理达标后，采用防腐、防漏的密闭罐车集中清运至湖南黄金天岳矿业有限公司垂拱洞尾矿库废水处理站进行处理。</w:t>
      </w:r>
    </w:p>
    <w:p w14:paraId="0F0A3281">
      <w:pPr>
        <w:rPr>
          <w:rFonts w:hint="eastAsia"/>
          <w:sz w:val="24"/>
          <w:szCs w:val="24"/>
          <w:highlight w:val="none"/>
          <w:lang w:val="en-US" w:eastAsia="zh-CN"/>
        </w:rPr>
      </w:pPr>
      <w:r>
        <w:rPr>
          <w:rFonts w:hint="eastAsia"/>
          <w:sz w:val="24"/>
          <w:szCs w:val="24"/>
          <w:highlight w:val="none"/>
          <w:lang w:val="en-US" w:eastAsia="zh-CN"/>
        </w:rPr>
        <w:t>本工程严格控制进入填埋场的废渣来源，禁止其他危险废物混入填埋场，并严格按照要求对填埋场、渗滤液收集池做好防渗措施。同时本项目为重金属治理项目，将废渣清理后进行填埋，待工程完成后，可降低废渣重金属析出，控制污染扩散途径，可减少对周边土壤重金属的污染。</w:t>
      </w:r>
    </w:p>
    <w:p w14:paraId="0C3D578C">
      <w:pPr>
        <w:rPr>
          <w:rFonts w:hint="eastAsia"/>
          <w:sz w:val="24"/>
          <w:szCs w:val="24"/>
          <w:highlight w:val="none"/>
          <w:lang w:val="en-US" w:eastAsia="zh-CN"/>
        </w:rPr>
      </w:pPr>
      <w:r>
        <w:rPr>
          <w:rFonts w:hint="eastAsia"/>
          <w:sz w:val="24"/>
          <w:szCs w:val="24"/>
          <w:highlight w:val="none"/>
          <w:lang w:val="en-US" w:eastAsia="zh-CN"/>
        </w:rPr>
        <w:t>本项目采取了相应的土壤污染防控措施，按照“源头控制、过程防控”相结合的原，从污染物的产生、运移、扩散全阶段进行了控制，在采取以上措施后，本项目对土壤环境影响较小。</w:t>
      </w:r>
    </w:p>
    <w:p w14:paraId="094A03B6">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5.2.7生态</w:t>
      </w:r>
      <w:r>
        <w:rPr>
          <w:rFonts w:hint="eastAsia" w:cs="Times New Roman"/>
          <w:color w:val="auto"/>
          <w:sz w:val="28"/>
          <w:szCs w:val="28"/>
          <w:highlight w:val="none"/>
          <w:u w:val="none" w:color="auto"/>
          <w:lang w:val="en-US" w:eastAsia="zh-CN"/>
        </w:rPr>
        <w:t>环境</w:t>
      </w:r>
      <w:r>
        <w:rPr>
          <w:rFonts w:hint="eastAsia" w:ascii="Times New Roman" w:hAnsi="Times New Roman" w:eastAsia="宋体" w:cs="Times New Roman"/>
          <w:color w:val="auto"/>
          <w:sz w:val="28"/>
          <w:szCs w:val="28"/>
          <w:highlight w:val="none"/>
          <w:u w:val="none" w:color="auto"/>
          <w:lang w:val="en-US" w:eastAsia="zh-CN"/>
        </w:rPr>
        <w:t>影响分析</w:t>
      </w:r>
    </w:p>
    <w:p w14:paraId="7F119E63">
      <w:pPr>
        <w:widowControl w:val="0"/>
        <w:topLinePunct w:val="0"/>
        <w:rPr>
          <w:rFonts w:hint="eastAsia"/>
          <w:sz w:val="24"/>
          <w:szCs w:val="24"/>
          <w:highlight w:val="none"/>
          <w:lang w:val="en-US" w:eastAsia="zh-CN"/>
        </w:rPr>
      </w:pPr>
      <w:r>
        <w:rPr>
          <w:rFonts w:hint="eastAsia"/>
          <w:sz w:val="24"/>
          <w:szCs w:val="24"/>
          <w:highlight w:val="none"/>
          <w:lang w:val="en-US" w:eastAsia="zh-CN"/>
        </w:rPr>
        <w:t>项目的建设将对治理区域进行绿化治理，项目完成后区域将增加绿化面积。因此项目的建设可以改善项目生态环境现状，对生态景观进行恢复，对局部景观起到改善作用。项目建设既恢复了以往的生态环境，又有机结合了人工生态环境，使人与自然和谐相处，美化了景观。</w:t>
      </w:r>
    </w:p>
    <w:p w14:paraId="50F53209">
      <w:pPr>
        <w:widowControl w:val="0"/>
        <w:topLinePunct w:val="0"/>
        <w:rPr>
          <w:rFonts w:hint="eastAsia"/>
          <w:sz w:val="24"/>
          <w:szCs w:val="24"/>
          <w:highlight w:val="none"/>
          <w:lang w:val="en-US" w:eastAsia="zh-CN"/>
        </w:rPr>
      </w:pPr>
      <w:r>
        <w:rPr>
          <w:rFonts w:hint="eastAsia"/>
          <w:sz w:val="24"/>
          <w:szCs w:val="24"/>
          <w:highlight w:val="none"/>
          <w:lang w:val="en-US" w:eastAsia="zh-CN"/>
        </w:rPr>
        <w:t>由于植被恢复从人工种植到形成稳定自维持的生态系统是逐步实现的，因此建设方在人工种植植被后，应加强管理与观察植被发展变化情况，促使重建植被朝着顺行演替的方向发展，最终建立一个稳定的、自维持的生态系统，确保工程生态恢复工程实施的有效性。</w:t>
      </w:r>
    </w:p>
    <w:p w14:paraId="5DC1AFD1">
      <w:pPr>
        <w:widowControl w:val="0"/>
        <w:topLinePunct w:val="0"/>
        <w:rPr>
          <w:rFonts w:hint="eastAsia"/>
          <w:sz w:val="24"/>
          <w:szCs w:val="24"/>
          <w:highlight w:val="none"/>
          <w:lang w:val="en-US" w:eastAsia="zh-CN"/>
        </w:rPr>
      </w:pPr>
      <w:r>
        <w:rPr>
          <w:rFonts w:hint="eastAsia"/>
          <w:sz w:val="24"/>
          <w:szCs w:val="24"/>
          <w:highlight w:val="none"/>
          <w:lang w:val="en-US" w:eastAsia="zh-CN"/>
        </w:rPr>
        <w:t>评价区域没有濒危和珍稀保护物种，不会引起物种灭绝。本工程实施后现有的裸露土地将会由花、草等植物所取代，从而使得物种更为丰富，异质化得到加强，提高了当地物种多样性从而改善生态环境。</w:t>
      </w:r>
    </w:p>
    <w:p w14:paraId="3B022EEE">
      <w:pPr>
        <w:widowControl w:val="0"/>
        <w:topLinePunct w:val="0"/>
        <w:rPr>
          <w:rFonts w:hint="eastAsia"/>
          <w:sz w:val="24"/>
          <w:szCs w:val="24"/>
          <w:highlight w:val="none"/>
          <w:lang w:val="en-US" w:eastAsia="zh-CN"/>
        </w:rPr>
      </w:pPr>
      <w:r>
        <w:rPr>
          <w:rFonts w:hint="eastAsia"/>
          <w:sz w:val="24"/>
          <w:szCs w:val="24"/>
          <w:highlight w:val="none"/>
          <w:lang w:val="en-US" w:eastAsia="zh-CN"/>
        </w:rPr>
        <w:t>项目实施后，区域遗留废渣污染、水土流失得到有效治理，废渣得到清理。裸露地表经生态修复后，生态环境大大改善，区域生态景观也得到大大改善。</w:t>
      </w:r>
    </w:p>
    <w:p w14:paraId="1D26BEA1">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5.2.8运输影响分析</w:t>
      </w:r>
    </w:p>
    <w:p w14:paraId="0EF06D03">
      <w:pPr>
        <w:rPr>
          <w:rFonts w:hint="eastAsia"/>
          <w:sz w:val="24"/>
          <w:szCs w:val="24"/>
          <w:highlight w:val="none"/>
          <w:lang w:val="en-US" w:eastAsia="zh-CN"/>
        </w:rPr>
      </w:pPr>
      <w:r>
        <w:rPr>
          <w:rFonts w:hint="eastAsia"/>
          <w:sz w:val="24"/>
          <w:szCs w:val="24"/>
          <w:highlight w:val="none"/>
          <w:lang w:val="en-US" w:eastAsia="zh-CN"/>
        </w:rPr>
        <w:t>项目在封场后需要定期将渗滤液运往湖南黄金天岳矿业有限公司垂拱洞尾矿库废水处理站进行处理。</w:t>
      </w:r>
    </w:p>
    <w:p w14:paraId="16CB6E43">
      <w:pPr>
        <w:rPr>
          <w:rFonts w:hint="eastAsia"/>
          <w:sz w:val="24"/>
          <w:szCs w:val="24"/>
          <w:highlight w:val="none"/>
          <w:lang w:val="en-US" w:eastAsia="zh-CN"/>
        </w:rPr>
      </w:pPr>
      <w:r>
        <w:rPr>
          <w:rFonts w:hint="eastAsia"/>
          <w:sz w:val="24"/>
          <w:szCs w:val="24"/>
          <w:highlight w:val="none"/>
          <w:lang w:val="en-US" w:eastAsia="zh-CN"/>
        </w:rPr>
        <w:t>渗滤液运输过程主要影响为渗滤液滴漏以及运输噪声等环境污染现象。因此渗滤液运输需采用防腐的罐车收集运输，并带有渗滤水收集装置，防止渗滤液洒落污染环境。运输过程应加强监管，确保容器稳固，不泄漏、不倒塌、不坠落、不损坏，防止渗滤液的渗漏。</w:t>
      </w:r>
    </w:p>
    <w:p w14:paraId="71EAF94A">
      <w:pPr>
        <w:rPr>
          <w:rFonts w:hint="eastAsia"/>
          <w:sz w:val="24"/>
          <w:szCs w:val="24"/>
          <w:highlight w:val="none"/>
          <w:lang w:val="en-US" w:eastAsia="zh-CN"/>
        </w:rPr>
      </w:pPr>
      <w:r>
        <w:rPr>
          <w:rFonts w:hint="eastAsia"/>
          <w:sz w:val="24"/>
          <w:szCs w:val="24"/>
          <w:highlight w:val="none"/>
          <w:lang w:val="en-US" w:eastAsia="zh-CN"/>
        </w:rPr>
        <w:t>渗滤液运输过程通过采取尽量避开学校、医院、居民集中区、集中式饮用水源保护区、自然保护区等优化运输线路方式，运输车辆在运输过程中，控制好车辆的行驶速度，经过村庄或居民区时夜间禁止鸣笛，避免噪声扰民现象。因此，在采取以上措施后渗滤液运输对周边环境的影响较小。</w:t>
      </w:r>
    </w:p>
    <w:p w14:paraId="535BB661">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452" w:name="_Toc17311"/>
      <w:r>
        <w:rPr>
          <w:rFonts w:hint="eastAsia" w:ascii="Times New Roman" w:hAnsi="Times New Roman" w:eastAsia="宋体" w:cs="Times New Roman"/>
          <w:color w:val="auto"/>
          <w:sz w:val="28"/>
          <w:szCs w:val="28"/>
          <w:highlight w:val="none"/>
          <w:u w:val="none" w:color="auto"/>
          <w:lang w:val="en-US" w:eastAsia="zh-CN"/>
        </w:rPr>
        <w:t>5.2.9取土场环境影响分析</w:t>
      </w:r>
      <w:bookmarkEnd w:id="452"/>
    </w:p>
    <w:p w14:paraId="07DF500D">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（1）取土场设置合理性分析</w:t>
      </w:r>
    </w:p>
    <w:p w14:paraId="35592746">
      <w:pPr>
        <w:rPr>
          <w:rFonts w:hint="default" w:ascii="Times New Roman" w:hAnsi="Times New Roman" w:cs="Times New Roman"/>
          <w:sz w:val="24"/>
          <w:szCs w:val="24"/>
          <w:highlight w:val="yellow"/>
          <w:u w:val="none"/>
          <w:lang w:val="en-US" w:eastAsia="zh-CN"/>
        </w:rPr>
      </w:pPr>
      <w:r>
        <w:rPr>
          <w:rFonts w:hint="default" w:ascii="Times New Roman" w:hAnsi="Times New Roman" w:cs="Times New Roman"/>
          <w:sz w:val="24"/>
          <w:szCs w:val="24"/>
          <w:highlight w:val="none"/>
          <w:u w:val="none"/>
          <w:lang w:val="en-US" w:eastAsia="zh-CN"/>
        </w:rPr>
        <w:t>本项目设1处取土场，取土场选址位于填埋场南侧120m（经度113°34′14.370″，纬度28°37′45.563″），临时占地2459.24m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lang w:val="en-US" w:eastAsia="zh-CN"/>
        </w:rPr>
        <w:t>。现状用地类型为林地，受人类活动影响，目前仅有少量灌木和杂草，未占用基本农田、天然保护林及生态公益林，无保护植物分布，也无动物通道分布，没有占用泄洪通道和水利灌溉设施，这样集中取土可以有效地防止多处开挖取土造成的大量的水土流失，取土场选址是合理的；同时通过对取土场容量进行校核计算，本项目总取土量约29866.58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，小于取土场储量5万m</w:t>
      </w:r>
      <w:r>
        <w:rPr>
          <w:rFonts w:hint="default" w:ascii="Times New Roman" w:hAnsi="Times New Roman" w:cs="Times New Roman"/>
          <w:sz w:val="24"/>
          <w:szCs w:val="24"/>
          <w:highlight w:val="none"/>
          <w:u w:val="none"/>
          <w:vertAlign w:val="superscript"/>
          <w:lang w:val="en-US" w:eastAsia="zh-CN"/>
        </w:rPr>
        <w:t>3</w:t>
      </w:r>
      <w:r>
        <w:rPr>
          <w:rFonts w:hint="default" w:ascii="Times New Roman" w:hAnsi="Times New Roman" w:cs="Times New Roman"/>
          <w:sz w:val="24"/>
          <w:szCs w:val="24"/>
          <w:highlight w:val="none"/>
          <w:u w:val="none"/>
          <w:lang w:val="en-US" w:eastAsia="zh-CN"/>
        </w:rPr>
        <w:t>，其储量满足本项目需求。</w:t>
      </w:r>
    </w:p>
    <w:p w14:paraId="5BE9BB36">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通过现场调查，取土场四周均为林地，生长有杉木、松木和灌木等；无珍稀濒危保护动植物分布，也无动物通道分布。从环境保护角度分析，设置较为合理。取土场有一定坡地，在取土完毕后可以恢复为林地，恢复方向可行。项目取土过程中，应综合考虑运输条件以及最大限度的减少取土运输对周边居民的影响。</w:t>
      </w:r>
    </w:p>
    <w:p w14:paraId="314B2C7B">
      <w:pPr>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（2）取土场环境影响及环保要求</w:t>
      </w:r>
    </w:p>
    <w:p w14:paraId="2D674524">
      <w:pPr>
        <w:pageBreakBefore w:val="0"/>
        <w:widowControl/>
        <w:kinsoku/>
        <w:topLinePunct/>
        <w:bidi w:val="0"/>
        <w:snapToGrid w:val="0"/>
        <w:spacing w:line="360" w:lineRule="auto"/>
        <w:ind w:firstLine="480" w:firstLineChars="200"/>
        <w:jc w:val="left"/>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sz w:val="24"/>
          <w:szCs w:val="24"/>
          <w:highlight w:val="none"/>
          <w:u w:val="none"/>
          <w:lang w:val="en-US" w:eastAsia="zh-CN"/>
        </w:rPr>
        <w:t>取土场取土作业过程中，不可避免有土方或弃土方临时堆置，由于地表植被破坏，如防护措施不当，遇雨天可能造成水土流失，并可能对周边的农田造成污染。因此，要求在取土前应事先进行取土场的进场、开挖、堆放料及后期的生态恢复措施设计，并按设计事先修建必要的截排水措施，取土时严格按设计进行施工，注意开挖的稳定性。取土结束后，应立即对取土场进行后期恢复治理，防止水土流失。对取土完成的表面不利用的，及时复垦或绿化。采取以上措施后，取土场环境影响可控。</w:t>
      </w:r>
    </w:p>
    <w:p w14:paraId="37A8F7F9">
      <w:pPr>
        <w:pStyle w:val="3"/>
        <w:pageBreakBefore w:val="0"/>
        <w:widowControl w:val="0"/>
        <w:kinsoku/>
        <w:topLinePunct w:val="0"/>
        <w:bidi w:val="0"/>
        <w:snapToGrid w:val="0"/>
        <w:spacing w:before="0" w:beforeLines="0" w:after="0" w:afterLines="0" w:line="360" w:lineRule="auto"/>
        <w:ind w:left="240"/>
        <w:rPr>
          <w:rFonts w:hint="default" w:ascii="Times New Roman" w:hAnsi="Times New Roman" w:eastAsia="宋体" w:cs="Times New Roman"/>
          <w:color w:val="auto"/>
          <w:sz w:val="24"/>
          <w:szCs w:val="24"/>
          <w:highlight w:val="none"/>
          <w:u w:val="none" w:color="auto"/>
        </w:rPr>
        <w:sectPr>
          <w:pgSz w:w="11910" w:h="16840"/>
          <w:pgMar w:top="1417" w:right="1417" w:bottom="1417" w:left="1417" w:header="878" w:footer="1213" w:gutter="0"/>
          <w:pgBorders>
            <w:top w:val="none" w:sz="0" w:space="0"/>
            <w:left w:val="none" w:sz="0" w:space="0"/>
            <w:bottom w:val="none" w:sz="0" w:space="0"/>
            <w:right w:val="none" w:sz="0" w:space="0"/>
          </w:pgBorders>
          <w:pgNumType w:fmt="decimal"/>
          <w:cols w:space="720" w:num="1"/>
          <w:docGrid w:type="lines" w:linePitch="333" w:charSpace="0"/>
        </w:sectPr>
      </w:pPr>
      <w:bookmarkStart w:id="453" w:name="_Toc2055"/>
      <w:bookmarkStart w:id="454" w:name="_Toc27124775"/>
    </w:p>
    <w:bookmarkEnd w:id="453"/>
    <w:bookmarkEnd w:id="454"/>
    <w:p w14:paraId="7D84338D">
      <w:pPr>
        <w:pStyle w:val="2"/>
        <w:keepNext w:val="0"/>
        <w:keepLines w:val="0"/>
        <w:numPr>
          <w:ilvl w:val="0"/>
          <w:numId w:val="0"/>
        </w:numPr>
        <w:topLinePunct w:val="0"/>
        <w:rPr>
          <w:rFonts w:hint="default" w:ascii="Times New Roman" w:hAnsi="Times New Roman" w:cs="Times New Roman"/>
          <w:color w:val="auto"/>
          <w:sz w:val="36"/>
          <w:szCs w:val="36"/>
          <w:highlight w:val="none"/>
          <w:u w:val="none" w:color="auto"/>
        </w:rPr>
      </w:pPr>
      <w:bookmarkStart w:id="455" w:name="7.2风险调查、风险潜势初判、评价等级"/>
      <w:bookmarkEnd w:id="455"/>
      <w:bookmarkStart w:id="456" w:name="7.1.4应急预案、演练"/>
      <w:bookmarkEnd w:id="456"/>
      <w:bookmarkStart w:id="457" w:name="_TOC_250107"/>
      <w:bookmarkEnd w:id="457"/>
      <w:bookmarkStart w:id="458" w:name="_TOC_250105"/>
      <w:bookmarkEnd w:id="458"/>
      <w:bookmarkStart w:id="459" w:name="_Toc16649"/>
      <w:bookmarkStart w:id="460" w:name="_Toc15545"/>
      <w:bookmarkStart w:id="461" w:name="_Toc26831"/>
      <w:bookmarkStart w:id="462" w:name="_Toc27958"/>
      <w:bookmarkStart w:id="463" w:name="_Toc10795"/>
      <w:bookmarkStart w:id="464" w:name="_Toc5240"/>
      <w:bookmarkStart w:id="465" w:name="_Toc3516"/>
      <w:bookmarkStart w:id="466" w:name="_Toc8085"/>
      <w:bookmarkStart w:id="467" w:name="_Toc8863"/>
      <w:bookmarkStart w:id="468" w:name="_Toc19408"/>
      <w:bookmarkStart w:id="469" w:name="_Toc24302"/>
      <w:bookmarkStart w:id="470" w:name="_Toc32337"/>
      <w:bookmarkStart w:id="471" w:name="_Toc20534"/>
      <w:bookmarkStart w:id="472" w:name="_Toc27124776"/>
      <w:r>
        <w:rPr>
          <w:rFonts w:hint="eastAsia" w:cs="Times New Roman"/>
          <w:color w:val="auto"/>
          <w:sz w:val="36"/>
          <w:szCs w:val="36"/>
          <w:highlight w:val="none"/>
          <w:u w:val="none" w:color="auto"/>
          <w:lang w:val="en-US" w:eastAsia="zh-CN"/>
        </w:rPr>
        <w:t>6</w:t>
      </w:r>
      <w:r>
        <w:rPr>
          <w:rFonts w:hint="default" w:ascii="Times New Roman" w:hAnsi="Times New Roman" w:cs="Times New Roman"/>
          <w:color w:val="auto"/>
          <w:sz w:val="36"/>
          <w:szCs w:val="36"/>
          <w:highlight w:val="none"/>
          <w:u w:val="none" w:color="auto"/>
        </w:rPr>
        <w:t xml:space="preserve"> 环境风险评价</w:t>
      </w:r>
      <w:bookmarkEnd w:id="459"/>
      <w:bookmarkEnd w:id="460"/>
      <w:bookmarkEnd w:id="461"/>
      <w:bookmarkEnd w:id="462"/>
      <w:bookmarkEnd w:id="463"/>
      <w:bookmarkEnd w:id="464"/>
      <w:bookmarkEnd w:id="465"/>
      <w:bookmarkEnd w:id="466"/>
      <w:bookmarkEnd w:id="467"/>
      <w:bookmarkEnd w:id="468"/>
      <w:bookmarkEnd w:id="469"/>
      <w:bookmarkEnd w:id="470"/>
      <w:bookmarkEnd w:id="471"/>
    </w:p>
    <w:p w14:paraId="08EC59F5">
      <w:pPr>
        <w:pStyle w:val="3"/>
        <w:pageBreakBefore w:val="0"/>
        <w:widowControl w:val="0"/>
        <w:numPr>
          <w:ilvl w:val="0"/>
          <w:numId w:val="0"/>
        </w:numPr>
        <w:kinsoku/>
        <w:topLinePunct w:val="0"/>
        <w:bidi w:val="0"/>
        <w:snapToGrid w:val="0"/>
        <w:spacing w:before="0" w:beforeLines="0" w:after="0" w:afterLines="0" w:line="360" w:lineRule="auto"/>
        <w:rPr>
          <w:rFonts w:hint="default" w:ascii="Times New Roman" w:hAnsi="Times New Roman" w:eastAsia="宋体" w:cs="Times New Roman"/>
          <w:color w:val="auto"/>
          <w:sz w:val="30"/>
          <w:szCs w:val="30"/>
          <w:highlight w:val="none"/>
          <w:u w:val="none" w:color="auto"/>
          <w:lang w:val="en-US" w:eastAsia="zh-CN"/>
        </w:rPr>
      </w:pPr>
      <w:bookmarkStart w:id="473" w:name="_Toc4001"/>
      <w:bookmarkStart w:id="474" w:name="_Toc2089"/>
      <w:bookmarkStart w:id="475" w:name="_Toc3293"/>
      <w:r>
        <w:rPr>
          <w:rFonts w:hint="eastAsia" w:ascii="Times New Roman" w:hAnsi="Times New Roman" w:eastAsia="宋体" w:cs="Times New Roman"/>
          <w:color w:val="auto"/>
          <w:sz w:val="30"/>
          <w:szCs w:val="30"/>
          <w:highlight w:val="none"/>
          <w:u w:val="none" w:color="auto"/>
          <w:lang w:val="en-US" w:eastAsia="zh-CN"/>
        </w:rPr>
        <w:t>6.1概述</w:t>
      </w:r>
      <w:bookmarkEnd w:id="473"/>
      <w:bookmarkEnd w:id="474"/>
    </w:p>
    <w:p w14:paraId="5252E106">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6.1.1评价原则</w:t>
      </w:r>
      <w:bookmarkEnd w:id="475"/>
    </w:p>
    <w:p w14:paraId="08C136BB">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环境风险是指突发性事故造成重大环境污染的事件，具有危害性大、影响范围广等特点，同时风险发生又有很大的不确定性，可能不会发生，但一旦发生，对环境会产生较大影响。</w:t>
      </w:r>
    </w:p>
    <w:p w14:paraId="56438916">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环境风险评价的目的是分析和预测建设项目存在的潜在危险、有害因素，建设项目建设和运营期可能发生的突发性事件或事故（一般不包括人为破坏及自然灾害），引起有毒有害和易燃易爆等物质泄漏以及泄漏事故引起的火灾或爆炸，所造成的人身安全与环境影响和损害程度，提出合理可行的防范、应急与减缓措施，以使建设项目事故率、损失和环境影响达到可接受水平。根据国家环保总局《关于进一步加强环境影响评价管理防范环境风险的通知》（环发</w:t>
      </w:r>
      <w:r>
        <w:rPr>
          <w:rFonts w:hint="eastAsia" w:ascii="宋体" w:hAnsi="宋体" w:eastAsia="宋体" w:cs="宋体"/>
          <w:sz w:val="24"/>
          <w:szCs w:val="24"/>
          <w:highlight w:val="none"/>
          <w:u w:val="none" w:color="auto"/>
          <w:lang w:val="en-US" w:eastAsia="zh-CN"/>
        </w:rPr>
        <w:t>〔</w:t>
      </w:r>
      <w:r>
        <w:rPr>
          <w:rFonts w:hint="eastAsia"/>
          <w:sz w:val="24"/>
          <w:szCs w:val="24"/>
          <w:highlight w:val="none"/>
          <w:u w:val="none" w:color="auto"/>
          <w:lang w:val="en-US" w:eastAsia="zh-CN"/>
        </w:rPr>
        <w:t>2012</w:t>
      </w:r>
      <w:r>
        <w:rPr>
          <w:rFonts w:hint="eastAsia" w:ascii="宋体" w:hAnsi="宋体" w:eastAsia="宋体" w:cs="宋体"/>
          <w:sz w:val="24"/>
          <w:szCs w:val="24"/>
          <w:highlight w:val="none"/>
          <w:u w:val="none" w:color="auto"/>
          <w:lang w:val="en-US" w:eastAsia="zh-CN"/>
        </w:rPr>
        <w:t>〕</w:t>
      </w:r>
      <w:r>
        <w:rPr>
          <w:rFonts w:hint="eastAsia"/>
          <w:sz w:val="24"/>
          <w:szCs w:val="24"/>
          <w:highlight w:val="none"/>
          <w:u w:val="none" w:color="auto"/>
          <w:lang w:val="en-US" w:eastAsia="zh-CN"/>
        </w:rPr>
        <w:t>77号）的要求：“新、改、扩建相关建设项目环境影响评价应按照相应技术导则要求，科学预测评价突发性事件或事故可能引发的环境风险，提出环境风险防范和应急措施”。本评价根据《建设项目环境风险评价技术导则》（HJ169-2018）的规定要求对拟建项目的环境风险进行评价，同时根据建设项目环境风险可能影响的范围与程度，提出缓解环境风险的建议措施。</w:t>
      </w:r>
    </w:p>
    <w:p w14:paraId="039B815D">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bookmarkStart w:id="476" w:name="_Toc19579"/>
      <w:r>
        <w:rPr>
          <w:rFonts w:hint="eastAsia" w:ascii="Times New Roman" w:hAnsi="Times New Roman" w:eastAsia="宋体" w:cs="Times New Roman"/>
          <w:color w:val="auto"/>
          <w:sz w:val="28"/>
          <w:szCs w:val="28"/>
          <w:highlight w:val="none"/>
          <w:u w:val="none" w:color="auto"/>
          <w:lang w:val="en-US" w:eastAsia="zh-CN"/>
        </w:rPr>
        <w:t>6.1.2评价工作程序</w:t>
      </w:r>
      <w:bookmarkEnd w:id="476"/>
    </w:p>
    <w:p w14:paraId="7C245B56">
      <w:pPr>
        <w:bidi w:val="0"/>
        <w:rPr>
          <w:rFonts w:hint="default"/>
          <w:sz w:val="24"/>
          <w:szCs w:val="24"/>
          <w:highlight w:val="none"/>
          <w:u w:val="none" w:color="auto"/>
          <w:lang w:val="en-US" w:eastAsia="zh-CN"/>
        </w:rPr>
      </w:pPr>
      <w:r>
        <w:rPr>
          <w:rFonts w:hint="eastAsia"/>
          <w:sz w:val="24"/>
          <w:szCs w:val="24"/>
          <w:highlight w:val="none"/>
          <w:u w:val="none" w:color="auto"/>
          <w:lang w:val="en-US" w:eastAsia="zh-CN"/>
        </w:rPr>
        <w:t>根据《建设项目环境风险评价技术导则》（HJ169-2018），评价工作程序见图6.1-1。</w:t>
      </w:r>
    </w:p>
    <w:p w14:paraId="6B38519D">
      <w:pPr>
        <w:bidi w:val="0"/>
        <w:spacing w:line="240" w:lineRule="auto"/>
        <w:ind w:left="0" w:leftChars="0" w:firstLine="0" w:firstLineChars="0"/>
        <w:jc w:val="center"/>
        <w:rPr>
          <w:rFonts w:hint="eastAsia"/>
          <w:sz w:val="21"/>
          <w:szCs w:val="21"/>
          <w:highlight w:val="none"/>
          <w:u w:val="none" w:color="auto"/>
          <w:lang w:val="en-US" w:eastAsia="zh-CN"/>
        </w:rPr>
      </w:pPr>
      <w:r>
        <w:rPr>
          <w:rFonts w:hint="default" w:ascii="Times New Roman" w:hAnsi="Times New Roman" w:cs="Times New Roman"/>
          <w:color w:val="000000"/>
          <w:sz w:val="24"/>
          <w:szCs w:val="24"/>
          <w:highlight w:val="none"/>
          <w:u w:val="none" w:color="auto"/>
        </w:rPr>
        <w:drawing>
          <wp:inline distT="0" distB="0" distL="114300" distR="114300">
            <wp:extent cx="4535805" cy="4932045"/>
            <wp:effectExtent l="0" t="0" r="17145" b="1905"/>
            <wp:docPr id="188" name="图片 82"/>
            <wp:cNvGraphicFramePr/>
            <a:graphic xmlns:a="http://schemas.openxmlformats.org/drawingml/2006/main">
              <a:graphicData uri="http://schemas.openxmlformats.org/drawingml/2006/picture">
                <pic:pic xmlns:pic="http://schemas.openxmlformats.org/drawingml/2006/picture">
                  <pic:nvPicPr>
                    <pic:cNvPr id="188" name="图片 82"/>
                    <pic:cNvPicPr/>
                  </pic:nvPicPr>
                  <pic:blipFill>
                    <a:blip r:embed="rId118"/>
                    <a:stretch>
                      <a:fillRect/>
                    </a:stretch>
                  </pic:blipFill>
                  <pic:spPr>
                    <a:xfrm>
                      <a:off x="0" y="0"/>
                      <a:ext cx="4535805" cy="4932045"/>
                    </a:xfrm>
                    <a:prstGeom prst="rect">
                      <a:avLst/>
                    </a:prstGeom>
                    <a:noFill/>
                    <a:ln>
                      <a:noFill/>
                    </a:ln>
                  </pic:spPr>
                </pic:pic>
              </a:graphicData>
            </a:graphic>
          </wp:inline>
        </w:drawing>
      </w:r>
    </w:p>
    <w:p w14:paraId="3026504E">
      <w:pPr>
        <w:spacing w:line="240" w:lineRule="auto"/>
        <w:ind w:left="0" w:leftChars="0" w:firstLine="0" w:firstLineChars="0"/>
        <w:jc w:val="center"/>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图6.1-1  评价工作程序</w:t>
      </w:r>
    </w:p>
    <w:p w14:paraId="168BF5A1">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6.1.3评价工作内容</w:t>
      </w:r>
    </w:p>
    <w:p w14:paraId="029B630A">
      <w:pPr>
        <w:bidi w:val="0"/>
        <w:rPr>
          <w:rFonts w:hint="eastAsia"/>
          <w:sz w:val="24"/>
          <w:szCs w:val="24"/>
          <w:highlight w:val="none"/>
          <w:lang w:val="en-US" w:eastAsia="zh-CN"/>
        </w:rPr>
      </w:pPr>
      <w:r>
        <w:rPr>
          <w:rFonts w:hint="eastAsia"/>
          <w:sz w:val="24"/>
          <w:szCs w:val="24"/>
          <w:highlight w:val="none"/>
          <w:lang w:val="en-US" w:eastAsia="zh-CN"/>
        </w:rPr>
        <w:t>本项目环境风险评价工作内容主要包括以下几个方面：</w:t>
      </w:r>
    </w:p>
    <w:p w14:paraId="4809A3BD">
      <w:pPr>
        <w:bidi w:val="0"/>
        <w:rPr>
          <w:rFonts w:hint="eastAsia"/>
          <w:sz w:val="24"/>
          <w:szCs w:val="24"/>
          <w:highlight w:val="none"/>
          <w:lang w:val="en-US" w:eastAsia="zh-CN"/>
        </w:rPr>
      </w:pPr>
      <w:r>
        <w:rPr>
          <w:rFonts w:hint="eastAsia"/>
          <w:sz w:val="24"/>
          <w:szCs w:val="24"/>
          <w:highlight w:val="none"/>
          <w:lang w:val="en-US" w:eastAsia="zh-CN"/>
        </w:rPr>
        <w:t>（1）风险调查、环境风险潜势初判、风险识别、风险事故情形分析、风险预测与评价、环境风险管理等。</w:t>
      </w:r>
    </w:p>
    <w:p w14:paraId="00B43004">
      <w:pPr>
        <w:bidi w:val="0"/>
        <w:rPr>
          <w:rFonts w:hint="eastAsia"/>
          <w:sz w:val="24"/>
          <w:szCs w:val="24"/>
          <w:highlight w:val="none"/>
          <w:lang w:val="en-US" w:eastAsia="zh-CN"/>
        </w:rPr>
      </w:pPr>
      <w:r>
        <w:rPr>
          <w:rFonts w:hint="eastAsia"/>
          <w:sz w:val="24"/>
          <w:szCs w:val="24"/>
          <w:highlight w:val="none"/>
          <w:lang w:val="en-US" w:eastAsia="zh-CN"/>
        </w:rPr>
        <w:t>（2）基于风险调查，分析建设项目物质及工艺系统危险性和环境敏感性，进行风险潜势的判断，确定风险评价等级。</w:t>
      </w:r>
    </w:p>
    <w:p w14:paraId="6213C290">
      <w:pPr>
        <w:bidi w:val="0"/>
        <w:rPr>
          <w:rFonts w:hint="eastAsia"/>
          <w:sz w:val="24"/>
          <w:szCs w:val="24"/>
          <w:highlight w:val="none"/>
          <w:lang w:val="en-US" w:eastAsia="zh-CN"/>
        </w:rPr>
      </w:pPr>
      <w:r>
        <w:rPr>
          <w:rFonts w:hint="eastAsia"/>
          <w:sz w:val="24"/>
          <w:szCs w:val="24"/>
          <w:highlight w:val="none"/>
          <w:lang w:val="en-US" w:eastAsia="zh-CN"/>
        </w:rPr>
        <w:t>（3）风险识别及风险事故情形分析应明确危险物质在生产系统中的主要分布，筛选具有代表性的风险事故情形，合理设定事故源项。</w:t>
      </w:r>
    </w:p>
    <w:p w14:paraId="18FBE735">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（4）各环境要素（大气、地表水、地下水）按确定的评价工作等级分别开展预测评价，分析说明环境风险危害范围与程度，提出环境风险防范的基本要求。</w:t>
      </w:r>
    </w:p>
    <w:p w14:paraId="1185CA1B">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（5）提出环境风险管理对策，明确环境风险防范措施及突发环境事件应急预案编制要求。</w:t>
      </w:r>
    </w:p>
    <w:p w14:paraId="1560F523">
      <w:pPr>
        <w:pStyle w:val="3"/>
        <w:pageBreakBefore w:val="0"/>
        <w:widowControl w:val="0"/>
        <w:numPr>
          <w:ilvl w:val="0"/>
          <w:numId w:val="0"/>
        </w:numPr>
        <w:kinsoku/>
        <w:topLinePunct w:val="0"/>
        <w:bidi w:val="0"/>
        <w:snapToGrid w:val="0"/>
        <w:spacing w:before="0" w:beforeLines="0" w:after="0" w:afterLines="0" w:line="360" w:lineRule="auto"/>
        <w:rPr>
          <w:rFonts w:hint="default" w:ascii="Times New Roman" w:hAnsi="Times New Roman" w:eastAsia="宋体" w:cs="Times New Roman"/>
          <w:color w:val="auto"/>
          <w:sz w:val="30"/>
          <w:szCs w:val="30"/>
          <w:highlight w:val="none"/>
          <w:u w:val="none" w:color="auto"/>
          <w:lang w:val="en-US" w:eastAsia="zh-CN"/>
        </w:rPr>
      </w:pPr>
      <w:bookmarkStart w:id="477" w:name="_Toc3466"/>
      <w:bookmarkStart w:id="478" w:name="_Toc16218"/>
      <w:r>
        <w:rPr>
          <w:rFonts w:hint="eastAsia" w:ascii="Times New Roman" w:hAnsi="Times New Roman" w:eastAsia="宋体" w:cs="Times New Roman"/>
          <w:color w:val="auto"/>
          <w:sz w:val="30"/>
          <w:szCs w:val="30"/>
          <w:highlight w:val="none"/>
          <w:u w:val="none" w:color="auto"/>
          <w:lang w:val="en-US" w:eastAsia="zh-CN"/>
        </w:rPr>
        <w:t>6.2风险调查</w:t>
      </w:r>
      <w:bookmarkEnd w:id="477"/>
      <w:bookmarkEnd w:id="478"/>
    </w:p>
    <w:p w14:paraId="35C96EED">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6.2.1项目风险源调查</w:t>
      </w:r>
    </w:p>
    <w:p w14:paraId="3D19C317">
      <w:pPr>
        <w:bidi w:val="0"/>
        <w:rPr>
          <w:rFonts w:hint="default"/>
          <w:sz w:val="24"/>
          <w:szCs w:val="24"/>
          <w:highlight w:val="yellow"/>
          <w:u w:val="none" w:color="auto"/>
          <w:lang w:val="en-US" w:eastAsia="zh-CN"/>
        </w:rPr>
      </w:pPr>
      <w:r>
        <w:rPr>
          <w:rFonts w:hint="default"/>
          <w:sz w:val="24"/>
          <w:szCs w:val="24"/>
          <w:highlight w:val="none"/>
          <w:u w:val="none" w:color="auto"/>
          <w:lang w:val="en-US" w:eastAsia="zh-CN"/>
        </w:rPr>
        <w:t>根据《建设项目环境风险评价技术导则》（HJ169-2018）表B.1突发环境事件风险物质及临界量、表B.2其他危险物质临界量推荐值，以及《危险化学品重大危险源辨识》（GB18218-2018），项目</w:t>
      </w:r>
      <w:r>
        <w:rPr>
          <w:rFonts w:hint="eastAsia"/>
          <w:sz w:val="24"/>
          <w:szCs w:val="24"/>
          <w:highlight w:val="none"/>
          <w:u w:val="none" w:color="auto"/>
          <w:lang w:val="en-US" w:eastAsia="zh-CN"/>
        </w:rPr>
        <w:t>重金属一体化污水处理装置</w:t>
      </w:r>
      <w:r>
        <w:rPr>
          <w:rFonts w:hint="default"/>
          <w:sz w:val="24"/>
          <w:szCs w:val="24"/>
          <w:highlight w:val="none"/>
          <w:u w:val="none" w:color="auto"/>
          <w:lang w:val="en-US" w:eastAsia="zh-CN"/>
        </w:rPr>
        <w:t>使用</w:t>
      </w:r>
      <w:r>
        <w:rPr>
          <w:rFonts w:hint="eastAsia"/>
          <w:sz w:val="24"/>
          <w:szCs w:val="24"/>
          <w:highlight w:val="none"/>
          <w:u w:val="none" w:color="auto"/>
          <w:lang w:val="en-US" w:eastAsia="zh-CN"/>
        </w:rPr>
        <w:t>的PAM、PAC、氢氧化钙等</w:t>
      </w:r>
      <w:r>
        <w:rPr>
          <w:rFonts w:hint="default"/>
          <w:sz w:val="24"/>
          <w:szCs w:val="24"/>
          <w:highlight w:val="none"/>
          <w:u w:val="none" w:color="auto"/>
          <w:lang w:val="en-US" w:eastAsia="zh-CN"/>
        </w:rPr>
        <w:t>为突发环境事件风险物质。</w:t>
      </w:r>
    </w:p>
    <w:p w14:paraId="23D2F070">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6.2.2</w:t>
      </w:r>
      <w:r>
        <w:rPr>
          <w:rFonts w:hint="default" w:ascii="Times New Roman" w:hAnsi="Times New Roman" w:eastAsia="宋体" w:cs="Times New Roman"/>
          <w:color w:val="auto"/>
          <w:sz w:val="28"/>
          <w:szCs w:val="28"/>
          <w:highlight w:val="none"/>
          <w:u w:val="none" w:color="auto"/>
          <w:lang w:val="en-US" w:eastAsia="zh-CN"/>
        </w:rPr>
        <w:t>环境敏感目标调查</w:t>
      </w:r>
    </w:p>
    <w:p w14:paraId="6AA65CAF">
      <w:pPr>
        <w:rPr>
          <w:rFonts w:hint="default"/>
          <w:sz w:val="24"/>
          <w:szCs w:val="24"/>
          <w:highlight w:val="none"/>
          <w:u w:val="none" w:color="auto"/>
          <w:lang w:val="en-US" w:eastAsia="zh-CN"/>
        </w:rPr>
      </w:pPr>
      <w:r>
        <w:rPr>
          <w:rFonts w:hint="default"/>
          <w:sz w:val="24"/>
          <w:szCs w:val="24"/>
          <w:highlight w:val="none"/>
          <w:u w:val="none" w:color="auto"/>
          <w:lang w:val="en-US" w:eastAsia="zh-CN"/>
        </w:rPr>
        <w:t>经现场调查，本项目周边环境风险敏感目标见表6.2-</w:t>
      </w:r>
      <w:r>
        <w:rPr>
          <w:rFonts w:hint="eastAsia"/>
          <w:sz w:val="24"/>
          <w:szCs w:val="24"/>
          <w:highlight w:val="none"/>
          <w:u w:val="none" w:color="auto"/>
          <w:lang w:val="en-US" w:eastAsia="zh-CN"/>
        </w:rPr>
        <w:t>1</w:t>
      </w:r>
      <w:r>
        <w:rPr>
          <w:rFonts w:hint="default"/>
          <w:sz w:val="24"/>
          <w:szCs w:val="24"/>
          <w:highlight w:val="none"/>
          <w:u w:val="none" w:color="auto"/>
          <w:lang w:val="en-US" w:eastAsia="zh-CN"/>
        </w:rPr>
        <w:t>。</w:t>
      </w:r>
    </w:p>
    <w:p w14:paraId="54A4B8D2">
      <w:pPr>
        <w:bidi w:val="0"/>
        <w:spacing w:line="240" w:lineRule="auto"/>
        <w:ind w:left="0" w:leftChars="0" w:firstLine="0" w:firstLineChars="0"/>
        <w:jc w:val="center"/>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表6.2-1  项目填埋场周围环境敏感目标分布情况一览表</w:t>
      </w:r>
    </w:p>
    <w:tbl>
      <w:tblPr>
        <w:tblStyle w:val="111"/>
        <w:tblW w:w="531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22"/>
        <w:gridCol w:w="702"/>
        <w:gridCol w:w="83"/>
        <w:gridCol w:w="2409"/>
        <w:gridCol w:w="956"/>
        <w:gridCol w:w="66"/>
        <w:gridCol w:w="1563"/>
        <w:gridCol w:w="437"/>
        <w:gridCol w:w="774"/>
        <w:gridCol w:w="1759"/>
      </w:tblGrid>
      <w:tr w14:paraId="1E90DC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477" w:type="pct"/>
            <w:vMerge w:val="restart"/>
            <w:noWrap w:val="0"/>
            <w:vAlign w:val="center"/>
          </w:tcPr>
          <w:p w14:paraId="16C1AA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类别</w:t>
            </w:r>
          </w:p>
        </w:tc>
        <w:tc>
          <w:tcPr>
            <w:tcW w:w="4522" w:type="pct"/>
            <w:gridSpan w:val="9"/>
            <w:noWrap w:val="0"/>
            <w:vAlign w:val="center"/>
          </w:tcPr>
          <w:p w14:paraId="75D7EE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环境敏感特征</w:t>
            </w:r>
          </w:p>
        </w:tc>
      </w:tr>
      <w:tr w14:paraId="5D553E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4" w:hRule="atLeast"/>
          <w:tblHeader/>
        </w:trPr>
        <w:tc>
          <w:tcPr>
            <w:tcW w:w="477" w:type="pct"/>
            <w:vMerge w:val="continue"/>
            <w:noWrap w:val="0"/>
            <w:vAlign w:val="center"/>
          </w:tcPr>
          <w:p w14:paraId="6DAE0E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p>
        </w:tc>
        <w:tc>
          <w:tcPr>
            <w:tcW w:w="363" w:type="pct"/>
            <w:noWrap w:val="0"/>
            <w:vAlign w:val="center"/>
          </w:tcPr>
          <w:p w14:paraId="25FD92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序号</w:t>
            </w:r>
          </w:p>
        </w:tc>
        <w:tc>
          <w:tcPr>
            <w:tcW w:w="1288" w:type="pct"/>
            <w:gridSpan w:val="2"/>
            <w:noWrap w:val="0"/>
            <w:vAlign w:val="center"/>
          </w:tcPr>
          <w:p w14:paraId="3A71F0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敏感目标名称</w:t>
            </w:r>
          </w:p>
        </w:tc>
        <w:tc>
          <w:tcPr>
            <w:tcW w:w="494" w:type="pct"/>
            <w:noWrap w:val="0"/>
            <w:vAlign w:val="center"/>
          </w:tcPr>
          <w:p w14:paraId="4C0235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相对方位</w:t>
            </w:r>
          </w:p>
        </w:tc>
        <w:tc>
          <w:tcPr>
            <w:tcW w:w="842" w:type="pct"/>
            <w:gridSpan w:val="2"/>
            <w:noWrap w:val="0"/>
            <w:vAlign w:val="center"/>
          </w:tcPr>
          <w:p w14:paraId="21BB89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eastAsia" w:cs="Times New Roman"/>
                <w:b/>
                <w:bCs/>
                <w:sz w:val="21"/>
                <w:szCs w:val="21"/>
                <w:highlight w:val="none"/>
                <w:u w:val="none" w:color="auto"/>
                <w:lang w:val="en-US" w:eastAsia="zh-CN"/>
              </w:rPr>
              <w:t>与填埋场</w:t>
            </w:r>
            <w:r>
              <w:rPr>
                <w:rFonts w:hint="default" w:ascii="Times New Roman" w:hAnsi="Times New Roman" w:cs="Times New Roman"/>
                <w:b/>
                <w:bCs/>
                <w:sz w:val="21"/>
                <w:szCs w:val="21"/>
                <w:highlight w:val="none"/>
                <w:u w:val="none" w:color="auto"/>
              </w:rPr>
              <w:t>距离/m</w:t>
            </w:r>
          </w:p>
        </w:tc>
        <w:tc>
          <w:tcPr>
            <w:tcW w:w="625" w:type="pct"/>
            <w:gridSpan w:val="2"/>
            <w:noWrap w:val="0"/>
            <w:vAlign w:val="center"/>
          </w:tcPr>
          <w:p w14:paraId="68B6E3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属性</w:t>
            </w:r>
          </w:p>
        </w:tc>
        <w:tc>
          <w:tcPr>
            <w:tcW w:w="909" w:type="pct"/>
            <w:noWrap w:val="0"/>
            <w:vAlign w:val="center"/>
          </w:tcPr>
          <w:p w14:paraId="343919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人口数</w:t>
            </w:r>
          </w:p>
        </w:tc>
      </w:tr>
      <w:tr w14:paraId="77976B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restart"/>
            <w:noWrap w:val="0"/>
            <w:vAlign w:val="center"/>
          </w:tcPr>
          <w:p w14:paraId="5A2BE3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环境空气</w:t>
            </w:r>
          </w:p>
        </w:tc>
        <w:tc>
          <w:tcPr>
            <w:tcW w:w="363" w:type="pct"/>
            <w:noWrap w:val="0"/>
            <w:vAlign w:val="center"/>
          </w:tcPr>
          <w:p w14:paraId="2A9932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1</w:t>
            </w:r>
          </w:p>
        </w:tc>
        <w:tc>
          <w:tcPr>
            <w:tcW w:w="1288" w:type="pct"/>
            <w:gridSpan w:val="2"/>
            <w:shd w:val="clear" w:color="auto" w:fill="auto"/>
            <w:noWrap w:val="0"/>
            <w:vAlign w:val="center"/>
          </w:tcPr>
          <w:p w14:paraId="446E6054">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Arial" w:hAnsi="Arial" w:eastAsia="宋体" w:cs="Arial"/>
                <w:spacing w:val="5"/>
                <w:kern w:val="2"/>
                <w:sz w:val="21"/>
                <w:szCs w:val="21"/>
                <w:lang w:val="en-US" w:eastAsia="zh-CN" w:bidi="ar-SA"/>
              </w:rPr>
            </w:pPr>
            <w:r>
              <w:rPr>
                <w:rFonts w:hint="eastAsia" w:eastAsia="宋体"/>
                <w:spacing w:val="5"/>
                <w:lang w:val="en-US" w:eastAsia="zh-CN"/>
              </w:rPr>
              <w:t>桥背屋居民点</w:t>
            </w:r>
          </w:p>
        </w:tc>
        <w:tc>
          <w:tcPr>
            <w:tcW w:w="494" w:type="pct"/>
            <w:shd w:val="clear" w:color="auto" w:fill="auto"/>
            <w:noWrap w:val="0"/>
            <w:vAlign w:val="center"/>
          </w:tcPr>
          <w:p w14:paraId="28C21CCA">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cs="Times New Roman"/>
                <w:sz w:val="20"/>
                <w:szCs w:val="20"/>
                <w:lang w:val="en-US" w:eastAsia="zh-CN"/>
              </w:rPr>
              <w:t>东南</w:t>
            </w:r>
          </w:p>
        </w:tc>
        <w:tc>
          <w:tcPr>
            <w:tcW w:w="842" w:type="pct"/>
            <w:gridSpan w:val="2"/>
            <w:shd w:val="clear" w:color="auto" w:fill="auto"/>
            <w:noWrap w:val="0"/>
            <w:vAlign w:val="center"/>
          </w:tcPr>
          <w:p w14:paraId="53FF4662">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kern w:val="2"/>
                <w:sz w:val="20"/>
                <w:szCs w:val="20"/>
                <w:lang w:val="en-US" w:eastAsia="zh-CN" w:bidi="ar-SA"/>
              </w:rPr>
            </w:pPr>
            <w:r>
              <w:rPr>
                <w:rFonts w:ascii="Times New Roman" w:hAnsi="Times New Roman" w:eastAsia="Times New Roman" w:cs="Times New Roman"/>
                <w:spacing w:val="4"/>
                <w:sz w:val="20"/>
                <w:szCs w:val="20"/>
              </w:rPr>
              <w:t>435m</w:t>
            </w:r>
          </w:p>
        </w:tc>
        <w:tc>
          <w:tcPr>
            <w:tcW w:w="625" w:type="pct"/>
            <w:gridSpan w:val="2"/>
            <w:noWrap w:val="0"/>
            <w:vAlign w:val="center"/>
          </w:tcPr>
          <w:p w14:paraId="4EC8C689">
            <w:pPr>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居住区</w:t>
            </w:r>
          </w:p>
        </w:tc>
        <w:tc>
          <w:tcPr>
            <w:tcW w:w="909" w:type="pct"/>
            <w:noWrap w:val="0"/>
            <w:vAlign w:val="center"/>
          </w:tcPr>
          <w:p w14:paraId="55B2B269">
            <w:pPr>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约10户</w:t>
            </w:r>
          </w:p>
        </w:tc>
      </w:tr>
      <w:tr w14:paraId="680B28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5834D5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3" w:type="pct"/>
            <w:noWrap w:val="0"/>
            <w:vAlign w:val="center"/>
          </w:tcPr>
          <w:p w14:paraId="6E7D24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cs="Times New Roman"/>
                <w:sz w:val="21"/>
                <w:szCs w:val="21"/>
                <w:highlight w:val="none"/>
                <w:u w:val="none" w:color="auto"/>
                <w:lang w:val="en-US" w:eastAsia="zh-CN"/>
              </w:rPr>
              <w:t>2</w:t>
            </w:r>
          </w:p>
        </w:tc>
        <w:tc>
          <w:tcPr>
            <w:tcW w:w="1288" w:type="pct"/>
            <w:gridSpan w:val="2"/>
            <w:shd w:val="clear" w:color="auto" w:fill="auto"/>
            <w:noWrap w:val="0"/>
            <w:vAlign w:val="center"/>
          </w:tcPr>
          <w:p w14:paraId="6902B24A">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Arial" w:hAnsi="Arial" w:eastAsia="Arial" w:cs="Arial"/>
                <w:kern w:val="2"/>
                <w:sz w:val="21"/>
                <w:szCs w:val="21"/>
                <w:lang w:val="en-US" w:eastAsia="zh-CN" w:bidi="ar-SA"/>
              </w:rPr>
            </w:pPr>
            <w:r>
              <w:rPr>
                <w:rFonts w:hint="eastAsia" w:cs="Arial"/>
                <w:kern w:val="2"/>
                <w:sz w:val="21"/>
                <w:szCs w:val="21"/>
                <w:lang w:val="en-US" w:eastAsia="zh-CN" w:bidi="ar-SA"/>
              </w:rPr>
              <w:t>万古村居民点</w:t>
            </w:r>
          </w:p>
        </w:tc>
        <w:tc>
          <w:tcPr>
            <w:tcW w:w="494" w:type="pct"/>
            <w:shd w:val="clear" w:color="auto" w:fill="auto"/>
            <w:noWrap w:val="0"/>
            <w:vAlign w:val="center"/>
          </w:tcPr>
          <w:p w14:paraId="5DE99591">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cs="Times New Roman"/>
                <w:sz w:val="20"/>
                <w:szCs w:val="20"/>
                <w:lang w:val="en-US" w:eastAsia="zh-CN"/>
              </w:rPr>
              <w:t>东南</w:t>
            </w:r>
          </w:p>
        </w:tc>
        <w:tc>
          <w:tcPr>
            <w:tcW w:w="842" w:type="pct"/>
            <w:gridSpan w:val="2"/>
            <w:shd w:val="clear" w:color="auto" w:fill="auto"/>
            <w:noWrap w:val="0"/>
            <w:vAlign w:val="center"/>
          </w:tcPr>
          <w:p w14:paraId="429A6B13">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Times New Roman" w:cs="Times New Roman"/>
                <w:spacing w:val="4"/>
                <w:kern w:val="2"/>
                <w:sz w:val="20"/>
                <w:szCs w:val="20"/>
                <w:lang w:val="en-US" w:eastAsia="zh-CN" w:bidi="ar-SA"/>
              </w:rPr>
            </w:pPr>
            <w:r>
              <w:rPr>
                <w:rFonts w:ascii="Times New Roman" w:hAnsi="Times New Roman" w:eastAsia="Times New Roman" w:cs="Times New Roman"/>
                <w:spacing w:val="4"/>
                <w:sz w:val="20"/>
                <w:szCs w:val="20"/>
              </w:rPr>
              <w:t>4</w:t>
            </w:r>
            <w:r>
              <w:rPr>
                <w:rFonts w:hint="eastAsia" w:cs="Times New Roman"/>
                <w:spacing w:val="4"/>
                <w:sz w:val="20"/>
                <w:szCs w:val="20"/>
                <w:lang w:val="en-US" w:eastAsia="zh-CN"/>
              </w:rPr>
              <w:t>90</w:t>
            </w:r>
            <w:r>
              <w:rPr>
                <w:rFonts w:ascii="Times New Roman" w:hAnsi="Times New Roman" w:eastAsia="Times New Roman" w:cs="Times New Roman"/>
                <w:spacing w:val="4"/>
                <w:sz w:val="20"/>
                <w:szCs w:val="20"/>
              </w:rPr>
              <w:t>m</w:t>
            </w:r>
          </w:p>
        </w:tc>
        <w:tc>
          <w:tcPr>
            <w:tcW w:w="625" w:type="pct"/>
            <w:gridSpan w:val="2"/>
            <w:noWrap w:val="0"/>
            <w:vAlign w:val="center"/>
          </w:tcPr>
          <w:p w14:paraId="6FFD4710">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居住区</w:t>
            </w:r>
          </w:p>
        </w:tc>
        <w:tc>
          <w:tcPr>
            <w:tcW w:w="909" w:type="pct"/>
            <w:noWrap w:val="0"/>
            <w:vAlign w:val="center"/>
          </w:tcPr>
          <w:p w14:paraId="25AA987B">
            <w:pPr>
              <w:spacing w:line="240" w:lineRule="auto"/>
              <w:ind w:firstLine="0" w:firstLineChars="0"/>
              <w:jc w:val="center"/>
              <w:rPr>
                <w:rFonts w:hint="eastAsia"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约2户</w:t>
            </w:r>
          </w:p>
        </w:tc>
      </w:tr>
      <w:tr w14:paraId="694A6A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14374A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3" w:type="pct"/>
            <w:noWrap w:val="0"/>
            <w:vAlign w:val="center"/>
          </w:tcPr>
          <w:p w14:paraId="79E659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cs="Times New Roman"/>
                <w:sz w:val="21"/>
                <w:szCs w:val="21"/>
                <w:highlight w:val="none"/>
                <w:u w:val="none" w:color="auto"/>
                <w:lang w:val="en-US" w:eastAsia="zh-CN"/>
              </w:rPr>
              <w:t>3</w:t>
            </w:r>
          </w:p>
        </w:tc>
        <w:tc>
          <w:tcPr>
            <w:tcW w:w="1288" w:type="pct"/>
            <w:gridSpan w:val="2"/>
            <w:shd w:val="clear" w:color="auto" w:fill="auto"/>
            <w:noWrap w:val="0"/>
            <w:vAlign w:val="center"/>
          </w:tcPr>
          <w:p w14:paraId="1EFCE56B">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Arial" w:hAnsi="Arial" w:eastAsia="Arial" w:cs="Arial"/>
                <w:kern w:val="2"/>
                <w:sz w:val="21"/>
                <w:szCs w:val="21"/>
                <w:lang w:val="en-US" w:eastAsia="zh-CN" w:bidi="ar-SA"/>
              </w:rPr>
            </w:pPr>
            <w:r>
              <w:rPr>
                <w:spacing w:val="5"/>
              </w:rPr>
              <w:t>下新屋居</w:t>
            </w:r>
            <w:r>
              <w:rPr>
                <w:spacing w:val="-6"/>
              </w:rPr>
              <w:t>民点</w:t>
            </w:r>
          </w:p>
        </w:tc>
        <w:tc>
          <w:tcPr>
            <w:tcW w:w="494" w:type="pct"/>
            <w:shd w:val="clear" w:color="auto" w:fill="auto"/>
            <w:noWrap w:val="0"/>
            <w:vAlign w:val="center"/>
          </w:tcPr>
          <w:p w14:paraId="561E7DD0">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0"/>
                <w:szCs w:val="20"/>
                <w:lang w:val="en-US" w:eastAsia="zh-CN" w:bidi="ar-SA"/>
              </w:rPr>
            </w:pPr>
            <w:r>
              <w:rPr>
                <w:rFonts w:hint="eastAsia" w:cs="Times New Roman"/>
                <w:sz w:val="20"/>
                <w:szCs w:val="20"/>
                <w:lang w:val="en-US" w:eastAsia="zh-CN"/>
              </w:rPr>
              <w:t>南</w:t>
            </w:r>
          </w:p>
        </w:tc>
        <w:tc>
          <w:tcPr>
            <w:tcW w:w="842" w:type="pct"/>
            <w:gridSpan w:val="2"/>
            <w:shd w:val="clear" w:color="auto" w:fill="auto"/>
            <w:noWrap w:val="0"/>
            <w:vAlign w:val="center"/>
          </w:tcPr>
          <w:p w14:paraId="2D38850D">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4"/>
                <w:kern w:val="2"/>
                <w:sz w:val="20"/>
                <w:szCs w:val="20"/>
                <w:lang w:val="en-US" w:eastAsia="zh-CN" w:bidi="ar-SA"/>
              </w:rPr>
            </w:pPr>
            <w:r>
              <w:rPr>
                <w:rFonts w:hint="eastAsia" w:eastAsia="宋体" w:cs="Times New Roman"/>
                <w:spacing w:val="4"/>
                <w:sz w:val="20"/>
                <w:szCs w:val="20"/>
                <w:lang w:val="en-US" w:eastAsia="zh-CN"/>
              </w:rPr>
              <w:t>410</w:t>
            </w:r>
            <w:r>
              <w:rPr>
                <w:rFonts w:ascii="Times New Roman" w:hAnsi="Times New Roman" w:eastAsia="Times New Roman" w:cs="Times New Roman"/>
                <w:spacing w:val="4"/>
                <w:sz w:val="20"/>
                <w:szCs w:val="20"/>
              </w:rPr>
              <w:t>m</w:t>
            </w:r>
          </w:p>
        </w:tc>
        <w:tc>
          <w:tcPr>
            <w:tcW w:w="625" w:type="pct"/>
            <w:gridSpan w:val="2"/>
            <w:noWrap w:val="0"/>
            <w:vAlign w:val="center"/>
          </w:tcPr>
          <w:p w14:paraId="529EFED3">
            <w:pPr>
              <w:keepNext w:val="0"/>
              <w:keepLines w:val="0"/>
              <w:pageBreakBefore w:val="0"/>
              <w:widowControl/>
              <w:kinsoku/>
              <w:wordWrap/>
              <w:overflowPunct/>
              <w:topLinePunct/>
              <w:autoSpaceDE/>
              <w:autoSpaceDN/>
              <w:bidi w:val="0"/>
              <w:adjustRightInd/>
              <w:snapToGrid/>
              <w:spacing w:line="240" w:lineRule="auto"/>
              <w:ind w:firstLine="0" w:firstLineChars="0"/>
              <w:jc w:val="center"/>
              <w:textAlignment w:val="auto"/>
              <w:rPr>
                <w:rFonts w:hint="eastAsia"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居住区</w:t>
            </w:r>
          </w:p>
        </w:tc>
        <w:tc>
          <w:tcPr>
            <w:tcW w:w="909" w:type="pct"/>
            <w:noWrap w:val="0"/>
            <w:vAlign w:val="center"/>
          </w:tcPr>
          <w:p w14:paraId="30FE179D">
            <w:pPr>
              <w:spacing w:line="240" w:lineRule="auto"/>
              <w:ind w:firstLine="0" w:firstLineChars="0"/>
              <w:jc w:val="center"/>
              <w:rPr>
                <w:rFonts w:hint="eastAsia"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约2户</w:t>
            </w:r>
          </w:p>
        </w:tc>
      </w:tr>
      <w:tr w14:paraId="3572BC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03F183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3" w:type="pct"/>
            <w:noWrap w:val="0"/>
            <w:vAlign w:val="center"/>
          </w:tcPr>
          <w:p w14:paraId="6E3F3D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eastAsia" w:cs="Times New Roman"/>
                <w:sz w:val="21"/>
                <w:szCs w:val="21"/>
                <w:highlight w:val="none"/>
                <w:u w:val="none" w:color="auto"/>
                <w:lang w:val="en-US" w:eastAsia="zh-CN"/>
              </w:rPr>
              <w:t>4</w:t>
            </w:r>
          </w:p>
        </w:tc>
        <w:tc>
          <w:tcPr>
            <w:tcW w:w="1288" w:type="pct"/>
            <w:gridSpan w:val="2"/>
            <w:shd w:val="clear" w:color="auto" w:fill="auto"/>
            <w:noWrap w:val="0"/>
            <w:vAlign w:val="center"/>
          </w:tcPr>
          <w:p w14:paraId="76CD2474">
            <w:pPr>
              <w:pStyle w:val="197"/>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Arial" w:hAnsi="Arial" w:eastAsia="宋体" w:cs="Arial"/>
                <w:spacing w:val="5"/>
                <w:kern w:val="2"/>
                <w:sz w:val="21"/>
                <w:szCs w:val="21"/>
                <w:lang w:val="en-US" w:eastAsia="zh-CN" w:bidi="ar-SA"/>
              </w:rPr>
            </w:pPr>
            <w:r>
              <w:rPr>
                <w:rFonts w:hint="eastAsia" w:eastAsia="宋体"/>
                <w:spacing w:val="5"/>
                <w:lang w:val="en-US" w:eastAsia="zh-CN"/>
              </w:rPr>
              <w:t>长子坡居民点</w:t>
            </w:r>
          </w:p>
        </w:tc>
        <w:tc>
          <w:tcPr>
            <w:tcW w:w="494" w:type="pct"/>
            <w:shd w:val="clear" w:color="auto" w:fill="auto"/>
            <w:noWrap w:val="0"/>
            <w:vAlign w:val="center"/>
          </w:tcPr>
          <w:p w14:paraId="03BAC1B1">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0"/>
                <w:szCs w:val="20"/>
                <w:lang w:val="en-US" w:eastAsia="zh-CN" w:bidi="ar-SA"/>
              </w:rPr>
            </w:pPr>
            <w:r>
              <w:rPr>
                <w:rFonts w:hint="eastAsia" w:cs="Times New Roman"/>
                <w:sz w:val="20"/>
                <w:szCs w:val="20"/>
                <w:lang w:val="en-US" w:eastAsia="zh-CN"/>
              </w:rPr>
              <w:t>西南</w:t>
            </w:r>
          </w:p>
        </w:tc>
        <w:tc>
          <w:tcPr>
            <w:tcW w:w="842" w:type="pct"/>
            <w:gridSpan w:val="2"/>
            <w:shd w:val="clear" w:color="auto" w:fill="auto"/>
            <w:noWrap w:val="0"/>
            <w:vAlign w:val="center"/>
          </w:tcPr>
          <w:p w14:paraId="1F5B07BC">
            <w:pPr>
              <w:keepNext w:val="0"/>
              <w:keepLines w:val="0"/>
              <w:pageBreakBefore w:val="0"/>
              <w:widowControl/>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4"/>
                <w:kern w:val="2"/>
                <w:sz w:val="20"/>
                <w:szCs w:val="20"/>
                <w:lang w:val="en-US" w:eastAsia="zh-CN" w:bidi="ar-SA"/>
              </w:rPr>
            </w:pPr>
            <w:r>
              <w:rPr>
                <w:rFonts w:hint="eastAsia" w:eastAsia="宋体" w:cs="Times New Roman"/>
                <w:spacing w:val="4"/>
                <w:sz w:val="20"/>
                <w:szCs w:val="20"/>
                <w:lang w:val="en-US" w:eastAsia="zh-CN"/>
              </w:rPr>
              <w:t>430</w:t>
            </w:r>
            <w:r>
              <w:rPr>
                <w:rFonts w:ascii="Times New Roman" w:hAnsi="Times New Roman" w:eastAsia="Times New Roman" w:cs="Times New Roman"/>
                <w:spacing w:val="4"/>
                <w:sz w:val="20"/>
                <w:szCs w:val="20"/>
              </w:rPr>
              <w:t>m</w:t>
            </w:r>
          </w:p>
        </w:tc>
        <w:tc>
          <w:tcPr>
            <w:tcW w:w="625" w:type="pct"/>
            <w:gridSpan w:val="2"/>
            <w:noWrap w:val="0"/>
            <w:vAlign w:val="center"/>
          </w:tcPr>
          <w:p w14:paraId="297F9F45">
            <w:pPr>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居住区</w:t>
            </w:r>
          </w:p>
        </w:tc>
        <w:tc>
          <w:tcPr>
            <w:tcW w:w="909" w:type="pct"/>
            <w:noWrap w:val="0"/>
            <w:vAlign w:val="center"/>
          </w:tcPr>
          <w:p w14:paraId="5DF974DB">
            <w:pPr>
              <w:spacing w:line="240" w:lineRule="auto"/>
              <w:ind w:firstLine="0" w:firstLine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约5户</w:t>
            </w:r>
          </w:p>
        </w:tc>
      </w:tr>
      <w:tr w14:paraId="3E165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4568FC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13" w:type="pct"/>
            <w:gridSpan w:val="8"/>
            <w:noWrap w:val="0"/>
            <w:vAlign w:val="center"/>
          </w:tcPr>
          <w:p w14:paraId="393B82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填埋场周边500m范围内人口数小计</w:t>
            </w:r>
          </w:p>
        </w:tc>
        <w:tc>
          <w:tcPr>
            <w:tcW w:w="909" w:type="pct"/>
            <w:noWrap w:val="0"/>
            <w:vAlign w:val="center"/>
          </w:tcPr>
          <w:p w14:paraId="6ABD56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u w:val="none" w:color="auto"/>
                <w:lang w:val="en-US" w:eastAsia="zh-CN"/>
              </w:rPr>
            </w:pPr>
            <w:r>
              <w:rPr>
                <w:rFonts w:hint="default" w:ascii="Times New Roman" w:hAnsi="Times New Roman" w:cs="Times New Roman"/>
                <w:sz w:val="21"/>
                <w:szCs w:val="21"/>
                <w:highlight w:val="none"/>
                <w:u w:val="none" w:color="auto"/>
                <w:lang w:val="en-US" w:eastAsia="zh-CN"/>
              </w:rPr>
              <w:t>˂</w:t>
            </w:r>
            <w:r>
              <w:rPr>
                <w:rFonts w:hint="eastAsia" w:cs="Times New Roman"/>
                <w:sz w:val="21"/>
                <w:szCs w:val="21"/>
                <w:highlight w:val="none"/>
                <w:u w:val="none" w:color="auto"/>
                <w:lang w:val="en-US" w:eastAsia="zh-CN"/>
              </w:rPr>
              <w:t>500</w:t>
            </w:r>
            <w:r>
              <w:rPr>
                <w:rFonts w:hint="eastAsia" w:ascii="Times New Roman" w:hAnsi="Times New Roman" w:cs="Times New Roman"/>
                <w:sz w:val="21"/>
                <w:szCs w:val="21"/>
                <w:highlight w:val="none"/>
                <w:u w:val="none" w:color="auto"/>
                <w:lang w:val="en-US" w:eastAsia="zh-CN"/>
              </w:rPr>
              <w:t>人</w:t>
            </w:r>
          </w:p>
        </w:tc>
      </w:tr>
      <w:tr w14:paraId="7D0590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1F9982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13" w:type="pct"/>
            <w:gridSpan w:val="8"/>
            <w:noWrap w:val="0"/>
            <w:vAlign w:val="center"/>
          </w:tcPr>
          <w:p w14:paraId="382EE6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填埋场周边5km范围内人口数小计</w:t>
            </w:r>
          </w:p>
        </w:tc>
        <w:tc>
          <w:tcPr>
            <w:tcW w:w="909" w:type="pct"/>
            <w:noWrap w:val="0"/>
            <w:vAlign w:val="center"/>
          </w:tcPr>
          <w:p w14:paraId="7D5C72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lang w:val="en-US" w:eastAsia="zh-CN"/>
              </w:rPr>
              <w:t>˂</w:t>
            </w:r>
            <w:r>
              <w:rPr>
                <w:rFonts w:hint="eastAsia" w:cs="Times New Roman"/>
                <w:sz w:val="21"/>
                <w:szCs w:val="21"/>
                <w:highlight w:val="none"/>
                <w:u w:val="none" w:color="auto"/>
                <w:lang w:val="en-US" w:eastAsia="zh-CN"/>
              </w:rPr>
              <w:t>1</w:t>
            </w:r>
            <w:r>
              <w:rPr>
                <w:rFonts w:hint="default" w:ascii="Times New Roman" w:hAnsi="Times New Roman" w:cs="Times New Roman"/>
                <w:sz w:val="21"/>
                <w:szCs w:val="21"/>
                <w:highlight w:val="none"/>
                <w:u w:val="none" w:color="auto"/>
              </w:rPr>
              <w:t>万人</w:t>
            </w:r>
          </w:p>
        </w:tc>
      </w:tr>
      <w:tr w14:paraId="41FB0C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3B2526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13" w:type="pct"/>
            <w:gridSpan w:val="8"/>
            <w:noWrap w:val="0"/>
            <w:vAlign w:val="center"/>
          </w:tcPr>
          <w:p w14:paraId="48FF10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大气环境敏感程度E值</w:t>
            </w:r>
          </w:p>
        </w:tc>
        <w:tc>
          <w:tcPr>
            <w:tcW w:w="909" w:type="pct"/>
            <w:noWrap w:val="0"/>
            <w:vAlign w:val="center"/>
          </w:tcPr>
          <w:p w14:paraId="58AB44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eastAsia="zh-CN"/>
              </w:rPr>
            </w:pPr>
            <w:r>
              <w:rPr>
                <w:rFonts w:hint="default" w:ascii="Times New Roman" w:hAnsi="Times New Roman" w:cs="Times New Roman"/>
                <w:sz w:val="21"/>
                <w:szCs w:val="21"/>
                <w:highlight w:val="none"/>
                <w:u w:val="none" w:color="auto"/>
              </w:rPr>
              <w:t>E</w:t>
            </w:r>
            <w:r>
              <w:rPr>
                <w:rFonts w:hint="eastAsia" w:cs="Times New Roman"/>
                <w:sz w:val="21"/>
                <w:szCs w:val="21"/>
                <w:highlight w:val="none"/>
                <w:u w:val="none" w:color="auto"/>
                <w:lang w:val="en-US" w:eastAsia="zh-CN"/>
              </w:rPr>
              <w:t>3</w:t>
            </w:r>
          </w:p>
        </w:tc>
      </w:tr>
      <w:tr w14:paraId="534913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77" w:type="pct"/>
            <w:vMerge w:val="restart"/>
            <w:noWrap w:val="0"/>
            <w:vAlign w:val="center"/>
          </w:tcPr>
          <w:p w14:paraId="57F7B0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地表水</w:t>
            </w:r>
          </w:p>
        </w:tc>
        <w:tc>
          <w:tcPr>
            <w:tcW w:w="4522" w:type="pct"/>
            <w:gridSpan w:val="9"/>
            <w:noWrap w:val="0"/>
            <w:vAlign w:val="center"/>
          </w:tcPr>
          <w:p w14:paraId="3EE4DA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受纳水体</w:t>
            </w:r>
          </w:p>
        </w:tc>
      </w:tr>
      <w:tr w14:paraId="60E840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0553C9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06" w:type="pct"/>
            <w:gridSpan w:val="2"/>
            <w:noWrap w:val="0"/>
            <w:vAlign w:val="center"/>
          </w:tcPr>
          <w:p w14:paraId="278FDD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序号</w:t>
            </w:r>
          </w:p>
        </w:tc>
        <w:tc>
          <w:tcPr>
            <w:tcW w:w="1245" w:type="pct"/>
            <w:noWrap w:val="0"/>
            <w:vAlign w:val="center"/>
          </w:tcPr>
          <w:p w14:paraId="7CE884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受纳水体名称</w:t>
            </w:r>
          </w:p>
        </w:tc>
        <w:tc>
          <w:tcPr>
            <w:tcW w:w="1336" w:type="pct"/>
            <w:gridSpan w:val="3"/>
            <w:noWrap w:val="0"/>
            <w:vAlign w:val="center"/>
          </w:tcPr>
          <w:p w14:paraId="243C63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排放点水域环境功能</w:t>
            </w:r>
          </w:p>
        </w:tc>
        <w:tc>
          <w:tcPr>
            <w:tcW w:w="1534" w:type="pct"/>
            <w:gridSpan w:val="3"/>
            <w:noWrap w:val="0"/>
            <w:vAlign w:val="center"/>
          </w:tcPr>
          <w:p w14:paraId="3F250C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24h内流经范围/km</w:t>
            </w:r>
          </w:p>
        </w:tc>
      </w:tr>
      <w:tr w14:paraId="3C8382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77" w:type="pct"/>
            <w:vMerge w:val="continue"/>
            <w:noWrap w:val="0"/>
            <w:vAlign w:val="center"/>
          </w:tcPr>
          <w:p w14:paraId="7D825C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06" w:type="pct"/>
            <w:gridSpan w:val="2"/>
            <w:noWrap w:val="0"/>
            <w:vAlign w:val="center"/>
          </w:tcPr>
          <w:p w14:paraId="4CD849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1</w:t>
            </w:r>
          </w:p>
        </w:tc>
        <w:tc>
          <w:tcPr>
            <w:tcW w:w="1245" w:type="pct"/>
            <w:noWrap w:val="0"/>
            <w:vAlign w:val="center"/>
          </w:tcPr>
          <w:p w14:paraId="6B6024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lang w:val="en-US"/>
              </w:rPr>
            </w:pPr>
            <w:r>
              <w:rPr>
                <w:rFonts w:hint="eastAsia"/>
                <w:sz w:val="21"/>
                <w:szCs w:val="21"/>
                <w:highlight w:val="none"/>
                <w:u w:val="none" w:color="auto"/>
                <w:lang w:val="en-US" w:eastAsia="zh-CN"/>
              </w:rPr>
              <w:t>无名小溪</w:t>
            </w:r>
          </w:p>
        </w:tc>
        <w:tc>
          <w:tcPr>
            <w:tcW w:w="1336" w:type="pct"/>
            <w:gridSpan w:val="3"/>
            <w:noWrap w:val="0"/>
            <w:vAlign w:val="center"/>
          </w:tcPr>
          <w:p w14:paraId="2C09F9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南侧，紧邻，</w:t>
            </w:r>
            <w:r>
              <w:rPr>
                <w:rFonts w:hint="eastAsia"/>
                <w:color w:val="auto"/>
                <w:sz w:val="21"/>
                <w:szCs w:val="21"/>
                <w:highlight w:val="none"/>
                <w:u w:val="none" w:color="auto"/>
                <w:lang w:val="en-US" w:eastAsia="zh-CN"/>
              </w:rPr>
              <w:t>灌溉</w:t>
            </w:r>
          </w:p>
        </w:tc>
        <w:tc>
          <w:tcPr>
            <w:tcW w:w="1534" w:type="pct"/>
            <w:gridSpan w:val="3"/>
            <w:noWrap w:val="0"/>
            <w:vAlign w:val="center"/>
          </w:tcPr>
          <w:p w14:paraId="5BDE67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w:t>
            </w:r>
          </w:p>
        </w:tc>
      </w:tr>
      <w:tr w14:paraId="73FCF2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77" w:type="pct"/>
            <w:vMerge w:val="continue"/>
            <w:noWrap w:val="0"/>
            <w:vAlign w:val="center"/>
          </w:tcPr>
          <w:p w14:paraId="3ABEA7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06" w:type="pct"/>
            <w:gridSpan w:val="2"/>
            <w:noWrap w:val="0"/>
            <w:vAlign w:val="center"/>
          </w:tcPr>
          <w:p w14:paraId="1309E2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2</w:t>
            </w:r>
          </w:p>
        </w:tc>
        <w:tc>
          <w:tcPr>
            <w:tcW w:w="1245" w:type="pct"/>
            <w:noWrap w:val="0"/>
            <w:vAlign w:val="center"/>
          </w:tcPr>
          <w:p w14:paraId="4CF428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eastAsia"/>
                <w:color w:val="auto"/>
                <w:sz w:val="21"/>
                <w:szCs w:val="21"/>
                <w:highlight w:val="none"/>
                <w:u w:val="none" w:color="auto"/>
                <w:lang w:val="en-US" w:eastAsia="zh-CN"/>
              </w:rPr>
              <w:t>万古水库</w:t>
            </w:r>
          </w:p>
        </w:tc>
        <w:tc>
          <w:tcPr>
            <w:tcW w:w="1336" w:type="pct"/>
            <w:gridSpan w:val="3"/>
            <w:noWrap w:val="0"/>
            <w:vAlign w:val="center"/>
          </w:tcPr>
          <w:p w14:paraId="4ABA7A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西侧，紧邻，水库，灌溉</w:t>
            </w:r>
          </w:p>
        </w:tc>
        <w:tc>
          <w:tcPr>
            <w:tcW w:w="1534" w:type="pct"/>
            <w:gridSpan w:val="3"/>
            <w:noWrap w:val="0"/>
            <w:vAlign w:val="center"/>
          </w:tcPr>
          <w:p w14:paraId="3CE70A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w:t>
            </w:r>
          </w:p>
        </w:tc>
      </w:tr>
      <w:tr w14:paraId="1141BB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77" w:type="pct"/>
            <w:vMerge w:val="continue"/>
            <w:noWrap w:val="0"/>
            <w:vAlign w:val="center"/>
          </w:tcPr>
          <w:p w14:paraId="476868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522" w:type="pct"/>
            <w:gridSpan w:val="9"/>
            <w:noWrap w:val="0"/>
            <w:vAlign w:val="center"/>
          </w:tcPr>
          <w:p w14:paraId="4BA90E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内陆水体排放点下游10km（近岸海域一个潮周期最大水平距离两倍）范围内敏感目标</w:t>
            </w:r>
          </w:p>
        </w:tc>
      </w:tr>
      <w:tr w14:paraId="51AF07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579879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06" w:type="pct"/>
            <w:gridSpan w:val="2"/>
            <w:noWrap w:val="0"/>
            <w:vAlign w:val="center"/>
          </w:tcPr>
          <w:p w14:paraId="4BB52D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序号</w:t>
            </w:r>
          </w:p>
        </w:tc>
        <w:tc>
          <w:tcPr>
            <w:tcW w:w="1245" w:type="pct"/>
            <w:noWrap w:val="0"/>
            <w:vAlign w:val="center"/>
          </w:tcPr>
          <w:p w14:paraId="782A59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敏感目标名称</w:t>
            </w:r>
          </w:p>
        </w:tc>
        <w:tc>
          <w:tcPr>
            <w:tcW w:w="528" w:type="pct"/>
            <w:gridSpan w:val="2"/>
            <w:noWrap w:val="0"/>
            <w:vAlign w:val="center"/>
          </w:tcPr>
          <w:p w14:paraId="7BFED3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环境敏感特征</w:t>
            </w:r>
          </w:p>
        </w:tc>
        <w:tc>
          <w:tcPr>
            <w:tcW w:w="1034" w:type="pct"/>
            <w:gridSpan w:val="2"/>
            <w:noWrap w:val="0"/>
            <w:vAlign w:val="center"/>
          </w:tcPr>
          <w:p w14:paraId="156452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水质目标</w:t>
            </w:r>
          </w:p>
        </w:tc>
        <w:tc>
          <w:tcPr>
            <w:tcW w:w="1308" w:type="pct"/>
            <w:gridSpan w:val="2"/>
            <w:noWrap w:val="0"/>
            <w:vAlign w:val="center"/>
          </w:tcPr>
          <w:p w14:paraId="7471FE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与排放点距离/m</w:t>
            </w:r>
          </w:p>
        </w:tc>
      </w:tr>
      <w:tr w14:paraId="1BB18D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08F439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06" w:type="pct"/>
            <w:gridSpan w:val="2"/>
            <w:noWrap w:val="0"/>
            <w:vAlign w:val="center"/>
          </w:tcPr>
          <w:p w14:paraId="5015B9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1</w:t>
            </w:r>
          </w:p>
        </w:tc>
        <w:tc>
          <w:tcPr>
            <w:tcW w:w="1245" w:type="pct"/>
            <w:noWrap w:val="0"/>
            <w:vAlign w:val="center"/>
          </w:tcPr>
          <w:p w14:paraId="76AA83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w:t>
            </w:r>
          </w:p>
        </w:tc>
        <w:tc>
          <w:tcPr>
            <w:tcW w:w="528" w:type="pct"/>
            <w:gridSpan w:val="2"/>
            <w:noWrap w:val="0"/>
            <w:vAlign w:val="center"/>
          </w:tcPr>
          <w:p w14:paraId="04E2F3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w:t>
            </w:r>
          </w:p>
        </w:tc>
        <w:tc>
          <w:tcPr>
            <w:tcW w:w="1034" w:type="pct"/>
            <w:gridSpan w:val="2"/>
            <w:noWrap w:val="0"/>
            <w:vAlign w:val="center"/>
          </w:tcPr>
          <w:p w14:paraId="58C881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w:t>
            </w:r>
          </w:p>
        </w:tc>
        <w:tc>
          <w:tcPr>
            <w:tcW w:w="1308" w:type="pct"/>
            <w:gridSpan w:val="2"/>
            <w:noWrap w:val="0"/>
            <w:vAlign w:val="center"/>
          </w:tcPr>
          <w:p w14:paraId="0A46EF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w:t>
            </w:r>
          </w:p>
        </w:tc>
      </w:tr>
      <w:tr w14:paraId="65B8A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40BAA8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13" w:type="pct"/>
            <w:gridSpan w:val="8"/>
            <w:noWrap w:val="0"/>
            <w:vAlign w:val="center"/>
          </w:tcPr>
          <w:p w14:paraId="315540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地表水环境敏感程度E值</w:t>
            </w:r>
          </w:p>
        </w:tc>
        <w:tc>
          <w:tcPr>
            <w:tcW w:w="909" w:type="pct"/>
            <w:noWrap w:val="0"/>
            <w:vAlign w:val="center"/>
          </w:tcPr>
          <w:p w14:paraId="6A1020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eastAsia="zh-CN"/>
              </w:rPr>
            </w:pPr>
            <w:r>
              <w:rPr>
                <w:rFonts w:hint="default" w:ascii="Times New Roman" w:hAnsi="Times New Roman" w:cs="Times New Roman"/>
                <w:sz w:val="21"/>
                <w:szCs w:val="21"/>
                <w:highlight w:val="none"/>
                <w:u w:val="none" w:color="auto"/>
              </w:rPr>
              <w:t>E</w:t>
            </w:r>
            <w:r>
              <w:rPr>
                <w:rFonts w:hint="eastAsia" w:cs="Times New Roman"/>
                <w:sz w:val="21"/>
                <w:szCs w:val="21"/>
                <w:highlight w:val="none"/>
                <w:u w:val="none" w:color="auto"/>
                <w:lang w:val="en-US" w:eastAsia="zh-CN"/>
              </w:rPr>
              <w:t>3</w:t>
            </w:r>
          </w:p>
        </w:tc>
      </w:tr>
      <w:tr w14:paraId="59C9F7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77" w:type="pct"/>
            <w:vMerge w:val="restart"/>
            <w:noWrap w:val="0"/>
            <w:vAlign w:val="center"/>
          </w:tcPr>
          <w:p w14:paraId="517BA8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地下水</w:t>
            </w:r>
          </w:p>
        </w:tc>
        <w:tc>
          <w:tcPr>
            <w:tcW w:w="406" w:type="pct"/>
            <w:gridSpan w:val="2"/>
            <w:noWrap w:val="0"/>
            <w:vAlign w:val="center"/>
          </w:tcPr>
          <w:p w14:paraId="32897C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序号</w:t>
            </w:r>
          </w:p>
        </w:tc>
        <w:tc>
          <w:tcPr>
            <w:tcW w:w="1245" w:type="pct"/>
            <w:noWrap w:val="0"/>
            <w:vAlign w:val="center"/>
          </w:tcPr>
          <w:p w14:paraId="509742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环境敏感区名称</w:t>
            </w:r>
          </w:p>
        </w:tc>
        <w:tc>
          <w:tcPr>
            <w:tcW w:w="528" w:type="pct"/>
            <w:gridSpan w:val="2"/>
            <w:noWrap w:val="0"/>
            <w:vAlign w:val="center"/>
          </w:tcPr>
          <w:p w14:paraId="11DC18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环境敏感特征</w:t>
            </w:r>
          </w:p>
        </w:tc>
        <w:tc>
          <w:tcPr>
            <w:tcW w:w="808" w:type="pct"/>
            <w:noWrap w:val="0"/>
            <w:vAlign w:val="center"/>
          </w:tcPr>
          <w:p w14:paraId="55A401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水质目标</w:t>
            </w:r>
          </w:p>
        </w:tc>
        <w:tc>
          <w:tcPr>
            <w:tcW w:w="625" w:type="pct"/>
            <w:gridSpan w:val="2"/>
            <w:noWrap w:val="0"/>
            <w:vAlign w:val="center"/>
          </w:tcPr>
          <w:p w14:paraId="7B2890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包气带防污性能</w:t>
            </w:r>
          </w:p>
        </w:tc>
        <w:tc>
          <w:tcPr>
            <w:tcW w:w="909" w:type="pct"/>
            <w:noWrap w:val="0"/>
            <w:vAlign w:val="center"/>
          </w:tcPr>
          <w:p w14:paraId="3E4272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sz w:val="21"/>
                <w:szCs w:val="21"/>
                <w:highlight w:val="none"/>
                <w:u w:val="none" w:color="auto"/>
              </w:rPr>
            </w:pPr>
            <w:r>
              <w:rPr>
                <w:rFonts w:hint="default" w:ascii="Times New Roman" w:hAnsi="Times New Roman" w:cs="Times New Roman"/>
                <w:b/>
                <w:bCs/>
                <w:sz w:val="21"/>
                <w:szCs w:val="21"/>
                <w:highlight w:val="none"/>
                <w:u w:val="none" w:color="auto"/>
              </w:rPr>
              <w:t>与下游厂界距离/m</w:t>
            </w:r>
          </w:p>
        </w:tc>
      </w:tr>
      <w:tr w14:paraId="5CE102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0DC634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406" w:type="pct"/>
            <w:gridSpan w:val="2"/>
            <w:noWrap w:val="0"/>
            <w:vAlign w:val="center"/>
          </w:tcPr>
          <w:p w14:paraId="6C8852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1</w:t>
            </w:r>
          </w:p>
        </w:tc>
        <w:tc>
          <w:tcPr>
            <w:tcW w:w="4116" w:type="pct"/>
            <w:gridSpan w:val="7"/>
            <w:noWrap w:val="0"/>
            <w:vAlign w:val="center"/>
          </w:tcPr>
          <w:p w14:paraId="26C74B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u w:val="none" w:color="auto"/>
                <w:lang w:eastAsia="zh-CN"/>
              </w:rPr>
            </w:pPr>
            <w:r>
              <w:rPr>
                <w:rFonts w:hint="default" w:ascii="Times New Roman" w:hAnsi="Times New Roman" w:cs="Times New Roman"/>
                <w:sz w:val="21"/>
                <w:szCs w:val="21"/>
                <w:highlight w:val="none"/>
                <w:u w:val="none" w:color="auto"/>
              </w:rPr>
              <w:t>不涉及地下水集中式饮用水源区与特殊地下水资源保护区</w:t>
            </w:r>
            <w:r>
              <w:rPr>
                <w:rFonts w:hint="default" w:ascii="Times New Roman" w:hAnsi="Times New Roman" w:cs="Times New Roman"/>
                <w:sz w:val="21"/>
                <w:szCs w:val="21"/>
                <w:highlight w:val="none"/>
                <w:u w:val="none" w:color="auto"/>
                <w:lang w:eastAsia="zh-CN"/>
              </w:rPr>
              <w:t>，根据地勘资料项目所在地，Mb≥1.0m，1.0×10</w:t>
            </w:r>
            <w:r>
              <w:rPr>
                <w:rFonts w:hint="default" w:ascii="Times New Roman" w:hAnsi="Times New Roman" w:cs="Times New Roman"/>
                <w:sz w:val="21"/>
                <w:szCs w:val="21"/>
                <w:highlight w:val="none"/>
                <w:u w:val="none" w:color="auto"/>
                <w:vertAlign w:val="superscript"/>
                <w:lang w:eastAsia="zh-CN"/>
              </w:rPr>
              <w:t>-6</w:t>
            </w:r>
            <w:r>
              <w:rPr>
                <w:rFonts w:hint="default" w:ascii="Times New Roman" w:hAnsi="Times New Roman" w:cs="Times New Roman"/>
                <w:sz w:val="21"/>
                <w:szCs w:val="21"/>
                <w:highlight w:val="none"/>
                <w:u w:val="none" w:color="auto"/>
                <w:lang w:eastAsia="zh-CN"/>
              </w:rPr>
              <w:t>cm/s˂K≤1.0×10</w:t>
            </w:r>
            <w:r>
              <w:rPr>
                <w:rFonts w:hint="default" w:ascii="Times New Roman" w:hAnsi="Times New Roman" w:cs="Times New Roman"/>
                <w:sz w:val="21"/>
                <w:szCs w:val="21"/>
                <w:highlight w:val="none"/>
                <w:u w:val="none" w:color="auto"/>
                <w:vertAlign w:val="superscript"/>
                <w:lang w:eastAsia="zh-CN"/>
              </w:rPr>
              <w:t>-4</w:t>
            </w:r>
            <w:r>
              <w:rPr>
                <w:rFonts w:hint="default" w:ascii="Times New Roman" w:hAnsi="Times New Roman" w:cs="Times New Roman"/>
                <w:sz w:val="21"/>
                <w:szCs w:val="21"/>
                <w:highlight w:val="none"/>
                <w:u w:val="none" w:color="auto"/>
                <w:lang w:eastAsia="zh-CN"/>
              </w:rPr>
              <w:t>cm/s，且分布连续、稳定</w:t>
            </w:r>
          </w:p>
        </w:tc>
      </w:tr>
      <w:tr w14:paraId="104A82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77" w:type="pct"/>
            <w:vMerge w:val="continue"/>
            <w:noWrap w:val="0"/>
            <w:vAlign w:val="center"/>
          </w:tcPr>
          <w:p w14:paraId="750A9E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p>
        </w:tc>
        <w:tc>
          <w:tcPr>
            <w:tcW w:w="3613" w:type="pct"/>
            <w:gridSpan w:val="8"/>
            <w:noWrap w:val="0"/>
            <w:vAlign w:val="center"/>
          </w:tcPr>
          <w:p w14:paraId="73BC23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color="auto"/>
              </w:rPr>
            </w:pPr>
            <w:r>
              <w:rPr>
                <w:rFonts w:hint="default" w:ascii="Times New Roman" w:hAnsi="Times New Roman" w:cs="Times New Roman"/>
                <w:sz w:val="21"/>
                <w:szCs w:val="21"/>
                <w:highlight w:val="none"/>
                <w:u w:val="none" w:color="auto"/>
              </w:rPr>
              <w:t>地下水环境敏感程度E值</w:t>
            </w:r>
          </w:p>
        </w:tc>
        <w:tc>
          <w:tcPr>
            <w:tcW w:w="909" w:type="pct"/>
            <w:noWrap w:val="0"/>
            <w:vAlign w:val="center"/>
          </w:tcPr>
          <w:p w14:paraId="67EC0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highlight w:val="none"/>
                <w:u w:val="none" w:color="auto"/>
                <w:lang w:val="en-US" w:eastAsia="zh-CN"/>
              </w:rPr>
            </w:pPr>
            <w:r>
              <w:rPr>
                <w:rFonts w:hint="default" w:ascii="Times New Roman" w:hAnsi="Times New Roman" w:cs="Times New Roman"/>
                <w:sz w:val="21"/>
                <w:szCs w:val="21"/>
                <w:highlight w:val="none"/>
                <w:u w:val="none" w:color="auto"/>
              </w:rPr>
              <w:t>E</w:t>
            </w:r>
            <w:r>
              <w:rPr>
                <w:rFonts w:hint="eastAsia" w:cs="Times New Roman"/>
                <w:sz w:val="21"/>
                <w:szCs w:val="21"/>
                <w:highlight w:val="none"/>
                <w:u w:val="none" w:color="auto"/>
                <w:lang w:val="en-US" w:eastAsia="zh-CN"/>
              </w:rPr>
              <w:t>3</w:t>
            </w:r>
          </w:p>
        </w:tc>
      </w:tr>
    </w:tbl>
    <w:p w14:paraId="754C9928">
      <w:pPr>
        <w:pStyle w:val="3"/>
        <w:pageBreakBefore w:val="0"/>
        <w:widowControl w:val="0"/>
        <w:numPr>
          <w:ilvl w:val="0"/>
          <w:numId w:val="0"/>
        </w:numPr>
        <w:kinsoku/>
        <w:topLinePunct w:val="0"/>
        <w:bidi w:val="0"/>
        <w:snapToGrid w:val="0"/>
        <w:spacing w:before="0" w:beforeLines="0" w:after="0" w:afterLines="0" w:line="360" w:lineRule="auto"/>
        <w:rPr>
          <w:rFonts w:hint="eastAsia" w:ascii="Times New Roman" w:hAnsi="Times New Roman" w:eastAsia="宋体" w:cs="Times New Roman"/>
          <w:color w:val="auto"/>
          <w:sz w:val="30"/>
          <w:szCs w:val="30"/>
          <w:highlight w:val="none"/>
          <w:u w:val="none" w:color="auto"/>
          <w:lang w:val="en-US" w:eastAsia="zh-CN"/>
        </w:rPr>
      </w:pPr>
      <w:bookmarkStart w:id="479" w:name="_Toc29603"/>
      <w:bookmarkStart w:id="480" w:name="_Toc15862"/>
      <w:bookmarkStart w:id="481" w:name="_Toc15781"/>
      <w:r>
        <w:rPr>
          <w:rFonts w:hint="eastAsia" w:ascii="Times New Roman" w:hAnsi="Times New Roman" w:eastAsia="宋体" w:cs="Times New Roman"/>
          <w:color w:val="auto"/>
          <w:sz w:val="30"/>
          <w:szCs w:val="30"/>
          <w:highlight w:val="none"/>
          <w:u w:val="none" w:color="auto"/>
          <w:lang w:val="en-US" w:eastAsia="zh-CN"/>
        </w:rPr>
        <w:t>6.3</w:t>
      </w:r>
      <w:r>
        <w:rPr>
          <w:rFonts w:hint="default" w:ascii="Times New Roman" w:hAnsi="Times New Roman" w:eastAsia="宋体" w:cs="Times New Roman"/>
          <w:color w:val="auto"/>
          <w:sz w:val="30"/>
          <w:szCs w:val="30"/>
          <w:highlight w:val="none"/>
          <w:u w:val="none" w:color="auto"/>
          <w:lang w:val="en-US" w:eastAsia="zh-CN"/>
        </w:rPr>
        <w:t>环境风险潜势初判</w:t>
      </w:r>
      <w:bookmarkEnd w:id="479"/>
      <w:bookmarkEnd w:id="480"/>
      <w:bookmarkEnd w:id="481"/>
    </w:p>
    <w:p w14:paraId="2029EBFA">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6.3.1环境风险潜势划分</w:t>
      </w:r>
    </w:p>
    <w:p w14:paraId="42F4956B">
      <w:pPr>
        <w:bidi w:val="0"/>
        <w:rPr>
          <w:rFonts w:hint="default"/>
          <w:sz w:val="24"/>
          <w:szCs w:val="24"/>
          <w:highlight w:val="none"/>
          <w:lang w:val="en-US" w:eastAsia="zh-CN"/>
        </w:rPr>
      </w:pPr>
      <w:r>
        <w:rPr>
          <w:rFonts w:hint="default"/>
          <w:sz w:val="24"/>
          <w:szCs w:val="24"/>
          <w:highlight w:val="none"/>
          <w:lang w:val="en-US" w:eastAsia="zh-CN"/>
        </w:rPr>
        <w:t>根据建设项目设计的物质和工艺系统的危险性及其所在地的环境敏感程度，结合事故情形下环境影响途径，对建设项目潜在环境危害程度进行概化分析，按照表</w:t>
      </w:r>
      <w:r>
        <w:rPr>
          <w:rFonts w:hint="eastAsia"/>
          <w:sz w:val="24"/>
          <w:szCs w:val="24"/>
          <w:highlight w:val="none"/>
          <w:lang w:val="en-US" w:eastAsia="zh-CN"/>
        </w:rPr>
        <w:t>6.3</w:t>
      </w:r>
      <w:r>
        <w:rPr>
          <w:rFonts w:hint="default"/>
          <w:sz w:val="24"/>
          <w:szCs w:val="24"/>
          <w:highlight w:val="none"/>
          <w:lang w:val="en-US" w:eastAsia="zh-CN"/>
        </w:rPr>
        <w:t>-1确定环境风险潜势。</w:t>
      </w:r>
    </w:p>
    <w:p w14:paraId="4D5FF59B">
      <w:pPr>
        <w:bidi w:val="0"/>
        <w:spacing w:line="240" w:lineRule="auto"/>
        <w:ind w:left="0" w:leftChars="0" w:firstLine="0" w:firstLineChars="0"/>
        <w:jc w:val="center"/>
        <w:rPr>
          <w:rFonts w:hint="default"/>
          <w:b/>
          <w:bCs/>
          <w:sz w:val="21"/>
          <w:szCs w:val="21"/>
          <w:highlight w:val="none"/>
          <w:lang w:val="en-US" w:eastAsia="zh-CN"/>
        </w:rPr>
      </w:pPr>
      <w:r>
        <w:rPr>
          <w:rFonts w:hint="default"/>
          <w:b/>
          <w:bCs/>
          <w:sz w:val="21"/>
          <w:szCs w:val="21"/>
          <w:highlight w:val="none"/>
          <w:lang w:val="en-US" w:eastAsia="zh-CN"/>
        </w:rPr>
        <w:t>表</w:t>
      </w:r>
      <w:r>
        <w:rPr>
          <w:rFonts w:hint="eastAsia"/>
          <w:b/>
          <w:bCs/>
          <w:sz w:val="21"/>
          <w:szCs w:val="21"/>
          <w:highlight w:val="none"/>
          <w:lang w:val="en-US" w:eastAsia="zh-CN"/>
        </w:rPr>
        <w:t>6.3</w:t>
      </w:r>
      <w:r>
        <w:rPr>
          <w:rFonts w:hint="default"/>
          <w:b/>
          <w:bCs/>
          <w:sz w:val="21"/>
          <w:szCs w:val="21"/>
          <w:highlight w:val="none"/>
          <w:lang w:val="en-US" w:eastAsia="zh-CN"/>
        </w:rPr>
        <w:t>-1  建设项目环境风险潜势划分</w:t>
      </w:r>
    </w:p>
    <w:tbl>
      <w:tblPr>
        <w:tblStyle w:val="46"/>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43"/>
        <w:gridCol w:w="1735"/>
        <w:gridCol w:w="1735"/>
        <w:gridCol w:w="1735"/>
        <w:gridCol w:w="1742"/>
      </w:tblGrid>
      <w:tr w14:paraId="253F17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61" w:type="pct"/>
            <w:vMerge w:val="restart"/>
            <w:noWrap w:val="0"/>
            <w:vAlign w:val="center"/>
          </w:tcPr>
          <w:p w14:paraId="052C81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环境敏感程度（E）</w:t>
            </w:r>
          </w:p>
        </w:tc>
        <w:tc>
          <w:tcPr>
            <w:tcW w:w="3738" w:type="pct"/>
            <w:gridSpan w:val="4"/>
            <w:noWrap w:val="0"/>
            <w:vAlign w:val="center"/>
          </w:tcPr>
          <w:p w14:paraId="235EE8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危险物质及工艺系统危险性（P）</w:t>
            </w:r>
          </w:p>
        </w:tc>
      </w:tr>
      <w:tr w14:paraId="217315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1261" w:type="pct"/>
            <w:vMerge w:val="continue"/>
            <w:noWrap w:val="0"/>
            <w:vAlign w:val="center"/>
          </w:tcPr>
          <w:p w14:paraId="522A85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p>
        </w:tc>
        <w:tc>
          <w:tcPr>
            <w:tcW w:w="934" w:type="pct"/>
            <w:noWrap w:val="0"/>
            <w:vAlign w:val="center"/>
          </w:tcPr>
          <w:p w14:paraId="684D98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极高危害（P1）</w:t>
            </w:r>
          </w:p>
        </w:tc>
        <w:tc>
          <w:tcPr>
            <w:tcW w:w="934" w:type="pct"/>
            <w:noWrap w:val="0"/>
            <w:vAlign w:val="center"/>
          </w:tcPr>
          <w:p w14:paraId="76D882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高度危害（P2）</w:t>
            </w:r>
          </w:p>
        </w:tc>
        <w:tc>
          <w:tcPr>
            <w:tcW w:w="934" w:type="pct"/>
            <w:noWrap w:val="0"/>
            <w:vAlign w:val="center"/>
          </w:tcPr>
          <w:p w14:paraId="108D9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中度危害（P3）</w:t>
            </w:r>
          </w:p>
        </w:tc>
        <w:tc>
          <w:tcPr>
            <w:tcW w:w="936" w:type="pct"/>
            <w:noWrap w:val="0"/>
            <w:vAlign w:val="center"/>
          </w:tcPr>
          <w:p w14:paraId="1C1899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lang w:val="en-US" w:eastAsia="zh-CN"/>
              </w:rPr>
            </w:pPr>
            <w:r>
              <w:rPr>
                <w:rFonts w:hint="default"/>
                <w:b/>
                <w:bCs/>
                <w:sz w:val="21"/>
                <w:szCs w:val="21"/>
                <w:highlight w:val="none"/>
                <w:lang w:val="en-US" w:eastAsia="zh-CN"/>
              </w:rPr>
              <w:t>轻度危害（P4）</w:t>
            </w:r>
          </w:p>
        </w:tc>
      </w:tr>
      <w:tr w14:paraId="62FEA8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61" w:type="pct"/>
            <w:noWrap w:val="0"/>
            <w:vAlign w:val="center"/>
          </w:tcPr>
          <w:p w14:paraId="4B7DB7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环境高度敏感区（E1）</w:t>
            </w:r>
          </w:p>
        </w:tc>
        <w:tc>
          <w:tcPr>
            <w:tcW w:w="934" w:type="pct"/>
            <w:noWrap w:val="0"/>
            <w:vAlign w:val="center"/>
          </w:tcPr>
          <w:p w14:paraId="35A3D1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IV</w:t>
            </w:r>
            <w:r>
              <w:rPr>
                <w:rFonts w:hint="default"/>
                <w:sz w:val="21"/>
                <w:szCs w:val="21"/>
                <w:highlight w:val="none"/>
                <w:vertAlign w:val="superscript"/>
                <w:lang w:val="en-US" w:eastAsia="zh-CN"/>
              </w:rPr>
              <w:t>+</w:t>
            </w:r>
          </w:p>
        </w:tc>
        <w:tc>
          <w:tcPr>
            <w:tcW w:w="934" w:type="pct"/>
            <w:noWrap w:val="0"/>
            <w:vAlign w:val="center"/>
          </w:tcPr>
          <w:p w14:paraId="2D951A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IV</w:t>
            </w:r>
          </w:p>
        </w:tc>
        <w:tc>
          <w:tcPr>
            <w:tcW w:w="934" w:type="pct"/>
            <w:noWrap w:val="0"/>
            <w:vAlign w:val="center"/>
          </w:tcPr>
          <w:p w14:paraId="57F718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Ⅲ</w:t>
            </w:r>
          </w:p>
        </w:tc>
        <w:tc>
          <w:tcPr>
            <w:tcW w:w="936" w:type="pct"/>
            <w:noWrap w:val="0"/>
            <w:vAlign w:val="center"/>
          </w:tcPr>
          <w:p w14:paraId="2B25AA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Ⅲ</w:t>
            </w:r>
          </w:p>
        </w:tc>
      </w:tr>
      <w:tr w14:paraId="6F9626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61" w:type="pct"/>
            <w:noWrap w:val="0"/>
            <w:vAlign w:val="center"/>
          </w:tcPr>
          <w:p w14:paraId="698357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环境中度敏感区（E2）</w:t>
            </w:r>
          </w:p>
        </w:tc>
        <w:tc>
          <w:tcPr>
            <w:tcW w:w="934" w:type="pct"/>
            <w:noWrap w:val="0"/>
            <w:vAlign w:val="center"/>
          </w:tcPr>
          <w:p w14:paraId="4A3FC2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IV</w:t>
            </w:r>
          </w:p>
        </w:tc>
        <w:tc>
          <w:tcPr>
            <w:tcW w:w="934" w:type="pct"/>
            <w:noWrap w:val="0"/>
            <w:vAlign w:val="center"/>
          </w:tcPr>
          <w:p w14:paraId="43328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Ⅲ</w:t>
            </w:r>
          </w:p>
        </w:tc>
        <w:tc>
          <w:tcPr>
            <w:tcW w:w="934" w:type="pct"/>
            <w:noWrap w:val="0"/>
            <w:vAlign w:val="center"/>
          </w:tcPr>
          <w:p w14:paraId="608B4E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Ⅲ</w:t>
            </w:r>
          </w:p>
        </w:tc>
        <w:tc>
          <w:tcPr>
            <w:tcW w:w="936" w:type="pct"/>
            <w:noWrap w:val="0"/>
            <w:vAlign w:val="center"/>
          </w:tcPr>
          <w:p w14:paraId="6F4476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Ⅱ</w:t>
            </w:r>
          </w:p>
        </w:tc>
      </w:tr>
      <w:tr w14:paraId="4AEF0F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61" w:type="pct"/>
            <w:noWrap w:val="0"/>
            <w:vAlign w:val="center"/>
          </w:tcPr>
          <w:p w14:paraId="667336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环境低度敏感区（E3）</w:t>
            </w:r>
          </w:p>
        </w:tc>
        <w:tc>
          <w:tcPr>
            <w:tcW w:w="934" w:type="pct"/>
            <w:noWrap w:val="0"/>
            <w:vAlign w:val="center"/>
          </w:tcPr>
          <w:p w14:paraId="02E5E2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Ⅲ</w:t>
            </w:r>
          </w:p>
        </w:tc>
        <w:tc>
          <w:tcPr>
            <w:tcW w:w="934" w:type="pct"/>
            <w:noWrap w:val="0"/>
            <w:vAlign w:val="center"/>
          </w:tcPr>
          <w:p w14:paraId="2545C5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Ⅲ</w:t>
            </w:r>
          </w:p>
        </w:tc>
        <w:tc>
          <w:tcPr>
            <w:tcW w:w="934" w:type="pct"/>
            <w:noWrap w:val="0"/>
            <w:vAlign w:val="center"/>
          </w:tcPr>
          <w:p w14:paraId="14A83F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Ⅱ</w:t>
            </w:r>
          </w:p>
        </w:tc>
        <w:tc>
          <w:tcPr>
            <w:tcW w:w="936" w:type="pct"/>
            <w:noWrap w:val="0"/>
            <w:vAlign w:val="center"/>
          </w:tcPr>
          <w:p w14:paraId="44E897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Ⅰ</w:t>
            </w:r>
          </w:p>
        </w:tc>
      </w:tr>
      <w:tr w14:paraId="34763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5"/>
            <w:noWrap w:val="0"/>
            <w:vAlign w:val="center"/>
          </w:tcPr>
          <w:p w14:paraId="2F88F063">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b/>
                <w:bCs/>
                <w:sz w:val="21"/>
                <w:szCs w:val="21"/>
                <w:highlight w:val="none"/>
                <w:lang w:val="en-US" w:eastAsia="zh-CN"/>
              </w:rPr>
            </w:pPr>
            <w:r>
              <w:rPr>
                <w:rFonts w:hint="default"/>
                <w:b/>
                <w:bCs/>
                <w:sz w:val="21"/>
                <w:szCs w:val="21"/>
                <w:highlight w:val="none"/>
                <w:lang w:val="en-US" w:eastAsia="zh-CN"/>
              </w:rPr>
              <w:t>注：</w:t>
            </w:r>
            <w:r>
              <w:rPr>
                <w:rFonts w:hint="eastAsia"/>
                <w:b/>
                <w:bCs/>
                <w:sz w:val="21"/>
                <w:szCs w:val="21"/>
                <w:highlight w:val="none"/>
                <w:lang w:val="en-US" w:eastAsia="zh-CN"/>
              </w:rPr>
              <w:t>Ⅳ</w:t>
            </w:r>
            <w:r>
              <w:rPr>
                <w:rFonts w:hint="default"/>
                <w:b/>
                <w:bCs/>
                <w:sz w:val="21"/>
                <w:szCs w:val="21"/>
                <w:highlight w:val="none"/>
                <w:vertAlign w:val="superscript"/>
                <w:lang w:val="en-US" w:eastAsia="zh-CN"/>
              </w:rPr>
              <w:t>+</w:t>
            </w:r>
            <w:r>
              <w:rPr>
                <w:rFonts w:hint="default"/>
                <w:b/>
                <w:bCs/>
                <w:sz w:val="21"/>
                <w:szCs w:val="21"/>
                <w:highlight w:val="none"/>
                <w:lang w:val="en-US" w:eastAsia="zh-CN"/>
              </w:rPr>
              <w:t>为极高环境风险</w:t>
            </w:r>
            <w:r>
              <w:rPr>
                <w:rFonts w:hint="eastAsia"/>
                <w:b/>
                <w:bCs/>
                <w:sz w:val="21"/>
                <w:szCs w:val="21"/>
                <w:highlight w:val="none"/>
                <w:lang w:val="en-US" w:eastAsia="zh-CN"/>
              </w:rPr>
              <w:t>。</w:t>
            </w:r>
          </w:p>
        </w:tc>
      </w:tr>
    </w:tbl>
    <w:p w14:paraId="77740AF2">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6.3.2</w:t>
      </w:r>
      <w:r>
        <w:rPr>
          <w:rFonts w:hint="default" w:ascii="Times New Roman" w:hAnsi="Times New Roman" w:eastAsia="宋体" w:cs="Times New Roman"/>
          <w:color w:val="auto"/>
          <w:sz w:val="28"/>
          <w:szCs w:val="28"/>
          <w:highlight w:val="none"/>
          <w:u w:val="none" w:color="auto"/>
          <w:lang w:val="en-US" w:eastAsia="zh-CN"/>
        </w:rPr>
        <w:t>危险物质及工艺系统危险性（P）的分级确定</w:t>
      </w:r>
    </w:p>
    <w:p w14:paraId="7C79080B">
      <w:pPr>
        <w:bidi w:val="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分析建设项目生产、使用、储存过程中涉及的有毒有害、易燃易爆物质，参照《建设项目环境风险评价技术导则》（HJ169-2018）附录B确定危险物质的临界量。定量分析危险物质数量与临界量的比值（Q）和所属行业及生产工艺特点（M），按《建设项目环境风险评价技术导则》（HJ169-2018）附录C对危险物质及工艺系统危险性（P）等级进行判断。</w:t>
      </w:r>
    </w:p>
    <w:p w14:paraId="79DA3B41">
      <w:pPr>
        <w:pStyle w:val="5"/>
        <w:numPr>
          <w:ilvl w:val="3"/>
          <w:numId w:val="0"/>
        </w:numPr>
        <w:tabs>
          <w:tab w:val="left" w:pos="964"/>
        </w:tabs>
        <w:bidi w:val="0"/>
        <w:ind w:leftChars="0"/>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6.3.2.1</w:t>
      </w:r>
      <w:r>
        <w:rPr>
          <w:rFonts w:hint="default" w:ascii="Times New Roman" w:hAnsi="Times New Roman" w:cs="Times New Roman"/>
          <w:sz w:val="24"/>
          <w:szCs w:val="24"/>
          <w:highlight w:val="none"/>
          <w:lang w:val="en-US" w:eastAsia="zh-CN"/>
        </w:rPr>
        <w:t>危险物质数量与临界量比值（Q）</w:t>
      </w:r>
    </w:p>
    <w:p w14:paraId="254EE2D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根据《建设项目环境风险评价技术导则》（HJ169-2018）附表B和附录C突发环境事件风险物质及临界量表，根据本项目环境风险物质最大存在总量（以折纯计）与其对应的临界量，计算（Q），计算公式如下：</w:t>
      </w:r>
    </w:p>
    <w:p w14:paraId="479D1031">
      <w:pPr>
        <w:bidi w:val="0"/>
        <w:ind w:left="0" w:leftChars="0" w:firstLine="0" w:firstLineChars="0"/>
        <w:jc w:val="cente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object>
          <v:shape id="_x0000_i1043" o:spt="75" type="#_x0000_t75" style="height:35.25pt;width:110.25pt;" o:ole="t" filled="f" o:preferrelative="t" stroked="f" coordsize="21600,21600">
            <v:path/>
            <v:fill on="f" focussize="0,0"/>
            <v:stroke on="f" joinstyle="miter"/>
            <v:imagedata r:id="rId120" o:title=""/>
            <o:lock v:ext="edit" aspectratio="t"/>
            <w10:wrap type="none"/>
            <w10:anchorlock/>
          </v:shape>
          <o:OLEObject Type="Embed" ProgID="Equation.DSMT4" ShapeID="_x0000_i1043" DrawAspect="Content" ObjectID="_1468075743" r:id="rId119">
            <o:LockedField>false</o:LockedField>
          </o:OLEObject>
        </w:object>
      </w:r>
    </w:p>
    <w:p w14:paraId="7C83796D">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式中：q</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、q</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、...q</w:t>
      </w:r>
      <w:r>
        <w:rPr>
          <w:rFonts w:hint="default" w:ascii="Times New Roman" w:hAnsi="Times New Roman" w:cs="Times New Roman"/>
          <w:sz w:val="24"/>
          <w:szCs w:val="24"/>
          <w:highlight w:val="none"/>
          <w:vertAlign w:val="subscript"/>
          <w:lang w:val="en-US" w:eastAsia="zh-CN"/>
        </w:rPr>
        <w:t>n</w:t>
      </w:r>
      <w:r>
        <w:rPr>
          <w:rFonts w:hint="default" w:ascii="Times New Roman" w:hAnsi="Times New Roman" w:cs="Times New Roman"/>
          <w:sz w:val="24"/>
          <w:szCs w:val="24"/>
          <w:highlight w:val="none"/>
          <w:lang w:val="en-US" w:eastAsia="zh-CN"/>
        </w:rPr>
        <w:t>——每种环境风险物质的最大存在总量，t；</w:t>
      </w:r>
    </w:p>
    <w:p w14:paraId="7CF298C4">
      <w:pPr>
        <w:bidi w:val="0"/>
        <w:ind w:firstLine="1200" w:firstLineChars="50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Q</w:t>
      </w:r>
      <w:r>
        <w:rPr>
          <w:rFonts w:hint="default" w:ascii="Times New Roman" w:hAnsi="Times New Roman" w:cs="Times New Roman"/>
          <w:sz w:val="24"/>
          <w:szCs w:val="24"/>
          <w:highlight w:val="none"/>
          <w:vertAlign w:val="subscript"/>
          <w:lang w:val="en-US" w:eastAsia="zh-CN"/>
        </w:rPr>
        <w:t>1</w:t>
      </w:r>
      <w:r>
        <w:rPr>
          <w:rFonts w:hint="default" w:ascii="Times New Roman" w:hAnsi="Times New Roman" w:cs="Times New Roman"/>
          <w:sz w:val="24"/>
          <w:szCs w:val="24"/>
          <w:highlight w:val="none"/>
          <w:lang w:val="en-US" w:eastAsia="zh-CN"/>
        </w:rPr>
        <w:t>、Q</w:t>
      </w:r>
      <w:r>
        <w:rPr>
          <w:rFonts w:hint="default" w:ascii="Times New Roman" w:hAnsi="Times New Roman" w:cs="Times New Roman"/>
          <w:sz w:val="24"/>
          <w:szCs w:val="24"/>
          <w:highlight w:val="none"/>
          <w:vertAlign w:val="subscript"/>
          <w:lang w:val="en-US" w:eastAsia="zh-CN"/>
        </w:rPr>
        <w:t>2</w:t>
      </w:r>
      <w:r>
        <w:rPr>
          <w:rFonts w:hint="default" w:ascii="Times New Roman" w:hAnsi="Times New Roman" w:cs="Times New Roman"/>
          <w:sz w:val="24"/>
          <w:szCs w:val="24"/>
          <w:highlight w:val="none"/>
          <w:lang w:val="en-US" w:eastAsia="zh-CN"/>
        </w:rPr>
        <w:t>、...Q</w:t>
      </w:r>
      <w:r>
        <w:rPr>
          <w:rFonts w:hint="default" w:ascii="Times New Roman" w:hAnsi="Times New Roman" w:cs="Times New Roman"/>
          <w:sz w:val="24"/>
          <w:szCs w:val="24"/>
          <w:highlight w:val="none"/>
          <w:vertAlign w:val="subscript"/>
          <w:lang w:val="en-US" w:eastAsia="zh-CN"/>
        </w:rPr>
        <w:t>n</w:t>
      </w:r>
      <w:r>
        <w:rPr>
          <w:rFonts w:hint="default" w:ascii="Times New Roman" w:hAnsi="Times New Roman" w:cs="Times New Roman"/>
          <w:sz w:val="24"/>
          <w:szCs w:val="24"/>
          <w:highlight w:val="none"/>
          <w:lang w:val="en-US" w:eastAsia="zh-CN"/>
        </w:rPr>
        <w:t>——每种环境风险物质相对应的临界量，t。</w:t>
      </w:r>
    </w:p>
    <w:p w14:paraId="524BB3CF">
      <w:pPr>
        <w:bidi w:val="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计算出Q值后，将Q值划分为4级，分别为Q&lt;1，该项目环境风险潜势为Ⅰ；当Q≥1有三种情况，1≤Q&lt;10；10≤Q&lt;100；Q≥100）。</w:t>
      </w:r>
    </w:p>
    <w:p w14:paraId="18B41BA3">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p>
    <w:p w14:paraId="7F823423">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p>
    <w:p w14:paraId="3AF66578">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p>
    <w:p w14:paraId="1F35E34D">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表6.3-2  本项目环境风险物质数量与临界量比值</w:t>
      </w:r>
    </w:p>
    <w:tbl>
      <w:tblPr>
        <w:tblStyle w:val="47"/>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392"/>
        <w:gridCol w:w="1099"/>
        <w:gridCol w:w="1103"/>
        <w:gridCol w:w="1543"/>
        <w:gridCol w:w="1148"/>
      </w:tblGrid>
      <w:tr w14:paraId="58C76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2365" w:type="pct"/>
            <w:vMerge w:val="restart"/>
            <w:noWrap w:val="0"/>
            <w:vAlign w:val="center"/>
          </w:tcPr>
          <w:p w14:paraId="0B1E76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危险物质名称</w:t>
            </w:r>
          </w:p>
        </w:tc>
        <w:tc>
          <w:tcPr>
            <w:tcW w:w="1186" w:type="pct"/>
            <w:gridSpan w:val="2"/>
            <w:noWrap w:val="0"/>
            <w:vAlign w:val="center"/>
          </w:tcPr>
          <w:p w14:paraId="458F69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最大</w:t>
            </w:r>
            <w:r>
              <w:rPr>
                <w:rFonts w:hint="eastAsia"/>
                <w:b/>
                <w:bCs/>
                <w:color w:val="auto"/>
                <w:sz w:val="21"/>
                <w:szCs w:val="21"/>
                <w:highlight w:val="none"/>
              </w:rPr>
              <w:t>存在</w:t>
            </w:r>
            <w:r>
              <w:rPr>
                <w:b/>
                <w:bCs/>
                <w:color w:val="auto"/>
                <w:sz w:val="21"/>
                <w:szCs w:val="21"/>
                <w:highlight w:val="none"/>
              </w:rPr>
              <w:t>量（t）</w:t>
            </w:r>
          </w:p>
        </w:tc>
        <w:tc>
          <w:tcPr>
            <w:tcW w:w="830" w:type="pct"/>
            <w:vMerge w:val="restart"/>
            <w:noWrap w:val="0"/>
            <w:vAlign w:val="center"/>
          </w:tcPr>
          <w:p w14:paraId="1850AC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临界量（t）</w:t>
            </w:r>
          </w:p>
        </w:tc>
        <w:tc>
          <w:tcPr>
            <w:tcW w:w="617" w:type="pct"/>
            <w:vMerge w:val="restart"/>
            <w:noWrap w:val="0"/>
            <w:vAlign w:val="center"/>
          </w:tcPr>
          <w:p w14:paraId="5631BF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b/>
                <w:bCs/>
                <w:color w:val="auto"/>
                <w:sz w:val="21"/>
                <w:szCs w:val="21"/>
                <w:highlight w:val="none"/>
              </w:rPr>
              <w:t>q/Q</w:t>
            </w:r>
          </w:p>
        </w:tc>
      </w:tr>
      <w:tr w14:paraId="44C2B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2365" w:type="pct"/>
            <w:vMerge w:val="continue"/>
            <w:noWrap w:val="0"/>
            <w:vAlign w:val="center"/>
          </w:tcPr>
          <w:p w14:paraId="0BF5F3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color w:val="auto"/>
                <w:sz w:val="21"/>
                <w:szCs w:val="21"/>
                <w:highlight w:val="none"/>
              </w:rPr>
            </w:pPr>
          </w:p>
        </w:tc>
        <w:tc>
          <w:tcPr>
            <w:tcW w:w="592" w:type="pct"/>
            <w:noWrap w:val="0"/>
            <w:vAlign w:val="center"/>
          </w:tcPr>
          <w:p w14:paraId="6967AD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rFonts w:hint="eastAsia"/>
                <w:b/>
                <w:bCs/>
                <w:color w:val="auto"/>
                <w:sz w:val="21"/>
                <w:szCs w:val="21"/>
                <w:highlight w:val="none"/>
                <w:lang w:eastAsia="zh-CN"/>
              </w:rPr>
              <w:t>储存量</w:t>
            </w:r>
          </w:p>
        </w:tc>
        <w:tc>
          <w:tcPr>
            <w:tcW w:w="594" w:type="pct"/>
            <w:noWrap w:val="0"/>
            <w:vAlign w:val="center"/>
          </w:tcPr>
          <w:p w14:paraId="63CEAA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r>
              <w:rPr>
                <w:rFonts w:hint="eastAsia"/>
                <w:b/>
                <w:bCs/>
                <w:color w:val="auto"/>
                <w:sz w:val="21"/>
                <w:szCs w:val="21"/>
                <w:highlight w:val="none"/>
                <w:lang w:eastAsia="zh-CN"/>
              </w:rPr>
              <w:t>在线量</w:t>
            </w:r>
          </w:p>
        </w:tc>
        <w:tc>
          <w:tcPr>
            <w:tcW w:w="830" w:type="pct"/>
            <w:vMerge w:val="continue"/>
            <w:noWrap w:val="0"/>
            <w:vAlign w:val="center"/>
          </w:tcPr>
          <w:p w14:paraId="0A5CE8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p>
        </w:tc>
        <w:tc>
          <w:tcPr>
            <w:tcW w:w="617" w:type="pct"/>
            <w:vMerge w:val="continue"/>
            <w:noWrap w:val="0"/>
            <w:vAlign w:val="center"/>
          </w:tcPr>
          <w:p w14:paraId="5B8E66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b/>
                <w:bCs/>
                <w:color w:val="auto"/>
                <w:sz w:val="21"/>
                <w:szCs w:val="21"/>
                <w:highlight w:val="none"/>
              </w:rPr>
            </w:pPr>
          </w:p>
        </w:tc>
      </w:tr>
      <w:tr w14:paraId="70872D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65" w:type="pct"/>
            <w:noWrap w:val="0"/>
            <w:vAlign w:val="center"/>
          </w:tcPr>
          <w:p w14:paraId="4618C9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PAC</w:t>
            </w:r>
          </w:p>
        </w:tc>
        <w:tc>
          <w:tcPr>
            <w:tcW w:w="592" w:type="pct"/>
            <w:noWrap w:val="0"/>
            <w:vAlign w:val="center"/>
          </w:tcPr>
          <w:p w14:paraId="15088D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w:t>
            </w:r>
          </w:p>
        </w:tc>
        <w:tc>
          <w:tcPr>
            <w:tcW w:w="594" w:type="pct"/>
            <w:noWrap w:val="0"/>
            <w:vAlign w:val="center"/>
          </w:tcPr>
          <w:p w14:paraId="377DE0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830" w:type="pct"/>
            <w:noWrap w:val="0"/>
            <w:vAlign w:val="center"/>
          </w:tcPr>
          <w:p w14:paraId="0753A0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617" w:type="pct"/>
            <w:noWrap w:val="0"/>
            <w:vAlign w:val="center"/>
          </w:tcPr>
          <w:p w14:paraId="6D2C14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0.002</w:t>
            </w:r>
          </w:p>
        </w:tc>
      </w:tr>
      <w:tr w14:paraId="683C47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65" w:type="pct"/>
            <w:noWrap w:val="0"/>
            <w:vAlign w:val="center"/>
          </w:tcPr>
          <w:p w14:paraId="6CD0A7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PAM</w:t>
            </w:r>
          </w:p>
        </w:tc>
        <w:tc>
          <w:tcPr>
            <w:tcW w:w="592" w:type="pct"/>
            <w:noWrap w:val="0"/>
            <w:vAlign w:val="center"/>
          </w:tcPr>
          <w:p w14:paraId="71F124C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w:t>
            </w:r>
          </w:p>
        </w:tc>
        <w:tc>
          <w:tcPr>
            <w:tcW w:w="594" w:type="pct"/>
            <w:noWrap w:val="0"/>
            <w:vAlign w:val="center"/>
          </w:tcPr>
          <w:p w14:paraId="168347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830" w:type="pct"/>
            <w:noWrap w:val="0"/>
            <w:vAlign w:val="center"/>
          </w:tcPr>
          <w:p w14:paraId="52FE91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617" w:type="pct"/>
            <w:noWrap w:val="0"/>
            <w:vAlign w:val="center"/>
          </w:tcPr>
          <w:p w14:paraId="09630C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0.002</w:t>
            </w:r>
          </w:p>
        </w:tc>
      </w:tr>
      <w:tr w14:paraId="3B3D3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65" w:type="pct"/>
            <w:noWrap w:val="0"/>
            <w:vAlign w:val="center"/>
          </w:tcPr>
          <w:p w14:paraId="196109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氢氧化钙</w:t>
            </w:r>
          </w:p>
        </w:tc>
        <w:tc>
          <w:tcPr>
            <w:tcW w:w="592" w:type="pct"/>
            <w:noWrap w:val="0"/>
            <w:vAlign w:val="center"/>
          </w:tcPr>
          <w:p w14:paraId="54EA3F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w:t>
            </w:r>
          </w:p>
        </w:tc>
        <w:tc>
          <w:tcPr>
            <w:tcW w:w="594" w:type="pct"/>
            <w:noWrap w:val="0"/>
            <w:vAlign w:val="center"/>
          </w:tcPr>
          <w:p w14:paraId="6A2982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830" w:type="pct"/>
            <w:noWrap w:val="0"/>
            <w:vAlign w:val="center"/>
          </w:tcPr>
          <w:p w14:paraId="038447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50</w:t>
            </w:r>
          </w:p>
        </w:tc>
        <w:tc>
          <w:tcPr>
            <w:tcW w:w="617" w:type="pct"/>
            <w:noWrap w:val="0"/>
            <w:vAlign w:val="center"/>
          </w:tcPr>
          <w:p w14:paraId="298681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0.002</w:t>
            </w:r>
          </w:p>
        </w:tc>
      </w:tr>
      <w:tr w14:paraId="55CBB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382" w:type="pct"/>
            <w:gridSpan w:val="4"/>
            <w:noWrap w:val="0"/>
            <w:vAlign w:val="center"/>
          </w:tcPr>
          <w:p w14:paraId="23092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合计</w:t>
            </w:r>
          </w:p>
        </w:tc>
        <w:tc>
          <w:tcPr>
            <w:tcW w:w="617" w:type="pct"/>
            <w:noWrap w:val="0"/>
            <w:vAlign w:val="center"/>
          </w:tcPr>
          <w:p w14:paraId="03BC52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0.006</w:t>
            </w:r>
          </w:p>
        </w:tc>
      </w:tr>
      <w:tr w14:paraId="6429D9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noWrap w:val="0"/>
            <w:vAlign w:val="center"/>
          </w:tcPr>
          <w:p w14:paraId="716EA87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rPr>
                <w:b/>
                <w:bCs/>
                <w:color w:val="auto"/>
                <w:sz w:val="21"/>
                <w:szCs w:val="21"/>
                <w:highlight w:val="none"/>
              </w:rPr>
            </w:pPr>
            <w:r>
              <w:rPr>
                <w:rFonts w:hint="default" w:ascii="Times New Roman" w:hAnsi="Times New Roman" w:cs="Times New Roman"/>
                <w:b/>
                <w:bCs/>
                <w:color w:val="auto"/>
                <w:sz w:val="21"/>
                <w:szCs w:val="21"/>
                <w:highlight w:val="none"/>
              </w:rPr>
              <w:t>注：参照“健康危险急性毒性物质（类别3）：50”。</w:t>
            </w:r>
          </w:p>
        </w:tc>
      </w:tr>
    </w:tbl>
    <w:p w14:paraId="5EBF0F72">
      <w:pPr>
        <w:rPr>
          <w:rFonts w:hint="default"/>
          <w:sz w:val="24"/>
          <w:szCs w:val="24"/>
          <w:highlight w:val="yellow"/>
          <w:lang w:val="en-US" w:eastAsia="zh-CN"/>
        </w:rPr>
      </w:pPr>
      <w:r>
        <w:rPr>
          <w:rFonts w:hint="default" w:ascii="Times New Roman" w:hAnsi="Times New Roman" w:cs="Times New Roman"/>
          <w:sz w:val="24"/>
          <w:szCs w:val="24"/>
          <w:highlight w:val="none"/>
          <w:lang w:val="en-US" w:eastAsia="zh-CN"/>
        </w:rPr>
        <w:t>根据上表的计算结果，本项目环境风险物质最大存在总量与临界量比值为Q=</w:t>
      </w:r>
      <w:r>
        <w:rPr>
          <w:rFonts w:hint="eastAsia" w:cs="Times New Roman"/>
          <w:sz w:val="24"/>
          <w:szCs w:val="24"/>
          <w:highlight w:val="none"/>
          <w:lang w:val="en-US" w:eastAsia="zh-CN"/>
        </w:rPr>
        <w:t>0.006</w:t>
      </w:r>
      <w:r>
        <w:rPr>
          <w:rFonts w:hint="default" w:ascii="Times New Roman" w:hAnsi="Times New Roman" w:cs="Times New Roman"/>
          <w:sz w:val="24"/>
          <w:szCs w:val="24"/>
          <w:highlight w:val="none"/>
          <w:lang w:val="en-US" w:eastAsia="zh-CN"/>
        </w:rPr>
        <w:t>，为Q&lt;1。因此，本项目风险潜势为I。</w:t>
      </w:r>
    </w:p>
    <w:p w14:paraId="6BB61EF3">
      <w:pPr>
        <w:pStyle w:val="3"/>
        <w:pageBreakBefore w:val="0"/>
        <w:widowControl w:val="0"/>
        <w:numPr>
          <w:ilvl w:val="0"/>
          <w:numId w:val="0"/>
        </w:numPr>
        <w:kinsoku/>
        <w:topLinePunct w:val="0"/>
        <w:bidi w:val="0"/>
        <w:snapToGrid w:val="0"/>
        <w:spacing w:before="0" w:beforeLines="0" w:after="0" w:afterLines="0" w:line="360" w:lineRule="auto"/>
        <w:rPr>
          <w:rFonts w:hint="eastAsia" w:ascii="Times New Roman" w:hAnsi="Times New Roman" w:eastAsia="宋体" w:cs="Times New Roman"/>
          <w:color w:val="auto"/>
          <w:sz w:val="30"/>
          <w:szCs w:val="30"/>
          <w:highlight w:val="none"/>
          <w:u w:val="none" w:color="auto"/>
          <w:lang w:val="en-US" w:eastAsia="zh-CN"/>
        </w:rPr>
      </w:pPr>
      <w:bookmarkStart w:id="482" w:name="_Toc28347"/>
      <w:bookmarkStart w:id="483" w:name="_Toc281"/>
      <w:r>
        <w:rPr>
          <w:rFonts w:hint="eastAsia" w:ascii="Times New Roman" w:hAnsi="Times New Roman" w:eastAsia="宋体" w:cs="Times New Roman"/>
          <w:color w:val="auto"/>
          <w:sz w:val="30"/>
          <w:szCs w:val="30"/>
          <w:highlight w:val="none"/>
          <w:u w:val="none" w:color="auto"/>
          <w:lang w:val="en-US" w:eastAsia="zh-CN"/>
        </w:rPr>
        <w:t>6.4环境风险评价工作等级划分及评价范围</w:t>
      </w:r>
      <w:bookmarkEnd w:id="482"/>
      <w:bookmarkEnd w:id="483"/>
    </w:p>
    <w:p w14:paraId="2CEB150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环境风险评价工作等级划分为一级、二级、三级。根据建设项目涉及的物质及工艺系统危险性和所在地的环境敏感性确定环境风险潜势，按照下表确定评价工作等级。风险潜势为Ⅳ及以上，进行一级评价；风险潜势为Ⅲ，进行二级评价；风险潜势为Ⅱ，进行三级评价；风险潜势为I，可开展简单分析。</w:t>
      </w:r>
    </w:p>
    <w:p w14:paraId="7A7E211C">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表6.4-1  环境风险评价工作等级划分</w:t>
      </w:r>
    </w:p>
    <w:tbl>
      <w:tblPr>
        <w:tblStyle w:val="111"/>
        <w:tblW w:w="4998" w:type="pct"/>
        <w:tblInd w:w="0" w:type="dxa"/>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Layout w:type="autofit"/>
        <w:tblCellMar>
          <w:top w:w="0" w:type="dxa"/>
          <w:left w:w="0" w:type="dxa"/>
          <w:bottom w:w="0" w:type="dxa"/>
          <w:right w:w="0" w:type="dxa"/>
        </w:tblCellMar>
      </w:tblPr>
      <w:tblGrid>
        <w:gridCol w:w="1821"/>
        <w:gridCol w:w="1819"/>
        <w:gridCol w:w="1813"/>
        <w:gridCol w:w="1819"/>
        <w:gridCol w:w="1830"/>
      </w:tblGrid>
      <w:tr w14:paraId="5C3948BF">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1001" w:type="pct"/>
            <w:noWrap w:val="0"/>
            <w:vAlign w:val="center"/>
          </w:tcPr>
          <w:p w14:paraId="71847FB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环境风险潜势</w:t>
            </w:r>
          </w:p>
        </w:tc>
        <w:tc>
          <w:tcPr>
            <w:tcW w:w="999" w:type="pct"/>
            <w:noWrap w:val="0"/>
            <w:vAlign w:val="center"/>
          </w:tcPr>
          <w:p w14:paraId="3322951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Ⅳ、Ⅳ</w:t>
            </w:r>
            <w:r>
              <w:rPr>
                <w:rFonts w:hint="default" w:ascii="Times New Roman" w:hAnsi="Times New Roman" w:cs="Times New Roman"/>
                <w:b/>
                <w:bCs/>
                <w:sz w:val="21"/>
                <w:szCs w:val="21"/>
                <w:highlight w:val="none"/>
                <w:vertAlign w:val="superscript"/>
                <w:lang w:val="en-US" w:eastAsia="zh-CN"/>
              </w:rPr>
              <w:t>+</w:t>
            </w:r>
          </w:p>
        </w:tc>
        <w:tc>
          <w:tcPr>
            <w:tcW w:w="996" w:type="pct"/>
            <w:noWrap w:val="0"/>
            <w:vAlign w:val="center"/>
          </w:tcPr>
          <w:p w14:paraId="0A74AC4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Ⅲ</w:t>
            </w:r>
          </w:p>
        </w:tc>
        <w:tc>
          <w:tcPr>
            <w:tcW w:w="999" w:type="pct"/>
            <w:noWrap w:val="0"/>
            <w:vAlign w:val="center"/>
          </w:tcPr>
          <w:p w14:paraId="35AD22E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Ⅱ</w:t>
            </w:r>
          </w:p>
        </w:tc>
        <w:tc>
          <w:tcPr>
            <w:tcW w:w="1003" w:type="pct"/>
            <w:noWrap w:val="0"/>
            <w:vAlign w:val="center"/>
          </w:tcPr>
          <w:p w14:paraId="12C948D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Ⅰ</w:t>
            </w:r>
          </w:p>
        </w:tc>
      </w:tr>
      <w:tr w14:paraId="70719BBE">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1001" w:type="pct"/>
            <w:noWrap w:val="0"/>
            <w:vAlign w:val="center"/>
          </w:tcPr>
          <w:p w14:paraId="0DB8BF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评价工作等级</w:t>
            </w:r>
          </w:p>
        </w:tc>
        <w:tc>
          <w:tcPr>
            <w:tcW w:w="999" w:type="pct"/>
            <w:noWrap w:val="0"/>
            <w:vAlign w:val="center"/>
          </w:tcPr>
          <w:p w14:paraId="0E855D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一</w:t>
            </w:r>
          </w:p>
        </w:tc>
        <w:tc>
          <w:tcPr>
            <w:tcW w:w="996" w:type="pct"/>
            <w:noWrap w:val="0"/>
            <w:vAlign w:val="center"/>
          </w:tcPr>
          <w:p w14:paraId="2030FC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二</w:t>
            </w:r>
          </w:p>
        </w:tc>
        <w:tc>
          <w:tcPr>
            <w:tcW w:w="999" w:type="pct"/>
            <w:noWrap w:val="0"/>
            <w:vAlign w:val="center"/>
          </w:tcPr>
          <w:p w14:paraId="29645B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三</w:t>
            </w:r>
          </w:p>
        </w:tc>
        <w:tc>
          <w:tcPr>
            <w:tcW w:w="1003" w:type="pct"/>
            <w:noWrap w:val="0"/>
            <w:vAlign w:val="center"/>
          </w:tcPr>
          <w:p w14:paraId="5DCDB8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简单分析</w:t>
            </w:r>
            <w:r>
              <w:rPr>
                <w:rFonts w:hint="default" w:ascii="Times New Roman" w:hAnsi="Times New Roman" w:cs="Times New Roman"/>
                <w:sz w:val="21"/>
                <w:szCs w:val="21"/>
                <w:highlight w:val="none"/>
                <w:vertAlign w:val="superscript"/>
                <w:lang w:val="en-US" w:eastAsia="zh-CN"/>
              </w:rPr>
              <w:t>a</w:t>
            </w:r>
          </w:p>
        </w:tc>
      </w:tr>
      <w:tr w14:paraId="50ABFAC8">
        <w:tblPrEx>
          <w:tblBorders>
            <w:top w:val="single" w:color="auto" w:sz="12" w:space="0"/>
            <w:left w:val="single" w:color="auto" w:sz="12" w:space="0"/>
            <w:bottom w:val="single" w:color="auto" w:sz="12" w:space="0"/>
            <w:right w:val="single" w:color="auto" w:sz="1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5000" w:type="pct"/>
            <w:gridSpan w:val="5"/>
            <w:noWrap w:val="0"/>
            <w:vAlign w:val="center"/>
          </w:tcPr>
          <w:p w14:paraId="77D4AD26">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vertAlign w:val="superscript"/>
                <w:lang w:val="en-US" w:eastAsia="zh-CN"/>
              </w:rPr>
              <w:t>a</w:t>
            </w:r>
            <w:r>
              <w:rPr>
                <w:rFonts w:hint="default" w:ascii="Times New Roman" w:hAnsi="Times New Roman" w:cs="Times New Roman"/>
                <w:sz w:val="21"/>
                <w:szCs w:val="21"/>
                <w:highlight w:val="none"/>
                <w:lang w:val="en-US" w:eastAsia="zh-CN"/>
              </w:rPr>
              <w:t>是相对于详细评价工作内容而言，在描述危险物质、环境影响途径、环境危害后果、风险防控措施等方面给出定性的说明。</w:t>
            </w:r>
          </w:p>
        </w:tc>
      </w:tr>
    </w:tbl>
    <w:p w14:paraId="73D0609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根据环境风险潜势分析可知，项目环境风险潜势为Ⅰ，根据表6.</w:t>
      </w:r>
      <w:r>
        <w:rPr>
          <w:rFonts w:hint="eastAsia" w:cs="Times New Roman"/>
          <w:sz w:val="24"/>
          <w:szCs w:val="24"/>
          <w:highlight w:val="none"/>
          <w:lang w:val="en-US" w:eastAsia="zh-CN"/>
        </w:rPr>
        <w:t>4</w:t>
      </w:r>
      <w:r>
        <w:rPr>
          <w:rFonts w:hint="default" w:ascii="Times New Roman" w:hAnsi="Times New Roman" w:cs="Times New Roman"/>
          <w:sz w:val="24"/>
          <w:szCs w:val="24"/>
          <w:highlight w:val="none"/>
          <w:lang w:val="en-US" w:eastAsia="zh-CN"/>
        </w:rPr>
        <w:t>-1可知，本项目环境风险评价</w:t>
      </w:r>
      <w:r>
        <w:rPr>
          <w:rFonts w:hint="eastAsia" w:cs="Times New Roman"/>
          <w:sz w:val="24"/>
          <w:szCs w:val="24"/>
          <w:highlight w:val="none"/>
          <w:lang w:val="en-US" w:eastAsia="zh-CN"/>
        </w:rPr>
        <w:t>工作为</w:t>
      </w:r>
      <w:r>
        <w:rPr>
          <w:rFonts w:hint="default" w:ascii="Times New Roman" w:hAnsi="Times New Roman" w:cs="Times New Roman"/>
          <w:sz w:val="24"/>
          <w:szCs w:val="24"/>
          <w:highlight w:val="none"/>
          <w:lang w:val="en-US" w:eastAsia="zh-CN"/>
        </w:rPr>
        <w:t>简单分析</w:t>
      </w:r>
      <w:r>
        <w:rPr>
          <w:rFonts w:hint="eastAsia" w:cs="Times New Roman"/>
          <w:sz w:val="24"/>
          <w:szCs w:val="24"/>
          <w:highlight w:val="none"/>
          <w:lang w:val="en-US" w:eastAsia="zh-CN"/>
        </w:rPr>
        <w:t>，无须设置各要素环境风险评价范围。</w:t>
      </w:r>
    </w:p>
    <w:p w14:paraId="42C3EB36">
      <w:pPr>
        <w:pStyle w:val="3"/>
        <w:pageBreakBefore w:val="0"/>
        <w:widowControl w:val="0"/>
        <w:numPr>
          <w:ilvl w:val="0"/>
          <w:numId w:val="0"/>
        </w:numPr>
        <w:kinsoku/>
        <w:topLinePunct w:val="0"/>
        <w:bidi w:val="0"/>
        <w:snapToGrid w:val="0"/>
        <w:spacing w:before="0" w:beforeLines="0" w:after="0" w:afterLines="0" w:line="360" w:lineRule="auto"/>
        <w:rPr>
          <w:rFonts w:hint="default" w:ascii="Times New Roman" w:hAnsi="Times New Roman" w:eastAsia="宋体" w:cs="Times New Roman"/>
          <w:color w:val="auto"/>
          <w:sz w:val="30"/>
          <w:szCs w:val="30"/>
          <w:highlight w:val="none"/>
          <w:u w:val="none" w:color="auto"/>
          <w:lang w:val="en-US" w:eastAsia="zh-CN"/>
        </w:rPr>
      </w:pPr>
      <w:bookmarkStart w:id="484" w:name="_Toc15287"/>
      <w:bookmarkStart w:id="485" w:name="_Toc19265"/>
      <w:r>
        <w:rPr>
          <w:rFonts w:hint="eastAsia" w:ascii="Times New Roman" w:hAnsi="Times New Roman" w:eastAsia="宋体" w:cs="Times New Roman"/>
          <w:color w:val="auto"/>
          <w:sz w:val="30"/>
          <w:szCs w:val="30"/>
          <w:highlight w:val="none"/>
          <w:u w:val="none" w:color="auto"/>
          <w:lang w:val="en-US" w:eastAsia="zh-CN"/>
        </w:rPr>
        <w:t>6.5环境风险识别</w:t>
      </w:r>
      <w:bookmarkEnd w:id="484"/>
      <w:bookmarkEnd w:id="485"/>
    </w:p>
    <w:p w14:paraId="2D8AF9FB">
      <w:pPr>
        <w:bidi w:val="0"/>
        <w:rPr>
          <w:rFonts w:hint="eastAsia"/>
          <w:sz w:val="24"/>
          <w:szCs w:val="24"/>
          <w:highlight w:val="none"/>
          <w:lang w:val="en-US" w:eastAsia="zh-CN"/>
        </w:rPr>
      </w:pPr>
      <w:r>
        <w:rPr>
          <w:rFonts w:hint="eastAsia"/>
          <w:sz w:val="24"/>
          <w:szCs w:val="24"/>
          <w:highlight w:val="none"/>
          <w:lang w:val="en-US" w:eastAsia="zh-CN"/>
        </w:rPr>
        <w:t>（1）风险识别包括物质危险性识别、生产系统危险性识别和危险物质向环境转移途径识别。</w:t>
      </w:r>
    </w:p>
    <w:p w14:paraId="484E1F22">
      <w:pPr>
        <w:bidi w:val="0"/>
        <w:rPr>
          <w:rFonts w:hint="eastAsia"/>
          <w:sz w:val="24"/>
          <w:szCs w:val="24"/>
          <w:highlight w:val="none"/>
          <w:lang w:val="en-US" w:eastAsia="zh-CN"/>
        </w:rPr>
      </w:pPr>
      <w:r>
        <w:rPr>
          <w:rFonts w:hint="eastAsia"/>
          <w:sz w:val="24"/>
          <w:szCs w:val="24"/>
          <w:highlight w:val="none"/>
          <w:lang w:val="en-US" w:eastAsia="zh-CN"/>
        </w:rPr>
        <w:t>（2）物质危险性识别包括主要原材料及辅助材料、燃料、中间产品、副产品、最终产品、污染物以及火灾和爆炸伴生/次生物等。</w:t>
      </w:r>
    </w:p>
    <w:p w14:paraId="77283CD8">
      <w:pPr>
        <w:bidi w:val="0"/>
        <w:rPr>
          <w:rFonts w:hint="eastAsia"/>
          <w:sz w:val="24"/>
          <w:szCs w:val="24"/>
          <w:highlight w:val="yellow"/>
          <w:lang w:val="en-US" w:eastAsia="zh-CN"/>
        </w:rPr>
      </w:pPr>
      <w:r>
        <w:rPr>
          <w:rFonts w:hint="eastAsia"/>
          <w:sz w:val="24"/>
          <w:szCs w:val="24"/>
          <w:highlight w:val="none"/>
          <w:lang w:val="en-US" w:eastAsia="zh-CN"/>
        </w:rPr>
        <w:t>（3）生产设施风险识别包括主要生产装置、储运设施、公用工程、辅助生产设施及环保设施等。识别危险物质影响环境的途径，分析可能影响的环境敏感目标。</w:t>
      </w:r>
    </w:p>
    <w:p w14:paraId="7046C73A">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6.5.1物质危险性识别</w:t>
      </w:r>
    </w:p>
    <w:p w14:paraId="2F321541">
      <w:pPr>
        <w:widowControl w:val="0"/>
        <w:topLinePunct w:val="0"/>
        <w:bidi w:val="0"/>
        <w:rPr>
          <w:rFonts w:hint="eastAsia"/>
          <w:sz w:val="24"/>
          <w:szCs w:val="24"/>
          <w:highlight w:val="none"/>
          <w:u w:val="none"/>
          <w:lang w:val="en-US" w:eastAsia="zh-CN"/>
        </w:rPr>
      </w:pPr>
      <w:r>
        <w:rPr>
          <w:rFonts w:hint="eastAsia"/>
          <w:sz w:val="24"/>
          <w:szCs w:val="24"/>
          <w:highlight w:val="none"/>
          <w:u w:val="none"/>
          <w:lang w:val="en-US" w:eastAsia="zh-CN"/>
        </w:rPr>
        <w:t>物质风险识别的范围包括主要原辅材料及生产过程排放的“三废”污染物等。本次物质危险性参考项目有关工程资料对照环境风险导则附录A.1对项目可能涉及的有毒有害、易燃易爆物质进行危险性识别和综合评价，确定环境风险评价因子。对照《建设项目环境风险评价技术导则》（HJ169-2018）附录B，本项目涉及的风险物质主要是</w:t>
      </w:r>
      <w:r>
        <w:rPr>
          <w:rFonts w:hint="eastAsia"/>
          <w:sz w:val="24"/>
          <w:szCs w:val="24"/>
          <w:highlight w:val="none"/>
          <w:u w:val="none" w:color="auto"/>
          <w:lang w:val="en-US" w:eastAsia="zh-CN"/>
        </w:rPr>
        <w:t>PAM、PAC、氢氧化钙</w:t>
      </w:r>
      <w:r>
        <w:rPr>
          <w:rFonts w:hint="eastAsia"/>
          <w:sz w:val="24"/>
          <w:szCs w:val="24"/>
          <w:highlight w:val="none"/>
          <w:u w:val="none"/>
          <w:lang w:val="en-US" w:eastAsia="zh-CN"/>
        </w:rPr>
        <w:t>等。</w:t>
      </w:r>
    </w:p>
    <w:p w14:paraId="6862773C">
      <w:pPr>
        <w:bidi w:val="0"/>
        <w:spacing w:line="240" w:lineRule="auto"/>
        <w:ind w:left="0" w:leftChars="0" w:firstLine="0" w:firstLineChars="0"/>
        <w:jc w:val="center"/>
        <w:rPr>
          <w:rFonts w:hint="eastAsia"/>
          <w:b/>
          <w:bCs/>
          <w:sz w:val="21"/>
          <w:szCs w:val="21"/>
          <w:highlight w:val="none"/>
          <w:u w:val="none"/>
          <w:lang w:val="en-US" w:eastAsia="zh-CN"/>
        </w:rPr>
      </w:pPr>
      <w:r>
        <w:rPr>
          <w:rFonts w:hint="eastAsia"/>
          <w:b/>
          <w:bCs/>
          <w:sz w:val="21"/>
          <w:szCs w:val="21"/>
          <w:highlight w:val="none"/>
          <w:u w:val="none"/>
          <w:lang w:val="en-US" w:eastAsia="zh-CN"/>
        </w:rPr>
        <w:t>表6.5-1  风险物质理化性质一览表</w:t>
      </w:r>
    </w:p>
    <w:tbl>
      <w:tblPr>
        <w:tblStyle w:val="111"/>
        <w:tblW w:w="507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96"/>
        <w:gridCol w:w="907"/>
        <w:gridCol w:w="457"/>
        <w:gridCol w:w="459"/>
        <w:gridCol w:w="670"/>
        <w:gridCol w:w="633"/>
        <w:gridCol w:w="1118"/>
        <w:gridCol w:w="3476"/>
        <w:gridCol w:w="1030"/>
      </w:tblGrid>
      <w:tr w14:paraId="055DFE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 w:hRule="atLeast"/>
          <w:tblHeader/>
          <w:jc w:val="center"/>
        </w:trPr>
        <w:tc>
          <w:tcPr>
            <w:tcW w:w="268" w:type="pct"/>
            <w:noWrap w:val="0"/>
            <w:vAlign w:val="center"/>
          </w:tcPr>
          <w:p w14:paraId="5F6D61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序号</w:t>
            </w:r>
          </w:p>
        </w:tc>
        <w:tc>
          <w:tcPr>
            <w:tcW w:w="490" w:type="pct"/>
            <w:noWrap w:val="0"/>
            <w:vAlign w:val="center"/>
          </w:tcPr>
          <w:p w14:paraId="1AEB99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物质名称</w:t>
            </w:r>
          </w:p>
        </w:tc>
        <w:tc>
          <w:tcPr>
            <w:tcW w:w="247" w:type="pct"/>
            <w:noWrap w:val="0"/>
            <w:vAlign w:val="center"/>
          </w:tcPr>
          <w:p w14:paraId="224CB7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相态</w:t>
            </w:r>
          </w:p>
        </w:tc>
        <w:tc>
          <w:tcPr>
            <w:tcW w:w="248" w:type="pct"/>
            <w:noWrap w:val="0"/>
            <w:vAlign w:val="center"/>
          </w:tcPr>
          <w:p w14:paraId="6624A4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毒性</w:t>
            </w:r>
          </w:p>
        </w:tc>
        <w:tc>
          <w:tcPr>
            <w:tcW w:w="362" w:type="pct"/>
            <w:noWrap w:val="0"/>
            <w:vAlign w:val="center"/>
          </w:tcPr>
          <w:p w14:paraId="741FBF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腐蚀性</w:t>
            </w:r>
          </w:p>
        </w:tc>
        <w:tc>
          <w:tcPr>
            <w:tcW w:w="342" w:type="pct"/>
            <w:noWrap w:val="0"/>
            <w:vAlign w:val="center"/>
          </w:tcPr>
          <w:p w14:paraId="6C9D67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易燃性</w:t>
            </w:r>
          </w:p>
        </w:tc>
        <w:tc>
          <w:tcPr>
            <w:tcW w:w="604" w:type="pct"/>
            <w:noWrap w:val="0"/>
            <w:vAlign w:val="center"/>
          </w:tcPr>
          <w:p w14:paraId="62F717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sz w:val="21"/>
                <w:szCs w:val="21"/>
                <w:highlight w:val="none"/>
                <w:u w:val="none"/>
                <w:lang w:val="en-US" w:eastAsia="zh-CN"/>
              </w:rPr>
            </w:pPr>
            <w:r>
              <w:rPr>
                <w:b/>
                <w:bCs/>
                <w:sz w:val="21"/>
                <w:szCs w:val="21"/>
                <w:highlight w:val="none"/>
                <w:u w:val="none"/>
                <w:lang w:eastAsia="en-US"/>
              </w:rPr>
              <w:t>是否属于</w:t>
            </w:r>
            <w:r>
              <w:rPr>
                <w:rFonts w:hint="eastAsia"/>
                <w:b/>
                <w:bCs/>
                <w:sz w:val="21"/>
                <w:szCs w:val="21"/>
                <w:highlight w:val="none"/>
                <w:u w:val="none"/>
                <w:lang w:val="en-US" w:eastAsia="zh-CN"/>
              </w:rPr>
              <w:t>环境风险物质</w:t>
            </w:r>
          </w:p>
        </w:tc>
        <w:tc>
          <w:tcPr>
            <w:tcW w:w="1878" w:type="pct"/>
            <w:noWrap w:val="0"/>
            <w:vAlign w:val="center"/>
          </w:tcPr>
          <w:p w14:paraId="10F162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highlight w:val="none"/>
                <w:u w:val="none"/>
                <w:lang w:eastAsia="en-US"/>
              </w:rPr>
            </w:pPr>
            <w:r>
              <w:rPr>
                <w:b/>
                <w:bCs/>
                <w:sz w:val="21"/>
                <w:szCs w:val="21"/>
                <w:highlight w:val="none"/>
                <w:u w:val="none"/>
                <w:lang w:eastAsia="en-US"/>
              </w:rPr>
              <w:t>理化性质</w:t>
            </w:r>
          </w:p>
        </w:tc>
        <w:tc>
          <w:tcPr>
            <w:tcW w:w="556" w:type="pct"/>
            <w:noWrap w:val="0"/>
            <w:vAlign w:val="center"/>
          </w:tcPr>
          <w:p w14:paraId="7507A1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sz w:val="21"/>
                <w:szCs w:val="21"/>
                <w:highlight w:val="none"/>
                <w:u w:val="none"/>
                <w:lang w:val="en-US" w:eastAsia="zh-CN"/>
              </w:rPr>
            </w:pPr>
            <w:r>
              <w:rPr>
                <w:rFonts w:hint="eastAsia"/>
                <w:b/>
                <w:bCs/>
                <w:sz w:val="21"/>
                <w:szCs w:val="21"/>
                <w:highlight w:val="none"/>
                <w:u w:val="none"/>
                <w:lang w:val="en-US" w:eastAsia="zh-CN"/>
              </w:rPr>
              <w:t>分布位置</w:t>
            </w:r>
          </w:p>
        </w:tc>
      </w:tr>
      <w:tr w14:paraId="7F8301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68" w:type="pct"/>
            <w:noWrap w:val="0"/>
            <w:vAlign w:val="center"/>
          </w:tcPr>
          <w:p w14:paraId="0DC2BA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sz w:val="21"/>
                <w:szCs w:val="21"/>
                <w:highlight w:val="none"/>
                <w:u w:val="none"/>
                <w:lang w:eastAsia="en-US"/>
              </w:rPr>
              <w:t>1</w:t>
            </w:r>
          </w:p>
        </w:tc>
        <w:tc>
          <w:tcPr>
            <w:tcW w:w="490" w:type="pct"/>
            <w:noWrap w:val="0"/>
            <w:vAlign w:val="center"/>
          </w:tcPr>
          <w:p w14:paraId="5BED9C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en-US" w:bidi="ar-SA"/>
              </w:rPr>
            </w:pPr>
            <w:r>
              <w:rPr>
                <w:rFonts w:hint="eastAsia"/>
                <w:sz w:val="21"/>
                <w:szCs w:val="21"/>
                <w:highlight w:val="none"/>
                <w:u w:val="none"/>
                <w:lang w:val="en-US" w:eastAsia="zh-CN"/>
              </w:rPr>
              <w:t>PAC聚合氯化铝</w:t>
            </w:r>
          </w:p>
        </w:tc>
        <w:tc>
          <w:tcPr>
            <w:tcW w:w="247" w:type="pct"/>
            <w:noWrap w:val="0"/>
            <w:vAlign w:val="center"/>
          </w:tcPr>
          <w:p w14:paraId="67B4CF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固</w:t>
            </w:r>
          </w:p>
        </w:tc>
        <w:tc>
          <w:tcPr>
            <w:tcW w:w="248" w:type="pct"/>
            <w:noWrap w:val="0"/>
            <w:vAlign w:val="center"/>
          </w:tcPr>
          <w:p w14:paraId="21EF8D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highlight w:val="none"/>
                <w:u w:val="none"/>
                <w:lang w:val="en-US" w:eastAsia="en-US" w:bidi="ar-SA"/>
              </w:rPr>
            </w:pPr>
            <w:r>
              <w:rPr>
                <w:sz w:val="21"/>
                <w:szCs w:val="21"/>
                <w:highlight w:val="none"/>
                <w:u w:val="none"/>
                <w:lang w:eastAsia="en-US"/>
              </w:rPr>
              <w:t>—</w:t>
            </w:r>
          </w:p>
        </w:tc>
        <w:tc>
          <w:tcPr>
            <w:tcW w:w="362" w:type="pct"/>
            <w:noWrap w:val="0"/>
            <w:vAlign w:val="center"/>
          </w:tcPr>
          <w:p w14:paraId="0E5101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highlight w:val="none"/>
                <w:u w:val="none"/>
                <w:lang w:val="en-US" w:eastAsia="en-US" w:bidi="ar-SA"/>
              </w:rPr>
            </w:pPr>
            <w:r>
              <w:rPr>
                <w:sz w:val="21"/>
                <w:szCs w:val="21"/>
                <w:highlight w:val="none"/>
                <w:u w:val="none"/>
                <w:lang w:eastAsia="en-US"/>
              </w:rPr>
              <w:t>—</w:t>
            </w:r>
          </w:p>
        </w:tc>
        <w:tc>
          <w:tcPr>
            <w:tcW w:w="342" w:type="pct"/>
            <w:noWrap w:val="0"/>
            <w:vAlign w:val="center"/>
          </w:tcPr>
          <w:p w14:paraId="62A1DC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highlight w:val="none"/>
                <w:u w:val="none"/>
                <w:lang w:val="en-US" w:eastAsia="en-US" w:bidi="ar-SA"/>
              </w:rPr>
            </w:pPr>
            <w:r>
              <w:rPr>
                <w:sz w:val="21"/>
                <w:szCs w:val="21"/>
                <w:highlight w:val="none"/>
                <w:u w:val="none"/>
                <w:lang w:eastAsia="en-US"/>
              </w:rPr>
              <w:t>—</w:t>
            </w:r>
          </w:p>
        </w:tc>
        <w:tc>
          <w:tcPr>
            <w:tcW w:w="604" w:type="pct"/>
            <w:noWrap w:val="0"/>
            <w:vAlign w:val="center"/>
          </w:tcPr>
          <w:p w14:paraId="53920E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sz w:val="21"/>
                <w:szCs w:val="21"/>
                <w:highlight w:val="none"/>
                <w:u w:val="none"/>
                <w:lang w:eastAsia="en-US"/>
              </w:rPr>
              <w:t>是</w:t>
            </w:r>
          </w:p>
        </w:tc>
        <w:tc>
          <w:tcPr>
            <w:tcW w:w="1878" w:type="pct"/>
            <w:noWrap w:val="0"/>
            <w:vAlign w:val="center"/>
          </w:tcPr>
          <w:p w14:paraId="43D9D61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ascii="Times New Roman" w:hAnsi="Times New Roman" w:cs="Times New Roman"/>
                <w:sz w:val="21"/>
                <w:szCs w:val="21"/>
                <w:highlight w:val="none"/>
                <w:u w:val="none"/>
                <w:lang w:val="en-US" w:eastAsia="zh-CN"/>
              </w:rPr>
              <w:t>外观</w:t>
            </w:r>
            <w:r>
              <w:rPr>
                <w:rFonts w:hint="default" w:ascii="Times New Roman" w:hAnsi="Times New Roman" w:cs="Times New Roman"/>
                <w:sz w:val="21"/>
                <w:szCs w:val="21"/>
                <w:highlight w:val="none"/>
                <w:u w:val="none"/>
                <w:lang w:val="en-US" w:eastAsia="zh-CN"/>
              </w:rPr>
              <w:t>无色或黄色树脂状固体。其溶液为无色或黄褐色透明液体，有时因含杂质而呈灰黑色黏液</w:t>
            </w:r>
            <w:r>
              <w:rPr>
                <w:rFonts w:hint="eastAsia" w:ascii="Times New Roman" w:hAnsi="Times New Roman" w:cs="Times New Roman"/>
                <w:sz w:val="21"/>
                <w:szCs w:val="21"/>
                <w:highlight w:val="none"/>
                <w:u w:val="none"/>
                <w:lang w:val="en-US" w:eastAsia="zh-CN"/>
              </w:rPr>
              <w:t>；无色或黄色树脂状固体。其溶液为无色或黄褐色透明液体，有时因含杂质而呈灰黑色黏液；</w:t>
            </w:r>
            <w:r>
              <w:rPr>
                <w:rFonts w:hint="default" w:ascii="Times New Roman" w:hAnsi="Times New Roman" w:cs="Times New Roman"/>
                <w:sz w:val="21"/>
                <w:szCs w:val="21"/>
                <w:highlight w:val="none"/>
                <w:u w:val="none"/>
                <w:lang w:val="en-US" w:eastAsia="zh-CN"/>
              </w:rPr>
              <w:t>广泛应用于饮用水、工业废水和城市污水的净化处理中</w:t>
            </w:r>
            <w:r>
              <w:rPr>
                <w:rFonts w:hint="eastAsia" w:ascii="Times New Roman" w:hAnsi="Times New Roman" w:cs="Times New Roman"/>
                <w:sz w:val="21"/>
                <w:szCs w:val="21"/>
                <w:highlight w:val="none"/>
                <w:u w:val="none"/>
                <w:lang w:val="en-US" w:eastAsia="zh-CN"/>
              </w:rPr>
              <w:t>。</w:t>
            </w:r>
          </w:p>
        </w:tc>
        <w:tc>
          <w:tcPr>
            <w:tcW w:w="556" w:type="pct"/>
            <w:noWrap w:val="0"/>
            <w:vAlign w:val="center"/>
          </w:tcPr>
          <w:p w14:paraId="1E0FE1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重金属一体化污水处理装置区</w:t>
            </w:r>
          </w:p>
        </w:tc>
      </w:tr>
      <w:tr w14:paraId="152028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81" w:hRule="atLeast"/>
          <w:jc w:val="center"/>
        </w:trPr>
        <w:tc>
          <w:tcPr>
            <w:tcW w:w="268" w:type="pct"/>
            <w:noWrap w:val="0"/>
            <w:vAlign w:val="center"/>
          </w:tcPr>
          <w:p w14:paraId="3E1897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sz w:val="21"/>
                <w:szCs w:val="21"/>
                <w:highlight w:val="none"/>
                <w:u w:val="none"/>
                <w:lang w:eastAsia="en-US"/>
              </w:rPr>
              <w:t>2</w:t>
            </w:r>
          </w:p>
        </w:tc>
        <w:tc>
          <w:tcPr>
            <w:tcW w:w="490" w:type="pct"/>
            <w:noWrap w:val="0"/>
            <w:vAlign w:val="center"/>
          </w:tcPr>
          <w:p w14:paraId="75EEAD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en-US"/>
              </w:rPr>
              <w:t>PAM聚丙烯酰胺</w:t>
            </w:r>
          </w:p>
        </w:tc>
        <w:tc>
          <w:tcPr>
            <w:tcW w:w="247" w:type="pct"/>
            <w:noWrap w:val="0"/>
            <w:vAlign w:val="center"/>
          </w:tcPr>
          <w:p w14:paraId="6D15E8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en-US" w:bidi="ar-SA"/>
              </w:rPr>
            </w:pPr>
            <w:r>
              <w:rPr>
                <w:rFonts w:hint="eastAsia"/>
                <w:sz w:val="21"/>
                <w:szCs w:val="21"/>
                <w:highlight w:val="none"/>
                <w:u w:val="none"/>
                <w:lang w:val="en-US" w:eastAsia="zh-CN"/>
              </w:rPr>
              <w:t>固</w:t>
            </w:r>
          </w:p>
        </w:tc>
        <w:tc>
          <w:tcPr>
            <w:tcW w:w="248" w:type="pct"/>
            <w:noWrap w:val="0"/>
            <w:vAlign w:val="center"/>
          </w:tcPr>
          <w:p w14:paraId="5945D6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highlight w:val="none"/>
                <w:u w:val="none"/>
                <w:lang w:val="en-US" w:eastAsia="en-US" w:bidi="ar-SA"/>
              </w:rPr>
            </w:pPr>
            <w:r>
              <w:rPr>
                <w:sz w:val="21"/>
                <w:szCs w:val="21"/>
                <w:highlight w:val="none"/>
                <w:u w:val="none"/>
                <w:lang w:eastAsia="en-US"/>
              </w:rPr>
              <w:t>—</w:t>
            </w:r>
          </w:p>
        </w:tc>
        <w:tc>
          <w:tcPr>
            <w:tcW w:w="362" w:type="pct"/>
            <w:noWrap w:val="0"/>
            <w:vAlign w:val="center"/>
          </w:tcPr>
          <w:p w14:paraId="21C248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highlight w:val="none"/>
                <w:u w:val="none"/>
                <w:lang w:val="en-US" w:eastAsia="en-US" w:bidi="ar-SA"/>
              </w:rPr>
            </w:pPr>
            <w:r>
              <w:rPr>
                <w:sz w:val="21"/>
                <w:szCs w:val="21"/>
                <w:highlight w:val="none"/>
                <w:u w:val="none"/>
                <w:lang w:eastAsia="en-US"/>
              </w:rPr>
              <w:t>—</w:t>
            </w:r>
          </w:p>
        </w:tc>
        <w:tc>
          <w:tcPr>
            <w:tcW w:w="342" w:type="pct"/>
            <w:noWrap w:val="0"/>
            <w:vAlign w:val="center"/>
          </w:tcPr>
          <w:p w14:paraId="179461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21"/>
                <w:szCs w:val="21"/>
                <w:highlight w:val="none"/>
                <w:u w:val="none"/>
                <w:lang w:val="en-US" w:eastAsia="en-US" w:bidi="ar-SA"/>
              </w:rPr>
            </w:pPr>
            <w:r>
              <w:rPr>
                <w:sz w:val="21"/>
                <w:szCs w:val="21"/>
                <w:highlight w:val="none"/>
                <w:u w:val="none"/>
                <w:lang w:eastAsia="en-US"/>
              </w:rPr>
              <w:t>—</w:t>
            </w:r>
          </w:p>
        </w:tc>
        <w:tc>
          <w:tcPr>
            <w:tcW w:w="604" w:type="pct"/>
            <w:noWrap w:val="0"/>
            <w:vAlign w:val="center"/>
          </w:tcPr>
          <w:p w14:paraId="0DB780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en-US" w:bidi="ar-SA"/>
              </w:rPr>
            </w:pPr>
            <w:r>
              <w:rPr>
                <w:rFonts w:hint="eastAsia"/>
                <w:sz w:val="21"/>
                <w:szCs w:val="21"/>
                <w:highlight w:val="none"/>
                <w:u w:val="none"/>
                <w:lang w:val="en-US" w:eastAsia="zh-CN"/>
              </w:rPr>
              <w:t>是</w:t>
            </w:r>
          </w:p>
        </w:tc>
        <w:tc>
          <w:tcPr>
            <w:tcW w:w="1878" w:type="pct"/>
            <w:noWrap w:val="0"/>
            <w:vAlign w:val="center"/>
          </w:tcPr>
          <w:p w14:paraId="2A5CD3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外观为白色颗粒（或粉末状），易溶于水，几乎不溶于苯、乙醚、丙酮等有机溶剂，</w:t>
            </w:r>
            <w:r>
              <w:rPr>
                <w:rFonts w:hint="default" w:ascii="Times New Roman" w:hAnsi="Times New Roman" w:cs="Times New Roman"/>
                <w:sz w:val="21"/>
                <w:szCs w:val="21"/>
                <w:highlight w:val="none"/>
                <w:u w:val="none"/>
                <w:lang w:val="en-US" w:eastAsia="zh-CN"/>
              </w:rPr>
              <w:t>23℃时密度为1.302</w:t>
            </w:r>
            <w:r>
              <w:rPr>
                <w:rFonts w:hint="eastAsia" w:ascii="Times New Roman" w:hAnsi="Times New Roman" w:cs="Times New Roman"/>
                <w:sz w:val="21"/>
                <w:szCs w:val="21"/>
                <w:highlight w:val="none"/>
                <w:u w:val="none"/>
                <w:lang w:val="en-US" w:eastAsia="zh-CN"/>
              </w:rPr>
              <w:t>g</w:t>
            </w:r>
            <w:r>
              <w:rPr>
                <w:rFonts w:hint="default" w:ascii="Times New Roman" w:hAnsi="Times New Roman" w:cs="Times New Roman"/>
                <w:sz w:val="21"/>
                <w:szCs w:val="21"/>
                <w:highlight w:val="none"/>
                <w:u w:val="none"/>
                <w:lang w:val="en-US" w:eastAsia="zh-CN"/>
              </w:rPr>
              <w:t>/</w:t>
            </w:r>
            <w:r>
              <w:rPr>
                <w:rFonts w:hint="eastAsia" w:ascii="Times New Roman" w:hAnsi="Times New Roman" w:cs="Times New Roman"/>
                <w:sz w:val="21"/>
                <w:szCs w:val="21"/>
                <w:highlight w:val="none"/>
                <w:u w:val="none"/>
                <w:lang w:val="en-US" w:eastAsia="zh-CN"/>
              </w:rPr>
              <w:t>mL</w:t>
            </w:r>
            <w:r>
              <w:rPr>
                <w:rFonts w:hint="default" w:ascii="Times New Roman" w:hAnsi="Times New Roman" w:cs="Times New Roman"/>
                <w:sz w:val="21"/>
                <w:szCs w:val="21"/>
                <w:highlight w:val="none"/>
                <w:u w:val="none"/>
                <w:lang w:val="en-US" w:eastAsia="zh-CN"/>
              </w:rPr>
              <w:t>，</w:t>
            </w:r>
            <w:r>
              <w:rPr>
                <w:rFonts w:hint="eastAsia" w:ascii="Times New Roman" w:hAnsi="Times New Roman" w:cs="Times New Roman"/>
                <w:sz w:val="21"/>
                <w:szCs w:val="21"/>
                <w:highlight w:val="none"/>
                <w:u w:val="none"/>
                <w:lang w:val="en-US" w:eastAsia="zh-CN"/>
              </w:rPr>
              <w:t>主要用于废水处理</w:t>
            </w:r>
            <w:r>
              <w:rPr>
                <w:rFonts w:hint="eastAsia" w:cs="Times New Roman"/>
                <w:sz w:val="21"/>
                <w:szCs w:val="21"/>
                <w:highlight w:val="none"/>
                <w:u w:val="none"/>
                <w:lang w:val="en-US" w:eastAsia="zh-CN"/>
              </w:rPr>
              <w:t>，</w:t>
            </w:r>
            <w:r>
              <w:rPr>
                <w:rFonts w:hint="default" w:ascii="Times New Roman" w:hAnsi="Times New Roman" w:cs="Times New Roman"/>
                <w:sz w:val="21"/>
                <w:szCs w:val="21"/>
                <w:highlight w:val="none"/>
                <w:u w:val="none"/>
                <w:lang w:val="en-US" w:eastAsia="zh-CN"/>
              </w:rPr>
              <w:t>通过电中和、架桥吸附实现絮凝；极性基团吸附颗粒；机械作用增强分散相网状结构</w:t>
            </w:r>
            <w:r>
              <w:rPr>
                <w:rFonts w:hint="eastAsia" w:ascii="Times New Roman" w:hAnsi="Times New Roman" w:cs="Times New Roman"/>
                <w:sz w:val="21"/>
                <w:szCs w:val="21"/>
                <w:highlight w:val="none"/>
                <w:u w:val="none"/>
                <w:lang w:val="en-US" w:eastAsia="zh-CN"/>
              </w:rPr>
              <w:t>。</w:t>
            </w:r>
          </w:p>
        </w:tc>
        <w:tc>
          <w:tcPr>
            <w:tcW w:w="556" w:type="pct"/>
            <w:noWrap w:val="0"/>
            <w:vAlign w:val="center"/>
          </w:tcPr>
          <w:p w14:paraId="1C422B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en-US" w:bidi="ar-SA"/>
              </w:rPr>
            </w:pPr>
            <w:r>
              <w:rPr>
                <w:rFonts w:hint="eastAsia"/>
                <w:sz w:val="21"/>
                <w:szCs w:val="21"/>
                <w:highlight w:val="none"/>
                <w:u w:val="none"/>
                <w:lang w:val="en-US" w:eastAsia="zh-CN"/>
              </w:rPr>
              <w:t>重金属一体化污水处理装置区</w:t>
            </w:r>
          </w:p>
        </w:tc>
      </w:tr>
      <w:tr w14:paraId="7E4F70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68" w:type="pct"/>
            <w:noWrap w:val="0"/>
            <w:vAlign w:val="center"/>
          </w:tcPr>
          <w:p w14:paraId="564108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sz w:val="21"/>
                <w:szCs w:val="21"/>
                <w:highlight w:val="none"/>
                <w:u w:val="none"/>
                <w:lang w:eastAsia="en-US"/>
              </w:rPr>
              <w:t>3</w:t>
            </w:r>
          </w:p>
        </w:tc>
        <w:tc>
          <w:tcPr>
            <w:tcW w:w="490" w:type="pct"/>
            <w:noWrap w:val="0"/>
            <w:vAlign w:val="center"/>
          </w:tcPr>
          <w:p w14:paraId="4C5B04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rFonts w:hint="eastAsia"/>
                <w:sz w:val="21"/>
                <w:szCs w:val="21"/>
                <w:highlight w:val="none"/>
                <w:u w:val="none"/>
                <w:lang w:eastAsia="en-US"/>
              </w:rPr>
              <w:t>氢氧化钙</w:t>
            </w:r>
          </w:p>
        </w:tc>
        <w:tc>
          <w:tcPr>
            <w:tcW w:w="247" w:type="pct"/>
            <w:noWrap w:val="0"/>
            <w:vAlign w:val="center"/>
          </w:tcPr>
          <w:p w14:paraId="32D0BF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highlight w:val="none"/>
                <w:u w:val="none"/>
                <w:lang w:eastAsia="zh-CN"/>
              </w:rPr>
            </w:pPr>
            <w:r>
              <w:rPr>
                <w:rFonts w:hint="eastAsia"/>
                <w:sz w:val="21"/>
                <w:szCs w:val="21"/>
                <w:highlight w:val="none"/>
                <w:u w:val="none"/>
                <w:lang w:val="en-US" w:eastAsia="zh-CN"/>
              </w:rPr>
              <w:t>固</w:t>
            </w:r>
          </w:p>
        </w:tc>
        <w:tc>
          <w:tcPr>
            <w:tcW w:w="248" w:type="pct"/>
            <w:noWrap w:val="0"/>
            <w:vAlign w:val="center"/>
          </w:tcPr>
          <w:p w14:paraId="7341D7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sz w:val="21"/>
                <w:szCs w:val="21"/>
                <w:highlight w:val="none"/>
                <w:u w:val="none"/>
                <w:lang w:eastAsia="en-US"/>
              </w:rPr>
              <w:t>√</w:t>
            </w:r>
          </w:p>
        </w:tc>
        <w:tc>
          <w:tcPr>
            <w:tcW w:w="362" w:type="pct"/>
            <w:noWrap w:val="0"/>
            <w:vAlign w:val="center"/>
          </w:tcPr>
          <w:p w14:paraId="677E4F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sz w:val="21"/>
                <w:szCs w:val="21"/>
                <w:highlight w:val="none"/>
                <w:u w:val="none"/>
                <w:lang w:eastAsia="en-US"/>
              </w:rPr>
              <w:t>√</w:t>
            </w:r>
          </w:p>
        </w:tc>
        <w:tc>
          <w:tcPr>
            <w:tcW w:w="342" w:type="pct"/>
            <w:noWrap w:val="0"/>
            <w:vAlign w:val="center"/>
          </w:tcPr>
          <w:p w14:paraId="21189B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highlight w:val="none"/>
                <w:u w:val="none"/>
                <w:lang w:eastAsia="en-US"/>
              </w:rPr>
            </w:pPr>
            <w:r>
              <w:rPr>
                <w:sz w:val="21"/>
                <w:szCs w:val="21"/>
                <w:highlight w:val="none"/>
                <w:u w:val="none"/>
                <w:lang w:eastAsia="en-US"/>
              </w:rPr>
              <w:t>—</w:t>
            </w:r>
          </w:p>
        </w:tc>
        <w:tc>
          <w:tcPr>
            <w:tcW w:w="604" w:type="pct"/>
            <w:noWrap w:val="0"/>
            <w:vAlign w:val="center"/>
          </w:tcPr>
          <w:p w14:paraId="1D8057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sz w:val="21"/>
                <w:szCs w:val="21"/>
                <w:highlight w:val="none"/>
                <w:u w:val="none"/>
                <w:lang w:val="en-US" w:eastAsia="zh-CN"/>
              </w:rPr>
            </w:pPr>
            <w:r>
              <w:rPr>
                <w:rFonts w:hint="eastAsia"/>
                <w:sz w:val="21"/>
                <w:szCs w:val="21"/>
                <w:highlight w:val="none"/>
                <w:u w:val="none"/>
                <w:lang w:val="en-US" w:eastAsia="zh-CN"/>
              </w:rPr>
              <w:t>是</w:t>
            </w:r>
          </w:p>
        </w:tc>
        <w:tc>
          <w:tcPr>
            <w:tcW w:w="1878" w:type="pct"/>
            <w:noWrap w:val="0"/>
            <w:vAlign w:val="center"/>
          </w:tcPr>
          <w:p w14:paraId="310F45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外观为白色粉末状固体，难溶于水，不溶于醇，溶于甘油和酸，溶于酸时放出大量热，密度约2.24g/cm</w:t>
            </w:r>
            <w:r>
              <w:rPr>
                <w:rFonts w:hint="eastAsia"/>
                <w:sz w:val="21"/>
                <w:szCs w:val="21"/>
                <w:highlight w:val="none"/>
                <w:u w:val="none"/>
                <w:vertAlign w:val="superscript"/>
                <w:lang w:val="en-US" w:eastAsia="zh-CN"/>
              </w:rPr>
              <w:t>3</w:t>
            </w:r>
            <w:r>
              <w:rPr>
                <w:rFonts w:hint="eastAsia"/>
                <w:sz w:val="21"/>
                <w:szCs w:val="21"/>
                <w:highlight w:val="none"/>
                <w:u w:val="none"/>
                <w:lang w:val="en-US" w:eastAsia="zh-CN"/>
              </w:rPr>
              <w:t>。熔   点580℃，沸点2850℃；</w:t>
            </w:r>
            <w:r>
              <w:rPr>
                <w:rFonts w:hint="eastAsia"/>
                <w:sz w:val="21"/>
                <w:szCs w:val="21"/>
                <w:highlight w:val="none"/>
                <w:u w:val="none"/>
                <w:lang w:val="en-US" w:eastAsia="zh-CN"/>
              </w:rPr>
              <w:br w:type="textWrapping"/>
            </w:r>
            <w:r>
              <w:rPr>
                <w:rFonts w:hint="eastAsia"/>
                <w:sz w:val="21"/>
                <w:szCs w:val="21"/>
                <w:highlight w:val="none"/>
                <w:u w:val="none"/>
                <w:lang w:val="en-US" w:eastAsia="zh-CN"/>
              </w:rPr>
              <w:t>急性毒性：大鼠口经LD</w:t>
            </w:r>
            <w:r>
              <w:rPr>
                <w:rFonts w:hint="eastAsia"/>
                <w:sz w:val="21"/>
                <w:szCs w:val="21"/>
                <w:highlight w:val="none"/>
                <w:u w:val="none"/>
                <w:vertAlign w:val="subscript"/>
                <w:lang w:val="en-US" w:eastAsia="zh-CN"/>
              </w:rPr>
              <w:t>50:</w:t>
            </w:r>
            <w:r>
              <w:rPr>
                <w:rFonts w:hint="eastAsia"/>
                <w:sz w:val="21"/>
                <w:szCs w:val="21"/>
                <w:highlight w:val="none"/>
                <w:u w:val="none"/>
                <w:lang w:val="en-US" w:eastAsia="zh-CN"/>
              </w:rPr>
              <w:t>7340mg/kg；小鼠口经LD</w:t>
            </w:r>
            <w:r>
              <w:rPr>
                <w:rFonts w:hint="eastAsia"/>
                <w:sz w:val="21"/>
                <w:szCs w:val="21"/>
                <w:highlight w:val="none"/>
                <w:u w:val="none"/>
                <w:vertAlign w:val="subscript"/>
                <w:lang w:val="en-US" w:eastAsia="zh-CN"/>
              </w:rPr>
              <w:t>50:</w:t>
            </w:r>
            <w:r>
              <w:rPr>
                <w:rFonts w:hint="eastAsia"/>
                <w:sz w:val="21"/>
                <w:szCs w:val="21"/>
                <w:highlight w:val="none"/>
                <w:u w:val="none"/>
                <w:lang w:val="en-US" w:eastAsia="zh-CN"/>
              </w:rPr>
              <w:t>7300mg/kg。</w:t>
            </w:r>
          </w:p>
        </w:tc>
        <w:tc>
          <w:tcPr>
            <w:tcW w:w="556" w:type="pct"/>
            <w:noWrap w:val="0"/>
            <w:vAlign w:val="center"/>
          </w:tcPr>
          <w:p w14:paraId="46B0BD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eastAsia"/>
                <w:sz w:val="21"/>
                <w:szCs w:val="21"/>
                <w:highlight w:val="none"/>
                <w:u w:val="none"/>
                <w:lang w:val="en-US" w:eastAsia="zh-CN"/>
              </w:rPr>
              <w:t>重金属一体化污水处理装置区</w:t>
            </w:r>
          </w:p>
        </w:tc>
      </w:tr>
    </w:tbl>
    <w:p w14:paraId="3F1B9C2C">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6.5.2生产系统危险性识别</w:t>
      </w:r>
    </w:p>
    <w:p w14:paraId="032CF094">
      <w:pPr>
        <w:bidi w:val="0"/>
        <w:rPr>
          <w:rFonts w:hint="eastAsia"/>
          <w:sz w:val="24"/>
          <w:szCs w:val="24"/>
          <w:highlight w:val="none"/>
          <w:lang w:val="en-US" w:eastAsia="zh-CN"/>
        </w:rPr>
      </w:pPr>
      <w:r>
        <w:rPr>
          <w:rFonts w:hint="eastAsia"/>
          <w:sz w:val="24"/>
          <w:szCs w:val="24"/>
          <w:highlight w:val="none"/>
          <w:lang w:val="en-US" w:eastAsia="zh-CN"/>
        </w:rPr>
        <w:t>生产系统危险性识别是通过对生产装置、贮运系统、公用工程系统、环保设施及辅助生产设施等运行过程中存在的危险因素和可能发生的风险类型进行识别。本项目生产系统危险性识别主要考虑填埋场填埋区、渗滤液收集池、重金属一体化废水处理装置区等，具体生产系统危险性识别内容如下表所示。</w:t>
      </w:r>
    </w:p>
    <w:p w14:paraId="3A0F1AD0">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表6.5-2  本项目生产系统危险性识别一览表</w:t>
      </w:r>
    </w:p>
    <w:tbl>
      <w:tblPr>
        <w:tblStyle w:val="47"/>
        <w:tblW w:w="504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402"/>
        <w:gridCol w:w="1649"/>
        <w:gridCol w:w="2319"/>
        <w:gridCol w:w="1858"/>
        <w:gridCol w:w="1497"/>
      </w:tblGrid>
      <w:tr w14:paraId="24852B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47" w:type="pct"/>
            <w:noWrap w:val="0"/>
            <w:vAlign w:val="center"/>
          </w:tcPr>
          <w:p w14:paraId="2BF1868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序号</w:t>
            </w:r>
          </w:p>
        </w:tc>
        <w:tc>
          <w:tcPr>
            <w:tcW w:w="747" w:type="pct"/>
            <w:noWrap w:val="0"/>
            <w:vAlign w:val="center"/>
          </w:tcPr>
          <w:p w14:paraId="035C8D0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危险单元</w:t>
            </w:r>
          </w:p>
        </w:tc>
        <w:tc>
          <w:tcPr>
            <w:tcW w:w="879" w:type="pct"/>
            <w:noWrap w:val="0"/>
            <w:vAlign w:val="center"/>
          </w:tcPr>
          <w:p w14:paraId="4AA4DC0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风险源</w:t>
            </w:r>
          </w:p>
        </w:tc>
        <w:tc>
          <w:tcPr>
            <w:tcW w:w="1236" w:type="pct"/>
            <w:noWrap w:val="0"/>
            <w:vAlign w:val="center"/>
          </w:tcPr>
          <w:p w14:paraId="40266F8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事故触发因素</w:t>
            </w:r>
          </w:p>
        </w:tc>
        <w:tc>
          <w:tcPr>
            <w:tcW w:w="990" w:type="pct"/>
            <w:noWrap w:val="0"/>
            <w:vAlign w:val="center"/>
          </w:tcPr>
          <w:p w14:paraId="34AF4C5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主要危险物质</w:t>
            </w:r>
          </w:p>
        </w:tc>
        <w:tc>
          <w:tcPr>
            <w:tcW w:w="798" w:type="pct"/>
            <w:noWrap w:val="0"/>
            <w:vAlign w:val="center"/>
          </w:tcPr>
          <w:p w14:paraId="1C31170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主要事故类型</w:t>
            </w:r>
          </w:p>
        </w:tc>
      </w:tr>
      <w:tr w14:paraId="0F1EA5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7" w:type="pct"/>
            <w:noWrap w:val="0"/>
            <w:vAlign w:val="center"/>
          </w:tcPr>
          <w:p w14:paraId="64CE60B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w:t>
            </w:r>
          </w:p>
        </w:tc>
        <w:tc>
          <w:tcPr>
            <w:tcW w:w="747" w:type="pct"/>
            <w:noWrap w:val="0"/>
            <w:vAlign w:val="center"/>
          </w:tcPr>
          <w:p w14:paraId="3081D42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填埋场填埋区</w:t>
            </w:r>
          </w:p>
        </w:tc>
        <w:tc>
          <w:tcPr>
            <w:tcW w:w="879" w:type="pct"/>
            <w:noWrap w:val="0"/>
            <w:vAlign w:val="center"/>
          </w:tcPr>
          <w:p w14:paraId="3B31938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default" w:ascii="Times New Roman" w:hAnsi="Times New Roman" w:cs="Times New Roman"/>
                <w:sz w:val="21"/>
                <w:szCs w:val="21"/>
                <w:highlight w:val="none"/>
                <w:lang w:val="en-US" w:eastAsia="zh-CN"/>
              </w:rPr>
              <w:t>第</w:t>
            </w:r>
            <w:r>
              <w:rPr>
                <w:rFonts w:hint="default" w:ascii="Times New Roman" w:hAnsi="Times New Roman" w:eastAsia="宋体" w:cs="Times New Roman"/>
                <w:sz w:val="21"/>
                <w:szCs w:val="21"/>
                <w:highlight w:val="none"/>
                <w:lang w:val="en-US" w:eastAsia="zh-CN"/>
              </w:rPr>
              <w:t>Ⅰ</w:t>
            </w:r>
            <w:r>
              <w:rPr>
                <w:rFonts w:hint="default" w:ascii="Times New Roman" w:hAnsi="Times New Roman" w:cs="Times New Roman"/>
                <w:sz w:val="21"/>
                <w:szCs w:val="21"/>
                <w:highlight w:val="none"/>
                <w:lang w:val="en-US" w:eastAsia="zh-CN"/>
              </w:rPr>
              <w:t>类和Ⅱ类一般固废</w:t>
            </w:r>
          </w:p>
        </w:tc>
        <w:tc>
          <w:tcPr>
            <w:tcW w:w="1236" w:type="pct"/>
            <w:noWrap w:val="0"/>
            <w:vAlign w:val="center"/>
          </w:tcPr>
          <w:p w14:paraId="3CC1243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溃坝或防渗层破损</w:t>
            </w:r>
          </w:p>
        </w:tc>
        <w:tc>
          <w:tcPr>
            <w:tcW w:w="990" w:type="pct"/>
            <w:noWrap w:val="0"/>
            <w:vAlign w:val="center"/>
          </w:tcPr>
          <w:p w14:paraId="62E375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default" w:ascii="Times New Roman" w:hAnsi="Times New Roman" w:cs="Times New Roman"/>
                <w:sz w:val="21"/>
                <w:szCs w:val="21"/>
                <w:highlight w:val="none"/>
                <w:lang w:val="en-US" w:eastAsia="zh-CN"/>
              </w:rPr>
              <w:t>第</w:t>
            </w:r>
            <w:r>
              <w:rPr>
                <w:rFonts w:hint="default" w:ascii="Times New Roman" w:hAnsi="Times New Roman" w:eastAsia="宋体" w:cs="Times New Roman"/>
                <w:sz w:val="21"/>
                <w:szCs w:val="21"/>
                <w:highlight w:val="none"/>
                <w:lang w:val="en-US" w:eastAsia="zh-CN"/>
              </w:rPr>
              <w:t>Ⅰ</w:t>
            </w:r>
            <w:r>
              <w:rPr>
                <w:rFonts w:hint="default" w:ascii="Times New Roman" w:hAnsi="Times New Roman" w:cs="Times New Roman"/>
                <w:sz w:val="21"/>
                <w:szCs w:val="21"/>
                <w:highlight w:val="none"/>
                <w:lang w:val="en-US" w:eastAsia="zh-CN"/>
              </w:rPr>
              <w:t>类和Ⅱ类一般固废</w:t>
            </w:r>
          </w:p>
        </w:tc>
        <w:tc>
          <w:tcPr>
            <w:tcW w:w="798" w:type="pct"/>
            <w:noWrap w:val="0"/>
            <w:vAlign w:val="center"/>
          </w:tcPr>
          <w:p w14:paraId="2411C6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溃坝、防渗层破坏或者老化</w:t>
            </w:r>
          </w:p>
        </w:tc>
      </w:tr>
      <w:tr w14:paraId="14DBA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7" w:type="pct"/>
            <w:noWrap w:val="0"/>
            <w:vAlign w:val="center"/>
          </w:tcPr>
          <w:p w14:paraId="15D7DD4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2</w:t>
            </w:r>
          </w:p>
        </w:tc>
        <w:tc>
          <w:tcPr>
            <w:tcW w:w="747" w:type="pct"/>
            <w:noWrap w:val="0"/>
            <w:vAlign w:val="center"/>
          </w:tcPr>
          <w:p w14:paraId="5A2340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cs="Times New Roman"/>
                <w:sz w:val="21"/>
                <w:szCs w:val="21"/>
                <w:highlight w:val="none"/>
                <w:lang w:val="en-US" w:eastAsia="zh-CN"/>
              </w:rPr>
              <w:t>渗滤液罐车</w:t>
            </w:r>
          </w:p>
        </w:tc>
        <w:tc>
          <w:tcPr>
            <w:tcW w:w="879" w:type="pct"/>
            <w:noWrap w:val="0"/>
            <w:vAlign w:val="center"/>
          </w:tcPr>
          <w:p w14:paraId="4C7BC6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lang w:val="en-US" w:eastAsia="zh-CN"/>
              </w:rPr>
            </w:pPr>
            <w:r>
              <w:rPr>
                <w:rFonts w:hint="eastAsia" w:cs="Times New Roman"/>
                <w:sz w:val="21"/>
                <w:szCs w:val="21"/>
                <w:highlight w:val="none"/>
                <w:lang w:val="en-US" w:eastAsia="zh-CN"/>
              </w:rPr>
              <w:t>渗滤液罐车</w:t>
            </w:r>
          </w:p>
        </w:tc>
        <w:tc>
          <w:tcPr>
            <w:tcW w:w="1236" w:type="pct"/>
            <w:noWrap w:val="0"/>
            <w:vAlign w:val="center"/>
          </w:tcPr>
          <w:p w14:paraId="24BA50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运输事故</w:t>
            </w:r>
          </w:p>
        </w:tc>
        <w:tc>
          <w:tcPr>
            <w:tcW w:w="990" w:type="pct"/>
            <w:noWrap w:val="0"/>
            <w:vAlign w:val="center"/>
          </w:tcPr>
          <w:p w14:paraId="6669C7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highlight w:val="none"/>
                <w:lang w:val="en-US" w:eastAsia="zh-CN"/>
              </w:rPr>
            </w:pPr>
            <w:r>
              <w:rPr>
                <w:rFonts w:hint="eastAsia"/>
                <w:sz w:val="21"/>
                <w:szCs w:val="21"/>
                <w:highlight w:val="none"/>
                <w:lang w:val="en-US" w:eastAsia="zh-CN"/>
              </w:rPr>
              <w:t>渗滤液泄漏</w:t>
            </w:r>
          </w:p>
        </w:tc>
        <w:tc>
          <w:tcPr>
            <w:tcW w:w="798" w:type="pct"/>
            <w:noWrap w:val="0"/>
            <w:vAlign w:val="center"/>
          </w:tcPr>
          <w:p w14:paraId="6C3114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有毒有害物料泄漏；废水污染物超标排放</w:t>
            </w:r>
          </w:p>
        </w:tc>
      </w:tr>
      <w:tr w14:paraId="25B35E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7" w:type="pct"/>
            <w:noWrap w:val="0"/>
            <w:vAlign w:val="center"/>
          </w:tcPr>
          <w:p w14:paraId="2F23AA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3</w:t>
            </w:r>
          </w:p>
        </w:tc>
        <w:tc>
          <w:tcPr>
            <w:tcW w:w="747" w:type="pct"/>
            <w:noWrap w:val="0"/>
            <w:vAlign w:val="center"/>
          </w:tcPr>
          <w:p w14:paraId="5CEB92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渗滤液收集池</w:t>
            </w:r>
          </w:p>
        </w:tc>
        <w:tc>
          <w:tcPr>
            <w:tcW w:w="879" w:type="pct"/>
            <w:noWrap w:val="0"/>
            <w:vAlign w:val="center"/>
          </w:tcPr>
          <w:p w14:paraId="1F4F324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渗滤液</w:t>
            </w:r>
          </w:p>
        </w:tc>
        <w:tc>
          <w:tcPr>
            <w:tcW w:w="1236" w:type="pct"/>
            <w:noWrap w:val="0"/>
            <w:vAlign w:val="center"/>
          </w:tcPr>
          <w:p w14:paraId="215400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防渗池破坏，渗滤液泄漏</w:t>
            </w:r>
          </w:p>
        </w:tc>
        <w:tc>
          <w:tcPr>
            <w:tcW w:w="990" w:type="pct"/>
            <w:noWrap w:val="0"/>
            <w:vAlign w:val="center"/>
          </w:tcPr>
          <w:p w14:paraId="47F12C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渗滤液泄漏</w:t>
            </w:r>
          </w:p>
        </w:tc>
        <w:tc>
          <w:tcPr>
            <w:tcW w:w="798" w:type="pct"/>
            <w:noWrap w:val="0"/>
            <w:vAlign w:val="center"/>
          </w:tcPr>
          <w:p w14:paraId="038388B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有毒有害物料泄漏；废水污染物超标排放</w:t>
            </w:r>
          </w:p>
        </w:tc>
      </w:tr>
      <w:tr w14:paraId="46CC7F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47" w:type="pct"/>
            <w:noWrap w:val="0"/>
            <w:vAlign w:val="center"/>
          </w:tcPr>
          <w:p w14:paraId="3F27913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4</w:t>
            </w:r>
          </w:p>
        </w:tc>
        <w:tc>
          <w:tcPr>
            <w:tcW w:w="747" w:type="pct"/>
            <w:noWrap w:val="0"/>
            <w:vAlign w:val="center"/>
          </w:tcPr>
          <w:p w14:paraId="58C3B06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废水处理站</w:t>
            </w:r>
          </w:p>
        </w:tc>
        <w:tc>
          <w:tcPr>
            <w:tcW w:w="879" w:type="pct"/>
            <w:noWrap w:val="0"/>
            <w:vAlign w:val="center"/>
          </w:tcPr>
          <w:p w14:paraId="37E72A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PAM、PAC、氢氧化钙等药剂</w:t>
            </w:r>
          </w:p>
        </w:tc>
        <w:tc>
          <w:tcPr>
            <w:tcW w:w="1236" w:type="pct"/>
            <w:noWrap w:val="0"/>
            <w:vAlign w:val="center"/>
          </w:tcPr>
          <w:p w14:paraId="763327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储存容器破损</w:t>
            </w:r>
          </w:p>
        </w:tc>
        <w:tc>
          <w:tcPr>
            <w:tcW w:w="990" w:type="pct"/>
            <w:noWrap w:val="0"/>
            <w:vAlign w:val="center"/>
          </w:tcPr>
          <w:p w14:paraId="464FE6F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PAM、PAC、氢氧化钙等</w:t>
            </w:r>
          </w:p>
        </w:tc>
        <w:tc>
          <w:tcPr>
            <w:tcW w:w="798" w:type="pct"/>
            <w:noWrap w:val="0"/>
            <w:vAlign w:val="center"/>
          </w:tcPr>
          <w:p w14:paraId="4C4D60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有毒有害物料泄漏</w:t>
            </w:r>
          </w:p>
        </w:tc>
      </w:tr>
    </w:tbl>
    <w:p w14:paraId="0417790A">
      <w:pPr>
        <w:pStyle w:val="3"/>
        <w:pageBreakBefore w:val="0"/>
        <w:widowControl w:val="0"/>
        <w:numPr>
          <w:ilvl w:val="0"/>
          <w:numId w:val="0"/>
        </w:numPr>
        <w:kinsoku/>
        <w:topLinePunct w:val="0"/>
        <w:bidi w:val="0"/>
        <w:snapToGrid w:val="0"/>
        <w:spacing w:before="0" w:beforeLines="0" w:after="0" w:afterLines="0" w:line="360" w:lineRule="auto"/>
        <w:rPr>
          <w:rFonts w:hint="eastAsia" w:ascii="Times New Roman" w:hAnsi="Times New Roman" w:eastAsia="宋体" w:cs="Times New Roman"/>
          <w:color w:val="auto"/>
          <w:sz w:val="30"/>
          <w:szCs w:val="30"/>
          <w:highlight w:val="none"/>
          <w:u w:val="none" w:color="auto"/>
          <w:lang w:val="en-US" w:eastAsia="zh-CN"/>
        </w:rPr>
      </w:pPr>
      <w:bookmarkStart w:id="486" w:name="_Toc32011"/>
      <w:bookmarkStart w:id="487" w:name="_Toc2653"/>
      <w:r>
        <w:rPr>
          <w:rFonts w:hint="eastAsia" w:ascii="Times New Roman" w:hAnsi="Times New Roman" w:eastAsia="宋体" w:cs="Times New Roman"/>
          <w:color w:val="auto"/>
          <w:sz w:val="30"/>
          <w:szCs w:val="30"/>
          <w:highlight w:val="none"/>
          <w:u w:val="none" w:color="auto"/>
          <w:lang w:val="en-US" w:eastAsia="zh-CN"/>
        </w:rPr>
        <w:t>6.6风险影响分析</w:t>
      </w:r>
      <w:bookmarkEnd w:id="486"/>
      <w:bookmarkEnd w:id="487"/>
    </w:p>
    <w:p w14:paraId="2BBB071F">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6.6.1挡渣坝溃坝事故分析</w:t>
      </w:r>
    </w:p>
    <w:p w14:paraId="57489861">
      <w:pPr>
        <w:bidi w:val="0"/>
        <w:rPr>
          <w:rFonts w:hint="eastAsia"/>
          <w:sz w:val="24"/>
          <w:szCs w:val="24"/>
          <w:highlight w:val="none"/>
          <w:u w:val="none"/>
          <w:lang w:val="en-US" w:eastAsia="zh-CN"/>
        </w:rPr>
      </w:pPr>
      <w:r>
        <w:rPr>
          <w:rFonts w:hint="eastAsia"/>
          <w:sz w:val="24"/>
          <w:szCs w:val="24"/>
          <w:highlight w:val="none"/>
          <w:u w:val="none"/>
          <w:lang w:val="en-US" w:eastAsia="zh-CN"/>
        </w:rPr>
        <w:t>挡渣坝溃决后，填埋场的废渣如同泥石流一样向场外泄出，不仅使填埋场周边受到环境污染，也使得周边生态受到破坏，甚至威胁生命。一旦挡渣坝发生挡渣坝溃决，填埋场的工业废渣将会最先涌入溪沟，多余的废渣会冲向下游的农田及林地。本项目填埋场库容有限，且挡渣坝高度不高，下游村庄不会被废渣淹没。因此，本项目溃坝对当地居民影响不大，主要为下游旱地可能会受到一定覆盖和污染。</w:t>
      </w:r>
    </w:p>
    <w:p w14:paraId="7F4402E8">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6.6.2强降雨风险事故分析</w:t>
      </w:r>
    </w:p>
    <w:p w14:paraId="4CDB95F4">
      <w:pPr>
        <w:rPr>
          <w:rFonts w:hint="eastAsia"/>
          <w:sz w:val="24"/>
          <w:szCs w:val="24"/>
          <w:highlight w:val="none"/>
          <w:u w:val="none"/>
          <w:lang w:val="en-US" w:eastAsia="zh-CN"/>
        </w:rPr>
      </w:pPr>
      <w:r>
        <w:rPr>
          <w:rFonts w:hint="eastAsia"/>
          <w:sz w:val="24"/>
          <w:szCs w:val="24"/>
          <w:highlight w:val="none"/>
          <w:u w:val="none"/>
          <w:lang w:val="en-US" w:eastAsia="zh-CN"/>
        </w:rPr>
        <w:t>本项目在施工期和封场后均有可能由强降雨引发环境风险。</w:t>
      </w:r>
    </w:p>
    <w:p w14:paraId="2CBDF5FD">
      <w:pPr>
        <w:rPr>
          <w:rFonts w:hint="eastAsia"/>
          <w:sz w:val="24"/>
          <w:szCs w:val="24"/>
          <w:highlight w:val="none"/>
          <w:u w:val="none"/>
          <w:lang w:val="en-US" w:eastAsia="zh-CN"/>
        </w:rPr>
      </w:pPr>
      <w:r>
        <w:rPr>
          <w:rFonts w:hint="eastAsia"/>
          <w:sz w:val="24"/>
          <w:szCs w:val="24"/>
          <w:highlight w:val="none"/>
          <w:u w:val="none"/>
          <w:lang w:val="en-US" w:eastAsia="zh-CN"/>
        </w:rPr>
        <w:t>本项目在施工期可能在发生持续暴雨的情况下，场地开挖产生的淋滤液溢出导致的环境风险。</w:t>
      </w:r>
    </w:p>
    <w:p w14:paraId="5836700D">
      <w:pPr>
        <w:rPr>
          <w:rFonts w:hint="eastAsia"/>
          <w:sz w:val="24"/>
          <w:szCs w:val="24"/>
          <w:highlight w:val="none"/>
          <w:u w:val="none"/>
          <w:lang w:val="en-US" w:eastAsia="zh-CN"/>
        </w:rPr>
      </w:pPr>
      <w:r>
        <w:rPr>
          <w:rFonts w:hint="eastAsia"/>
          <w:sz w:val="24"/>
          <w:szCs w:val="24"/>
          <w:highlight w:val="none"/>
          <w:u w:val="none"/>
          <w:lang w:val="en-US" w:eastAsia="zh-CN"/>
        </w:rPr>
        <w:t>本项目封场后按最大月份降雨量的日均值计算，渗滤液平均日产生量为7.24m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。本项目设有1个容积均为30m</w:t>
      </w:r>
      <w:r>
        <w:rPr>
          <w:rFonts w:hint="eastAsia"/>
          <w:sz w:val="24"/>
          <w:szCs w:val="24"/>
          <w:highlight w:val="none"/>
          <w:u w:val="none"/>
          <w:vertAlign w:val="superscript"/>
          <w:lang w:val="en-US" w:eastAsia="zh-CN"/>
        </w:rPr>
        <w:t>3</w:t>
      </w:r>
      <w:r>
        <w:rPr>
          <w:rFonts w:hint="eastAsia"/>
          <w:sz w:val="24"/>
          <w:szCs w:val="24"/>
          <w:highlight w:val="none"/>
          <w:u w:val="none"/>
          <w:lang w:val="en-US" w:eastAsia="zh-CN"/>
        </w:rPr>
        <w:t>的渗滤液收集池，且渗滤液产生存在滞后性，可满足至少连续5天的渗滤液的水量收集要求。</w:t>
      </w:r>
    </w:p>
    <w:p w14:paraId="3A123775">
      <w:pPr>
        <w:rPr>
          <w:rFonts w:hint="eastAsia"/>
          <w:sz w:val="24"/>
          <w:szCs w:val="24"/>
          <w:highlight w:val="none"/>
          <w:u w:val="none"/>
          <w:lang w:val="en-US" w:eastAsia="zh-CN"/>
        </w:rPr>
      </w:pPr>
      <w:r>
        <w:rPr>
          <w:rFonts w:hint="eastAsia"/>
          <w:sz w:val="24"/>
          <w:szCs w:val="24"/>
          <w:highlight w:val="none"/>
          <w:u w:val="none"/>
          <w:lang w:val="en-US" w:eastAsia="zh-CN"/>
        </w:rPr>
        <w:t>本项目封场后按时将渗滤液经渗滤液收集池收集，经重金属一体化污水处理设备处理达标后，采用防腐、防漏的罐车收集运输至湖南黄金天岳矿业有限公司垂拱洞尾矿库废水处理站处置，在持续暴雨的情况下，渗滤液溢出风险也较低。</w:t>
      </w:r>
    </w:p>
    <w:p w14:paraId="074D028E">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6.6.3渗滤液泄漏事故分析</w:t>
      </w:r>
    </w:p>
    <w:p w14:paraId="082A1D2A">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渗滤液在渗滤液收集池内进行储存，环评考虑渗滤液储存过程产生的风险。渗滤液收集池防渗层破裂后，渗滤液通过裂口直接进入地下，渗滤液中重金属浓度较高，渗入地下的重金属首先进入包气带污染土壤，再通过包气带下渗进入地下含水层，引起区域地下水、土壤水质恶化。</w:t>
      </w:r>
    </w:p>
    <w:p w14:paraId="37E3C7F9">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若防渗衬层破裂位置位于废渣填埋场下游，渗入地下的渗滤液量大大增加，对土壤和地下水的影响程度将加剧。</w:t>
      </w:r>
    </w:p>
    <w:p w14:paraId="322E51F8">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488" w:name="_Toc5470"/>
      <w:r>
        <w:rPr>
          <w:rFonts w:hint="eastAsia" w:ascii="Times New Roman" w:hAnsi="Times New Roman" w:eastAsia="宋体" w:cs="Times New Roman"/>
          <w:color w:val="auto"/>
          <w:sz w:val="28"/>
          <w:szCs w:val="28"/>
          <w:highlight w:val="none"/>
          <w:u w:val="none" w:color="auto"/>
          <w:lang w:val="en-US" w:eastAsia="zh-CN"/>
        </w:rPr>
        <w:t>6.6.4渗滤液运输事故分析</w:t>
      </w:r>
      <w:bookmarkEnd w:id="488"/>
    </w:p>
    <w:p w14:paraId="122B1923">
      <w:pPr>
        <w:bidi w:val="0"/>
        <w:rPr>
          <w:rFonts w:hint="eastAsia"/>
          <w:sz w:val="24"/>
          <w:szCs w:val="24"/>
          <w:highlight w:val="none"/>
          <w:u w:val="none"/>
          <w:lang w:val="en-US" w:eastAsia="zh-CN"/>
        </w:rPr>
      </w:pPr>
      <w:r>
        <w:rPr>
          <w:rFonts w:hint="eastAsia"/>
          <w:sz w:val="24"/>
          <w:szCs w:val="24"/>
          <w:highlight w:val="none"/>
          <w:u w:val="none"/>
          <w:lang w:val="en-US" w:eastAsia="zh-CN"/>
        </w:rPr>
        <w:t>项目治理后产生的渗滤液，经一体化污水处理设备处理后，采用密封式的罐车运至湖南黄金天岳矿业有限公司垂拱洞尾矿库废水处理站进行处理。在渗滤液运输过程中可能发生事故，特别是在涉水路段和跨桥区域。因此在运输过程应加强监管，确保容器稳固，不泄漏、不倒塌、不坠落、不损坏，防止渗滤液的渗漏。运输应按规定路线行驶，途经村庄等要减速慢行，不可在居民区和人口稠密区停留。在采取以上措施后很难发生渗滤液运输泄漏和污染事故。</w:t>
      </w:r>
    </w:p>
    <w:p w14:paraId="7454DBC1">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489" w:name="_Toc22865"/>
      <w:r>
        <w:rPr>
          <w:rFonts w:hint="eastAsia" w:ascii="Times New Roman" w:hAnsi="Times New Roman" w:eastAsia="宋体" w:cs="Times New Roman"/>
          <w:color w:val="auto"/>
          <w:sz w:val="28"/>
          <w:szCs w:val="28"/>
          <w:highlight w:val="none"/>
          <w:u w:val="none" w:color="auto"/>
          <w:lang w:val="en-US" w:eastAsia="zh-CN"/>
        </w:rPr>
        <w:t>6.6.5防渗层破坏事故分析</w:t>
      </w:r>
      <w:bookmarkEnd w:id="489"/>
    </w:p>
    <w:p w14:paraId="30E0D0F8">
      <w:pPr>
        <w:bidi w:val="0"/>
        <w:rPr>
          <w:rFonts w:hint="eastAsia"/>
          <w:sz w:val="24"/>
          <w:szCs w:val="24"/>
          <w:highlight w:val="none"/>
          <w:u w:val="none"/>
          <w:lang w:val="en-US" w:eastAsia="zh-CN"/>
        </w:rPr>
      </w:pPr>
      <w:r>
        <w:rPr>
          <w:rFonts w:hint="eastAsia"/>
          <w:sz w:val="24"/>
          <w:szCs w:val="24"/>
          <w:highlight w:val="none"/>
          <w:u w:val="none"/>
          <w:lang w:val="en-US" w:eastAsia="zh-CN"/>
        </w:rPr>
        <w:t>本项目选择HDPE防渗膜作为一般</w:t>
      </w:r>
      <w:r>
        <w:rPr>
          <w:rFonts w:hint="default" w:ascii="Times New Roman" w:hAnsi="Times New Roman" w:cs="Times New Roman"/>
          <w:sz w:val="24"/>
          <w:szCs w:val="24"/>
          <w:highlight w:val="none"/>
          <w:u w:val="none"/>
          <w:lang w:val="en-US" w:eastAsia="zh-CN"/>
        </w:rPr>
        <w:t>Ⅱ</w:t>
      </w:r>
      <w:r>
        <w:rPr>
          <w:rFonts w:hint="eastAsia"/>
          <w:sz w:val="24"/>
          <w:szCs w:val="24"/>
          <w:highlight w:val="none"/>
          <w:u w:val="none"/>
          <w:lang w:val="en-US" w:eastAsia="zh-CN"/>
        </w:rPr>
        <w:t>类固废填埋场的主要防渗材料。HDPE防渗膜的质量以及施工手段和水平，直接影响防渗效果，选择质量好的防渗膜和施工经验丰富的厂商，方能保证废渣填埋场的安全可靠性。如果防渗层不按规定施工，或填埋作业时不慎将防渗层损坏，渗滤液易通过防渗层渗入库底土层，易造成地下水受到污染。</w:t>
      </w:r>
    </w:p>
    <w:p w14:paraId="7CE25FD2">
      <w:pPr>
        <w:pStyle w:val="3"/>
        <w:pageBreakBefore w:val="0"/>
        <w:widowControl w:val="0"/>
        <w:numPr>
          <w:ilvl w:val="0"/>
          <w:numId w:val="0"/>
        </w:numPr>
        <w:kinsoku/>
        <w:topLinePunct w:val="0"/>
        <w:bidi w:val="0"/>
        <w:snapToGrid w:val="0"/>
        <w:spacing w:before="0" w:beforeLines="0" w:after="0" w:afterLines="0" w:line="360" w:lineRule="auto"/>
        <w:rPr>
          <w:rFonts w:hint="eastAsia" w:ascii="Times New Roman" w:hAnsi="Times New Roman" w:eastAsia="宋体" w:cs="Times New Roman"/>
          <w:color w:val="auto"/>
          <w:sz w:val="30"/>
          <w:szCs w:val="30"/>
          <w:highlight w:val="none"/>
          <w:u w:val="none" w:color="auto"/>
          <w:lang w:val="en-US" w:eastAsia="zh-CN"/>
        </w:rPr>
      </w:pPr>
      <w:bookmarkStart w:id="490" w:name="_Toc22262"/>
      <w:bookmarkStart w:id="491" w:name="_Toc11122"/>
      <w:r>
        <w:rPr>
          <w:rFonts w:hint="eastAsia" w:ascii="Times New Roman" w:hAnsi="Times New Roman" w:eastAsia="宋体" w:cs="Times New Roman"/>
          <w:color w:val="auto"/>
          <w:sz w:val="30"/>
          <w:szCs w:val="30"/>
          <w:highlight w:val="none"/>
          <w:u w:val="none" w:color="auto"/>
          <w:lang w:val="en-US" w:eastAsia="zh-CN"/>
        </w:rPr>
        <w:t>6.7环境风险防范措施</w:t>
      </w:r>
      <w:bookmarkEnd w:id="490"/>
      <w:bookmarkEnd w:id="491"/>
    </w:p>
    <w:p w14:paraId="4283C1A3">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492" w:name="_Toc7976"/>
      <w:r>
        <w:rPr>
          <w:rFonts w:hint="eastAsia" w:ascii="Times New Roman" w:hAnsi="Times New Roman" w:eastAsia="宋体" w:cs="Times New Roman"/>
          <w:color w:val="auto"/>
          <w:sz w:val="28"/>
          <w:szCs w:val="28"/>
          <w:highlight w:val="none"/>
          <w:u w:val="none" w:color="auto"/>
          <w:lang w:val="en-US" w:eastAsia="zh-CN"/>
        </w:rPr>
        <w:t>6.7.1挡渣坝溃坝防范措施</w:t>
      </w:r>
    </w:p>
    <w:p w14:paraId="5166B856">
      <w:pPr>
        <w:bidi w:val="0"/>
        <w:rPr>
          <w:rFonts w:hint="eastAsia"/>
          <w:sz w:val="24"/>
          <w:szCs w:val="24"/>
          <w:highlight w:val="none"/>
          <w:u w:val="none"/>
          <w:lang w:val="en-US" w:eastAsia="zh-CN"/>
        </w:rPr>
      </w:pPr>
      <w:r>
        <w:rPr>
          <w:rFonts w:hint="eastAsia"/>
          <w:sz w:val="24"/>
          <w:szCs w:val="24"/>
          <w:highlight w:val="none"/>
          <w:u w:val="none"/>
          <w:lang w:val="en-US" w:eastAsia="zh-CN"/>
        </w:rPr>
        <w:t>（1）挡渣坝坝址在设计时应选择在地质基础条件好的地方，应有抗地震、抗山洪、抗废渣堆体挤压的强度。</w:t>
      </w:r>
    </w:p>
    <w:p w14:paraId="0277C9A2">
      <w:pPr>
        <w:bidi w:val="0"/>
        <w:rPr>
          <w:rFonts w:hint="eastAsia"/>
          <w:sz w:val="24"/>
          <w:szCs w:val="24"/>
          <w:highlight w:val="none"/>
          <w:u w:val="none"/>
          <w:lang w:val="en-US" w:eastAsia="zh-CN"/>
        </w:rPr>
      </w:pPr>
      <w:r>
        <w:rPr>
          <w:rFonts w:hint="eastAsia"/>
          <w:sz w:val="24"/>
          <w:szCs w:val="24"/>
          <w:highlight w:val="none"/>
          <w:u w:val="none"/>
          <w:lang w:val="en-US" w:eastAsia="zh-CN"/>
        </w:rPr>
        <w:t>（2）精心设计，从设计上把好关，确保填埋场的稳定性和安全性。</w:t>
      </w:r>
    </w:p>
    <w:p w14:paraId="11AB8038">
      <w:pPr>
        <w:bidi w:val="0"/>
        <w:rPr>
          <w:rFonts w:hint="eastAsia"/>
          <w:sz w:val="24"/>
          <w:szCs w:val="24"/>
          <w:highlight w:val="none"/>
          <w:u w:val="none"/>
          <w:lang w:val="en-US" w:eastAsia="zh-CN"/>
        </w:rPr>
      </w:pPr>
      <w:r>
        <w:rPr>
          <w:rFonts w:hint="eastAsia"/>
          <w:sz w:val="24"/>
          <w:szCs w:val="24"/>
          <w:highlight w:val="none"/>
          <w:u w:val="none"/>
          <w:lang w:val="en-US" w:eastAsia="zh-CN"/>
        </w:rPr>
        <w:t>（3）严格按设计图纸要求施工，严禁偷工减料；施工现场监理到位，严格把关，确保施工质量。</w:t>
      </w:r>
    </w:p>
    <w:p w14:paraId="25B71343">
      <w:pPr>
        <w:widowControl w:val="0"/>
        <w:topLinePunct w:val="0"/>
        <w:bidi w:val="0"/>
        <w:rPr>
          <w:rFonts w:hint="eastAsia"/>
          <w:sz w:val="24"/>
          <w:szCs w:val="24"/>
          <w:highlight w:val="none"/>
          <w:u w:val="none"/>
          <w:lang w:val="en-US" w:eastAsia="zh-CN"/>
        </w:rPr>
      </w:pPr>
      <w:r>
        <w:rPr>
          <w:rFonts w:hint="eastAsia"/>
          <w:sz w:val="24"/>
          <w:szCs w:val="24"/>
          <w:highlight w:val="none"/>
          <w:u w:val="none"/>
          <w:lang w:val="en-US" w:eastAsia="zh-CN"/>
        </w:rPr>
        <w:t>（4）确保场内排水系统的畅通，在雨季特别是暴雨期应加强对填埋场、挡渣坝的巡逻检查，如发现挡渣坝出现裂缝应采取补救措施。挡渣坝溃决后应立即采取抢救措施，可在填埋场下游设置缓冲地带。同时配备必需的通信设施，保持与地方政府的联系，如发现坝体开裂等垮坝征兆，应立即组织力量进行抢修和安全加固。</w:t>
      </w:r>
    </w:p>
    <w:p w14:paraId="2C9DDC40">
      <w:pPr>
        <w:widowControl w:val="0"/>
        <w:topLinePunct w:val="0"/>
        <w:bidi w:val="0"/>
        <w:rPr>
          <w:rFonts w:hint="eastAsia"/>
          <w:sz w:val="24"/>
          <w:szCs w:val="24"/>
          <w:highlight w:val="none"/>
          <w:u w:val="none"/>
          <w:lang w:val="en-US" w:eastAsia="zh-CN"/>
        </w:rPr>
      </w:pPr>
      <w:r>
        <w:rPr>
          <w:rFonts w:hint="eastAsia"/>
          <w:sz w:val="24"/>
          <w:szCs w:val="24"/>
          <w:highlight w:val="none"/>
          <w:u w:val="none"/>
          <w:lang w:val="en-US" w:eastAsia="zh-CN"/>
        </w:rPr>
        <w:t>（5）严格进行规范管理，按设计要求设置专人严格管理，落实责任。填埋场封场后，应按规定进行生态修复和日常管理、维护，确保填埋场的稳定。</w:t>
      </w:r>
    </w:p>
    <w:p w14:paraId="076CBCA2">
      <w:pPr>
        <w:widowControl w:val="0"/>
        <w:topLinePunct w:val="0"/>
        <w:bidi w:val="0"/>
        <w:rPr>
          <w:rFonts w:hint="eastAsia"/>
          <w:sz w:val="24"/>
          <w:szCs w:val="24"/>
          <w:highlight w:val="none"/>
          <w:u w:val="none"/>
          <w:lang w:val="en-US" w:eastAsia="zh-CN"/>
        </w:rPr>
      </w:pPr>
      <w:r>
        <w:rPr>
          <w:rFonts w:hint="eastAsia"/>
          <w:sz w:val="24"/>
          <w:szCs w:val="24"/>
          <w:highlight w:val="none"/>
          <w:u w:val="none"/>
          <w:lang w:val="en-US" w:eastAsia="zh-CN"/>
        </w:rPr>
        <w:t>（6）严格按国家有关规定，定期对填埋场和挡渣坝安全性和稳定性进行评价，发现问题及时解决。</w:t>
      </w:r>
    </w:p>
    <w:p w14:paraId="689C7694">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6.7.2强降雨风险防范措施</w:t>
      </w:r>
    </w:p>
    <w:p w14:paraId="75422366">
      <w:pPr>
        <w:rPr>
          <w:rFonts w:hint="eastAsia"/>
          <w:sz w:val="24"/>
          <w:szCs w:val="24"/>
          <w:highlight w:val="none"/>
          <w:u w:val="none"/>
          <w:lang w:val="en-US" w:eastAsia="zh-CN"/>
        </w:rPr>
      </w:pPr>
      <w:r>
        <w:rPr>
          <w:rFonts w:hint="eastAsia"/>
          <w:sz w:val="24"/>
          <w:szCs w:val="24"/>
          <w:highlight w:val="none"/>
          <w:u w:val="none"/>
          <w:lang w:val="en-US" w:eastAsia="zh-CN"/>
        </w:rPr>
        <w:t>（1）本项目采用分区开挖，避免大面积开挖，减少暴雨时场地开挖产生的淋滤液。</w:t>
      </w:r>
    </w:p>
    <w:p w14:paraId="59736801">
      <w:pPr>
        <w:rPr>
          <w:rFonts w:hint="eastAsia"/>
          <w:sz w:val="24"/>
          <w:szCs w:val="24"/>
          <w:highlight w:val="none"/>
          <w:u w:val="none"/>
          <w:lang w:val="en-US" w:eastAsia="zh-CN"/>
        </w:rPr>
      </w:pPr>
      <w:r>
        <w:rPr>
          <w:rFonts w:hint="eastAsia"/>
          <w:sz w:val="24"/>
          <w:szCs w:val="24"/>
          <w:highlight w:val="none"/>
          <w:u w:val="none"/>
          <w:lang w:val="en-US" w:eastAsia="zh-CN"/>
        </w:rPr>
        <w:t>（2）开挖区周边按要求设置临时雨水截排沟、污水截排沟和挡渣坝、遮雨布等措施；雨水经雨水沟收集后外排，废水经收集后排入一体化污水处理装置处理。</w:t>
      </w:r>
    </w:p>
    <w:p w14:paraId="442F2ED6">
      <w:pPr>
        <w:rPr>
          <w:rFonts w:hint="eastAsia"/>
          <w:sz w:val="24"/>
          <w:szCs w:val="24"/>
          <w:highlight w:val="none"/>
          <w:u w:val="none"/>
          <w:lang w:val="en-US" w:eastAsia="zh-CN"/>
        </w:rPr>
      </w:pPr>
      <w:r>
        <w:rPr>
          <w:rFonts w:hint="eastAsia"/>
          <w:sz w:val="24"/>
          <w:szCs w:val="24"/>
          <w:highlight w:val="none"/>
          <w:u w:val="none"/>
          <w:lang w:val="en-US" w:eastAsia="zh-CN"/>
        </w:rPr>
        <w:t>（3）严格控制雨季施工作业，禁止在暴雨天气开挖、清运等施工作业。</w:t>
      </w:r>
    </w:p>
    <w:p w14:paraId="0C8DB14E">
      <w:pPr>
        <w:rPr>
          <w:rFonts w:hint="eastAsia"/>
          <w:sz w:val="24"/>
          <w:szCs w:val="24"/>
          <w:highlight w:val="none"/>
          <w:u w:val="none"/>
          <w:lang w:val="en-US" w:eastAsia="zh-CN"/>
        </w:rPr>
      </w:pPr>
      <w:r>
        <w:rPr>
          <w:rFonts w:hint="eastAsia"/>
          <w:sz w:val="24"/>
          <w:szCs w:val="24"/>
          <w:highlight w:val="none"/>
          <w:u w:val="none"/>
          <w:lang w:val="en-US" w:eastAsia="zh-CN"/>
        </w:rPr>
        <w:t>（4）场区截洪沟应按设计要求先行构筑，确保未被污染的强降水直接导出场外，减少暴雨对渗滤液收集池的冲击。</w:t>
      </w:r>
    </w:p>
    <w:p w14:paraId="6BF6E762">
      <w:pPr>
        <w:rPr>
          <w:rFonts w:hint="eastAsia"/>
          <w:sz w:val="24"/>
          <w:szCs w:val="24"/>
          <w:highlight w:val="none"/>
          <w:u w:val="none"/>
          <w:lang w:val="en-US" w:eastAsia="zh-CN"/>
        </w:rPr>
      </w:pPr>
      <w:r>
        <w:rPr>
          <w:rFonts w:hint="eastAsia"/>
          <w:sz w:val="24"/>
          <w:szCs w:val="24"/>
          <w:highlight w:val="none"/>
          <w:u w:val="none"/>
          <w:lang w:val="en-US" w:eastAsia="zh-CN"/>
        </w:rPr>
        <w:t>（5）严格进行规范管理，按设计要求设置专人严格管理，落实责任。确保场内排水系统和库周截洪沟的畅通，在雨季特别是暴雨期应加强对填埋场、围堤坝的定期巡逻检查，如发现围堤坝出现裂缝应采取补救措施。</w:t>
      </w:r>
    </w:p>
    <w:p w14:paraId="1BFFA942">
      <w:pPr>
        <w:rPr>
          <w:rFonts w:hint="eastAsia"/>
          <w:sz w:val="24"/>
          <w:szCs w:val="24"/>
          <w:highlight w:val="none"/>
          <w:u w:val="none"/>
          <w:lang w:val="en-US" w:eastAsia="zh-CN"/>
        </w:rPr>
      </w:pPr>
      <w:r>
        <w:rPr>
          <w:rFonts w:hint="eastAsia"/>
          <w:sz w:val="24"/>
          <w:szCs w:val="24"/>
          <w:highlight w:val="none"/>
          <w:u w:val="none"/>
          <w:lang w:val="en-US" w:eastAsia="zh-CN"/>
        </w:rPr>
        <w:t>（6）场底渗滤液导流系统施工一定要按有关规定进行，废渣压实要严格按规程操作。</w:t>
      </w:r>
    </w:p>
    <w:p w14:paraId="6DA3409F">
      <w:pPr>
        <w:rPr>
          <w:rFonts w:hint="eastAsia"/>
          <w:sz w:val="24"/>
          <w:szCs w:val="24"/>
          <w:highlight w:val="yellow"/>
          <w:u w:val="none"/>
          <w:lang w:val="en-US" w:eastAsia="zh-CN"/>
        </w:rPr>
      </w:pPr>
      <w:r>
        <w:rPr>
          <w:rFonts w:hint="eastAsia"/>
          <w:sz w:val="24"/>
          <w:szCs w:val="24"/>
          <w:highlight w:val="none"/>
          <w:u w:val="none"/>
          <w:lang w:val="en-US" w:eastAsia="zh-CN"/>
        </w:rPr>
        <w:t>（7）建立防止渗滤液污染地下水的应急措施：在封场后加强对渗滤水收集池、地下监测井的监测，一旦发生事故，要立即启动应急预案，采取切实有效的应急措施，将事故风险降低到最小。如发现衬底破裂，此时的对策是加强对地下水的抽吸，并通过开孔灌注粘合剂办法，进行裂缝密封或以硅碳溶液来修补填埋场垫层的破损部位，可解决垫层不严的渗漏污染问题。</w:t>
      </w:r>
    </w:p>
    <w:p w14:paraId="6803EA7C">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6.7.3渗滤液泄漏防范措施</w:t>
      </w:r>
      <w:bookmarkEnd w:id="492"/>
    </w:p>
    <w:p w14:paraId="0403F455">
      <w:pPr>
        <w:rPr>
          <w:rFonts w:hint="eastAsia"/>
          <w:sz w:val="24"/>
          <w:szCs w:val="24"/>
          <w:highlight w:val="none"/>
          <w:u w:val="none"/>
          <w:lang w:val="en-US" w:eastAsia="zh-CN"/>
        </w:rPr>
      </w:pPr>
      <w:r>
        <w:rPr>
          <w:rFonts w:hint="eastAsia"/>
          <w:sz w:val="24"/>
          <w:szCs w:val="24"/>
          <w:highlight w:val="none"/>
          <w:u w:val="none"/>
          <w:lang w:val="en-US" w:eastAsia="zh-CN"/>
        </w:rPr>
        <w:t>针对上述可能产生的环境风险，提出的环境风险防范措施有：</w:t>
      </w:r>
    </w:p>
    <w:p w14:paraId="1189700B">
      <w:pPr>
        <w:rPr>
          <w:rFonts w:hint="eastAsia"/>
          <w:sz w:val="24"/>
          <w:szCs w:val="24"/>
          <w:highlight w:val="none"/>
          <w:u w:val="none"/>
          <w:lang w:val="en-US" w:eastAsia="zh-CN"/>
        </w:rPr>
      </w:pPr>
      <w:r>
        <w:rPr>
          <w:rFonts w:hint="eastAsia"/>
          <w:sz w:val="24"/>
          <w:szCs w:val="24"/>
          <w:highlight w:val="none"/>
          <w:u w:val="none"/>
          <w:lang w:val="en-US" w:eastAsia="zh-CN"/>
        </w:rPr>
        <w:t>（1）精心设计，从设计上把好关，确保废渣填埋场的稳定性和安全性。严格按设计图纸要求施工，严禁偷工减料；在工程施工过程中必须实施工程与环境监理制度，以便确保施工质量。</w:t>
      </w:r>
    </w:p>
    <w:p w14:paraId="039205AF">
      <w:pPr>
        <w:rPr>
          <w:rFonts w:hint="eastAsia"/>
          <w:sz w:val="24"/>
          <w:szCs w:val="24"/>
          <w:highlight w:val="none"/>
          <w:u w:val="none"/>
          <w:lang w:val="en-US" w:eastAsia="zh-CN"/>
        </w:rPr>
      </w:pPr>
      <w:r>
        <w:rPr>
          <w:rFonts w:hint="eastAsia"/>
          <w:sz w:val="24"/>
          <w:szCs w:val="24"/>
          <w:highlight w:val="none"/>
          <w:u w:val="none"/>
          <w:lang w:val="en-US" w:eastAsia="zh-CN"/>
        </w:rPr>
        <w:t>（2）根据工程地质报告，做好防漏、防渗处理，确保渗滤液能够有效收集，不渗入基础土壤与地下水系中；在设计时应选择在地质基础条件好的地方，应有抗地震、抗山洪、抗挤压的强度。</w:t>
      </w:r>
    </w:p>
    <w:p w14:paraId="5928194B">
      <w:pPr>
        <w:rPr>
          <w:rFonts w:hint="eastAsia"/>
          <w:sz w:val="24"/>
          <w:szCs w:val="24"/>
          <w:highlight w:val="none"/>
          <w:u w:val="none"/>
          <w:lang w:val="en-US" w:eastAsia="zh-CN"/>
        </w:rPr>
      </w:pPr>
      <w:r>
        <w:rPr>
          <w:rFonts w:hint="eastAsia"/>
          <w:sz w:val="24"/>
          <w:szCs w:val="24"/>
          <w:highlight w:val="none"/>
          <w:u w:val="none"/>
          <w:lang w:val="en-US" w:eastAsia="zh-CN"/>
        </w:rPr>
        <w:t>（3）严格进行规范管理，按设计要求设置专人严格管理，落实责任。确保场内排水系统和库周截洪沟的畅通，在雨季特别是暴雨期应加强对废渣填埋场、围堤坝的巡逻检查，如发现围堤坝出现裂缝应采取补救措施。</w:t>
      </w:r>
    </w:p>
    <w:p w14:paraId="0CA8432F">
      <w:pPr>
        <w:rPr>
          <w:rFonts w:hint="eastAsia"/>
          <w:sz w:val="24"/>
          <w:szCs w:val="24"/>
          <w:highlight w:val="none"/>
          <w:u w:val="none"/>
          <w:lang w:val="en-US" w:eastAsia="zh-CN"/>
        </w:rPr>
      </w:pPr>
      <w:r>
        <w:rPr>
          <w:rFonts w:hint="eastAsia"/>
          <w:sz w:val="24"/>
          <w:szCs w:val="24"/>
          <w:highlight w:val="none"/>
          <w:u w:val="none"/>
          <w:lang w:val="en-US" w:eastAsia="zh-CN"/>
        </w:rPr>
        <w:t>（4）建立防止渗滤液污染地下水的应急措施，区域设置监控井。在运行期间加强对渗滤水收集处置系统、地下监测井的监测，一旦发生事故，要立即启动应急预案，采取切实有效的应急措施，将事故风险降低到最小。</w:t>
      </w:r>
    </w:p>
    <w:p w14:paraId="2234BE97">
      <w:pPr>
        <w:rPr>
          <w:rFonts w:hint="eastAsia"/>
          <w:sz w:val="24"/>
          <w:szCs w:val="24"/>
          <w:highlight w:val="none"/>
          <w:u w:val="none"/>
          <w:lang w:val="en-US" w:eastAsia="zh-CN"/>
        </w:rPr>
      </w:pPr>
      <w:r>
        <w:rPr>
          <w:rFonts w:hint="eastAsia"/>
          <w:sz w:val="24"/>
          <w:szCs w:val="24"/>
          <w:highlight w:val="none"/>
          <w:u w:val="none"/>
          <w:lang w:val="en-US" w:eastAsia="zh-CN"/>
        </w:rPr>
        <w:t>（5）如发现填埋场衬底破裂，此时的对策是加强对地下水的抽吸，并通过开孔灌注粘合剂办法，进行裂缝密封或以硅碳溶液来修补废渣填埋场垫层的破损部位，可解决垫层不严的渗漏污染问题。如废渣填埋场地下水监测井发现地下水污染类同于填埋场的渗滤水，可在截留坝外侧建造地下垂直渗滤墙至地下10m以下处，隔断被污染地下水向外漫渗。</w:t>
      </w:r>
    </w:p>
    <w:p w14:paraId="4C6F61B6">
      <w:pPr>
        <w:rPr>
          <w:rFonts w:hint="eastAsia"/>
          <w:sz w:val="24"/>
          <w:szCs w:val="24"/>
          <w:highlight w:val="none"/>
          <w:u w:val="none"/>
          <w:lang w:val="en-US" w:eastAsia="zh-CN"/>
        </w:rPr>
      </w:pPr>
      <w:r>
        <w:rPr>
          <w:rFonts w:hint="eastAsia"/>
          <w:sz w:val="24"/>
          <w:szCs w:val="24"/>
          <w:highlight w:val="none"/>
          <w:u w:val="none"/>
          <w:lang w:val="en-US" w:eastAsia="zh-CN"/>
        </w:rPr>
        <w:t>（6）制定应急救援预案：为了确保废渣填埋场的安全运行，防止突发事故的发生，并能在发生意外时，迅速准确，有条不紊地处理和控制事故。把事故造成的损失和对环境污染的影响减小到最低程度。废渣填埋场应结合实际情况，本着立足“自救为主，外援为辅，统一指挥，当机立断”原则，制订事故应急预案。</w:t>
      </w:r>
    </w:p>
    <w:p w14:paraId="015AABB0">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493" w:name="_Toc14979"/>
      <w:r>
        <w:rPr>
          <w:rFonts w:hint="eastAsia" w:ascii="Times New Roman" w:hAnsi="Times New Roman" w:eastAsia="宋体" w:cs="Times New Roman"/>
          <w:color w:val="auto"/>
          <w:sz w:val="28"/>
          <w:szCs w:val="28"/>
          <w:highlight w:val="none"/>
          <w:u w:val="none" w:color="auto"/>
          <w:lang w:val="en-US" w:eastAsia="zh-CN"/>
        </w:rPr>
        <w:t>6.7.4渗滤液运输事故防范措施</w:t>
      </w:r>
      <w:bookmarkEnd w:id="493"/>
    </w:p>
    <w:p w14:paraId="567C829E">
      <w:pPr>
        <w:rPr>
          <w:rFonts w:hint="eastAsia"/>
          <w:sz w:val="24"/>
          <w:szCs w:val="24"/>
          <w:highlight w:val="none"/>
          <w:u w:val="none"/>
          <w:lang w:val="en-US" w:eastAsia="zh-CN"/>
        </w:rPr>
      </w:pPr>
      <w:r>
        <w:rPr>
          <w:rFonts w:hint="eastAsia"/>
          <w:sz w:val="24"/>
          <w:szCs w:val="24"/>
          <w:highlight w:val="none"/>
          <w:u w:val="none"/>
          <w:lang w:val="en-US" w:eastAsia="zh-CN"/>
        </w:rPr>
        <w:t>（1）加强对渗滤液运输车辆的管理和保养，确保容器稳固，不泄漏、不倒塌、不坠落、不损坏，防止渗滤液的渗漏。运输应按规定路线行驶，途经村庄等要减速慢行，尽可能不在居民区和人口稠密区停留。</w:t>
      </w:r>
    </w:p>
    <w:p w14:paraId="347CBC41">
      <w:pPr>
        <w:rPr>
          <w:rFonts w:hint="eastAsia"/>
          <w:sz w:val="24"/>
          <w:szCs w:val="24"/>
          <w:highlight w:val="none"/>
          <w:u w:val="none"/>
          <w:lang w:val="en-US" w:eastAsia="zh-CN"/>
        </w:rPr>
      </w:pPr>
      <w:r>
        <w:rPr>
          <w:rFonts w:hint="eastAsia"/>
          <w:sz w:val="24"/>
          <w:szCs w:val="24"/>
          <w:highlight w:val="none"/>
          <w:u w:val="none"/>
          <w:lang w:val="en-US" w:eastAsia="zh-CN"/>
        </w:rPr>
        <w:t>（2）应在输送环节上尽可能地减少人为的不安全行为，如不遵守交通规则，误操作等。最大程度减少交通事故导致散落的可能。</w:t>
      </w:r>
    </w:p>
    <w:p w14:paraId="0690E743">
      <w:pPr>
        <w:rPr>
          <w:rFonts w:hint="eastAsia"/>
          <w:sz w:val="24"/>
          <w:szCs w:val="24"/>
          <w:highlight w:val="none"/>
          <w:u w:val="none"/>
          <w:lang w:val="en-US" w:eastAsia="zh-CN"/>
        </w:rPr>
      </w:pPr>
      <w:r>
        <w:rPr>
          <w:rFonts w:hint="eastAsia"/>
          <w:sz w:val="24"/>
          <w:szCs w:val="24"/>
          <w:highlight w:val="none"/>
          <w:u w:val="none"/>
          <w:lang w:val="en-US" w:eastAsia="zh-CN"/>
        </w:rPr>
        <w:t>（3）制定应急救援预案，一旦发生渗滤液运输事故，立即启动应急预案，有条不紊地处理和控制事故，把事故造成的损失和对环境污染的影响减小到最低程度。</w:t>
      </w:r>
    </w:p>
    <w:p w14:paraId="3CED4970">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494" w:name="_Toc5401"/>
      <w:r>
        <w:rPr>
          <w:rFonts w:hint="eastAsia" w:ascii="Times New Roman" w:hAnsi="Times New Roman" w:eastAsia="宋体" w:cs="Times New Roman"/>
          <w:color w:val="auto"/>
          <w:sz w:val="28"/>
          <w:szCs w:val="28"/>
          <w:highlight w:val="none"/>
          <w:u w:val="none" w:color="auto"/>
          <w:lang w:val="en-US" w:eastAsia="zh-CN"/>
        </w:rPr>
        <w:t>6.7.5废渣填埋场防渗层破坏防范措施</w:t>
      </w:r>
      <w:bookmarkEnd w:id="494"/>
    </w:p>
    <w:p w14:paraId="1C451BE4">
      <w:pPr>
        <w:widowControl w:val="0"/>
        <w:rPr>
          <w:rFonts w:hint="eastAsia"/>
          <w:sz w:val="24"/>
          <w:szCs w:val="24"/>
          <w:highlight w:val="none"/>
          <w:u w:val="none"/>
          <w:lang w:val="en-US" w:eastAsia="zh-CN"/>
        </w:rPr>
      </w:pPr>
      <w:r>
        <w:rPr>
          <w:rFonts w:hint="eastAsia"/>
          <w:sz w:val="24"/>
          <w:szCs w:val="24"/>
          <w:highlight w:val="none"/>
          <w:u w:val="none"/>
          <w:lang w:val="en-US" w:eastAsia="zh-CN"/>
        </w:rPr>
        <w:t>（1）防渗层基础施工必须夯实均匀，严把基础层施工质量关，应清除场地内的一切尖硬物体，如树根、石块，场地应平整、压实；</w:t>
      </w:r>
    </w:p>
    <w:p w14:paraId="40CAC141">
      <w:pPr>
        <w:widowControl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（2）防渗材料应选用有一定厚度的优质材料，按工程设计要求确保HDPE防渗层和粘土保护层的施工质量，尽量避免在低于5℃的条件下进行防渗层施工，以防止HDPE膜在低温下变脆，产生裂纹；</w:t>
      </w:r>
    </w:p>
    <w:p w14:paraId="7762C985">
      <w:pPr>
        <w:rPr>
          <w:rFonts w:hint="eastAsia"/>
          <w:sz w:val="24"/>
          <w:szCs w:val="24"/>
          <w:highlight w:val="none"/>
          <w:u w:val="none"/>
          <w:lang w:val="en-US" w:eastAsia="zh-CN"/>
        </w:rPr>
      </w:pPr>
      <w:r>
        <w:rPr>
          <w:rFonts w:hint="eastAsia"/>
          <w:sz w:val="24"/>
          <w:szCs w:val="24"/>
          <w:highlight w:val="none"/>
          <w:u w:val="none"/>
          <w:lang w:val="en-US" w:eastAsia="zh-CN"/>
        </w:rPr>
        <w:t>（3）初次填埋时，固废中的尖硬物体应拣出，防止压实机压实时挤压坚硬物体而现在刺破防渗层，如发现防渗层有破损现象，应及时修补，不留后患；</w:t>
      </w:r>
    </w:p>
    <w:p w14:paraId="6B2AF284">
      <w:pPr>
        <w:rPr>
          <w:rFonts w:hint="eastAsia"/>
          <w:sz w:val="24"/>
          <w:szCs w:val="24"/>
          <w:highlight w:val="none"/>
          <w:u w:val="none"/>
          <w:lang w:val="en-US" w:eastAsia="zh-CN"/>
        </w:rPr>
      </w:pPr>
      <w:r>
        <w:rPr>
          <w:rFonts w:hint="eastAsia"/>
          <w:sz w:val="24"/>
          <w:szCs w:val="24"/>
          <w:highlight w:val="none"/>
          <w:u w:val="none"/>
          <w:lang w:val="en-US" w:eastAsia="zh-CN"/>
        </w:rPr>
        <w:t>（4）定期对地下水进行日常监测，发现监测井水质异常，应立即分析原因，如发现场地衬里破坏，应及时将破坏区域隔离，并进行防渗膜修补，尽量减少渗滤液下渗对地下水的污染；</w:t>
      </w:r>
    </w:p>
    <w:p w14:paraId="7F10255B">
      <w:pPr>
        <w:rPr>
          <w:rFonts w:hint="eastAsia"/>
          <w:sz w:val="24"/>
          <w:szCs w:val="24"/>
          <w:highlight w:val="none"/>
          <w:u w:val="none"/>
          <w:lang w:val="en-US" w:eastAsia="zh-CN"/>
        </w:rPr>
      </w:pPr>
      <w:r>
        <w:rPr>
          <w:rFonts w:hint="eastAsia"/>
          <w:sz w:val="24"/>
          <w:szCs w:val="24"/>
          <w:highlight w:val="none"/>
          <w:u w:val="none"/>
          <w:lang w:val="en-US" w:eastAsia="zh-CN"/>
        </w:rPr>
        <w:t>（5）及时排出渗滤液，防止化学腐蚀加速防渗材料的老化。</w:t>
      </w:r>
    </w:p>
    <w:p w14:paraId="3B92178E">
      <w:pPr>
        <w:pStyle w:val="3"/>
        <w:pageBreakBefore w:val="0"/>
        <w:widowControl w:val="0"/>
        <w:numPr>
          <w:ilvl w:val="0"/>
          <w:numId w:val="0"/>
        </w:numPr>
        <w:kinsoku/>
        <w:topLinePunct w:val="0"/>
        <w:bidi w:val="0"/>
        <w:snapToGrid w:val="0"/>
        <w:spacing w:before="0" w:beforeLines="0" w:after="0" w:afterLines="0" w:line="360" w:lineRule="auto"/>
        <w:rPr>
          <w:rFonts w:hint="eastAsia" w:ascii="Times New Roman" w:hAnsi="Times New Roman" w:eastAsia="宋体" w:cs="Times New Roman"/>
          <w:color w:val="auto"/>
          <w:sz w:val="30"/>
          <w:szCs w:val="30"/>
          <w:highlight w:val="none"/>
          <w:u w:val="none" w:color="auto"/>
          <w:lang w:val="en-US" w:eastAsia="zh-CN"/>
        </w:rPr>
      </w:pPr>
      <w:bookmarkStart w:id="495" w:name="_Toc23344"/>
      <w:bookmarkStart w:id="496" w:name="_Toc22436"/>
      <w:r>
        <w:rPr>
          <w:rFonts w:hint="eastAsia" w:ascii="Times New Roman" w:hAnsi="Times New Roman" w:eastAsia="宋体" w:cs="Times New Roman"/>
          <w:color w:val="auto"/>
          <w:sz w:val="30"/>
          <w:szCs w:val="30"/>
          <w:highlight w:val="none"/>
          <w:u w:val="none" w:color="auto"/>
          <w:lang w:val="en-US" w:eastAsia="zh-CN"/>
        </w:rPr>
        <w:t>6.8应急预案</w:t>
      </w:r>
      <w:bookmarkEnd w:id="495"/>
      <w:bookmarkEnd w:id="496"/>
    </w:p>
    <w:p w14:paraId="72A695C4">
      <w:pPr>
        <w:bidi w:val="0"/>
        <w:rPr>
          <w:rFonts w:hint="eastAsia"/>
          <w:sz w:val="24"/>
          <w:szCs w:val="24"/>
          <w:highlight w:val="none"/>
          <w:lang w:val="en-US" w:eastAsia="zh-CN"/>
        </w:rPr>
      </w:pPr>
      <w:r>
        <w:rPr>
          <w:rFonts w:hint="eastAsia"/>
          <w:sz w:val="24"/>
          <w:szCs w:val="24"/>
          <w:highlight w:val="none"/>
          <w:lang w:val="en-US" w:eastAsia="zh-CN"/>
        </w:rPr>
        <w:t>为了提高突发事件的预警和应急处理能力，保障填埋场各类风险发生后，参与救援的人员都有具体分工，并能够迅速、准确、高效地展开抢险救援工作，最大限度地降低事故造成的人员伤亡、财产损失和社会影响，建立应急救援预案，作为救援行动的指南。按照国家相关规定要求</w:t>
      </w:r>
      <w:r>
        <w:rPr>
          <w:rFonts w:hint="eastAsia" w:cs="Times New Roman"/>
          <w:b w:val="0"/>
          <w:bCs w:val="0"/>
          <w:color w:val="auto"/>
          <w:sz w:val="24"/>
          <w:szCs w:val="24"/>
          <w:highlight w:val="none"/>
          <w:u w:val="none" w:color="auto"/>
          <w:vertAlign w:val="baseline"/>
          <w:lang w:val="en-US" w:eastAsia="zh-CN"/>
        </w:rPr>
        <w:t>及《湖南省突发环境事件应急预案管理办法（修订版）》（湘环发〔2024〕49号）中要求</w:t>
      </w:r>
      <w:r>
        <w:rPr>
          <w:rFonts w:hint="eastAsia"/>
          <w:sz w:val="24"/>
          <w:szCs w:val="24"/>
          <w:highlight w:val="none"/>
          <w:lang w:val="en-US" w:eastAsia="zh-CN"/>
        </w:rPr>
        <w:t>，应根据填埋场实际环境风险情景，判定本项目是否属于豁免管理，如不属于则需编制突发环境事件应急预案，突发环境事件应急预案纲要见表6.8-1。</w:t>
      </w:r>
    </w:p>
    <w:p w14:paraId="2C42FA7D">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表6.8-1  环境风险突发事故应急预案</w:t>
      </w:r>
    </w:p>
    <w:tbl>
      <w:tblPr>
        <w:tblStyle w:val="46"/>
        <w:tblW w:w="512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609"/>
        <w:gridCol w:w="1969"/>
        <w:gridCol w:w="6759"/>
      </w:tblGrid>
      <w:tr w14:paraId="516F8E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blHeader/>
          <w:jc w:val="center"/>
        </w:trPr>
        <w:tc>
          <w:tcPr>
            <w:tcW w:w="326" w:type="pct"/>
            <w:noWrap w:val="0"/>
            <w:vAlign w:val="center"/>
          </w:tcPr>
          <w:p w14:paraId="30C56345">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序号</w:t>
            </w:r>
          </w:p>
        </w:tc>
        <w:tc>
          <w:tcPr>
            <w:tcW w:w="1054" w:type="pct"/>
            <w:noWrap w:val="0"/>
            <w:vAlign w:val="center"/>
          </w:tcPr>
          <w:p w14:paraId="73C43716">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项目</w:t>
            </w:r>
          </w:p>
        </w:tc>
        <w:tc>
          <w:tcPr>
            <w:tcW w:w="3618" w:type="pct"/>
            <w:noWrap w:val="0"/>
            <w:vAlign w:val="center"/>
          </w:tcPr>
          <w:p w14:paraId="5F2A354A">
            <w:pPr>
              <w:spacing w:line="240" w:lineRule="auto"/>
              <w:ind w:left="0" w:leftChars="0" w:firstLine="0" w:firstLineChars="0"/>
              <w:jc w:val="center"/>
              <w:rPr>
                <w:rFonts w:hint="eastAsia"/>
                <w:b/>
                <w:bCs/>
                <w:sz w:val="21"/>
                <w:szCs w:val="21"/>
                <w:highlight w:val="none"/>
                <w:lang w:val="en-US" w:eastAsia="zh-CN"/>
              </w:rPr>
            </w:pPr>
            <w:r>
              <w:rPr>
                <w:rFonts w:hint="eastAsia"/>
                <w:b/>
                <w:bCs/>
                <w:sz w:val="21"/>
                <w:szCs w:val="21"/>
                <w:highlight w:val="none"/>
                <w:lang w:val="en-US" w:eastAsia="zh-CN"/>
              </w:rPr>
              <w:t>内容及要求</w:t>
            </w:r>
          </w:p>
        </w:tc>
      </w:tr>
      <w:tr w14:paraId="794195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081E5878">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w:t>
            </w:r>
          </w:p>
        </w:tc>
        <w:tc>
          <w:tcPr>
            <w:tcW w:w="1054" w:type="pct"/>
            <w:noWrap w:val="0"/>
            <w:vAlign w:val="center"/>
          </w:tcPr>
          <w:p w14:paraId="75D4BFDF">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危险源情况</w:t>
            </w:r>
          </w:p>
        </w:tc>
        <w:tc>
          <w:tcPr>
            <w:tcW w:w="3618" w:type="pct"/>
            <w:noWrap w:val="0"/>
            <w:vAlign w:val="center"/>
          </w:tcPr>
          <w:p w14:paraId="504D43CB">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详细说明危险源类型、数量、分布及其对环境的风险。</w:t>
            </w:r>
          </w:p>
        </w:tc>
      </w:tr>
      <w:tr w14:paraId="207E2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2DE0B7FE">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2</w:t>
            </w:r>
          </w:p>
        </w:tc>
        <w:tc>
          <w:tcPr>
            <w:tcW w:w="1054" w:type="pct"/>
            <w:noWrap w:val="0"/>
            <w:vAlign w:val="center"/>
          </w:tcPr>
          <w:p w14:paraId="10073002">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应急计划区</w:t>
            </w:r>
          </w:p>
        </w:tc>
        <w:tc>
          <w:tcPr>
            <w:tcW w:w="3618" w:type="pct"/>
            <w:noWrap w:val="0"/>
            <w:vAlign w:val="center"/>
          </w:tcPr>
          <w:p w14:paraId="0C3D85BD">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填埋场填埋区、渗滤液收集池、一体化废水处理装置区等。</w:t>
            </w:r>
          </w:p>
        </w:tc>
      </w:tr>
      <w:tr w14:paraId="2DCD3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58C09B8C">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3</w:t>
            </w:r>
          </w:p>
        </w:tc>
        <w:tc>
          <w:tcPr>
            <w:tcW w:w="1054" w:type="pct"/>
            <w:noWrap w:val="0"/>
            <w:vAlign w:val="center"/>
          </w:tcPr>
          <w:p w14:paraId="2EE07B32">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应急组织</w:t>
            </w:r>
          </w:p>
        </w:tc>
        <w:tc>
          <w:tcPr>
            <w:tcW w:w="3618" w:type="pct"/>
            <w:noWrap w:val="0"/>
            <w:vAlign w:val="center"/>
          </w:tcPr>
          <w:p w14:paraId="1043FF30">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成立建设单位应急指挥小组，由建设单位领导层担任小组长，负责现场全面指挥，专业救援队伍负责事故控制、救援和善后处理。</w:t>
            </w:r>
          </w:p>
        </w:tc>
      </w:tr>
      <w:tr w14:paraId="1A2AB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4F155B75">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4</w:t>
            </w:r>
          </w:p>
        </w:tc>
        <w:tc>
          <w:tcPr>
            <w:tcW w:w="1054" w:type="pct"/>
            <w:noWrap w:val="0"/>
            <w:vAlign w:val="center"/>
          </w:tcPr>
          <w:p w14:paraId="5FEB7377">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应急状态分类应急响应程序</w:t>
            </w:r>
          </w:p>
        </w:tc>
        <w:tc>
          <w:tcPr>
            <w:tcW w:w="3618" w:type="pct"/>
            <w:noWrap w:val="0"/>
            <w:vAlign w:val="center"/>
          </w:tcPr>
          <w:p w14:paraId="2CB578A2">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规定环境风险事故的级别及相应的应急状态分类，以此制定相应的应急响应程序。</w:t>
            </w:r>
          </w:p>
        </w:tc>
      </w:tr>
      <w:tr w14:paraId="077014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455A290A">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5</w:t>
            </w:r>
          </w:p>
        </w:tc>
        <w:tc>
          <w:tcPr>
            <w:tcW w:w="1054" w:type="pct"/>
            <w:noWrap w:val="0"/>
            <w:vAlign w:val="center"/>
          </w:tcPr>
          <w:p w14:paraId="70C28BDB">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应急设施设备与材料</w:t>
            </w:r>
          </w:p>
        </w:tc>
        <w:tc>
          <w:tcPr>
            <w:tcW w:w="3618" w:type="pct"/>
            <w:noWrap w:val="0"/>
            <w:vAlign w:val="center"/>
          </w:tcPr>
          <w:p w14:paraId="4A18292C">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应设置防火灾、泄漏事故的应急设施、设备与材料。</w:t>
            </w:r>
          </w:p>
        </w:tc>
      </w:tr>
      <w:tr w14:paraId="7E83DA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53F41B25">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6</w:t>
            </w:r>
          </w:p>
        </w:tc>
        <w:tc>
          <w:tcPr>
            <w:tcW w:w="1054" w:type="pct"/>
            <w:noWrap w:val="0"/>
            <w:vAlign w:val="center"/>
          </w:tcPr>
          <w:p w14:paraId="68E13B4B">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应急通讯通告与交通</w:t>
            </w:r>
          </w:p>
        </w:tc>
        <w:tc>
          <w:tcPr>
            <w:tcW w:w="3618" w:type="pct"/>
            <w:noWrap w:val="0"/>
            <w:vAlign w:val="center"/>
          </w:tcPr>
          <w:p w14:paraId="2508DDC7">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规定应急状态下的通讯、通告方式和交通保障、管理等事项。</w:t>
            </w:r>
          </w:p>
        </w:tc>
      </w:tr>
      <w:tr w14:paraId="5D8032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5F81A7C7">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7</w:t>
            </w:r>
          </w:p>
        </w:tc>
        <w:tc>
          <w:tcPr>
            <w:tcW w:w="1054" w:type="pct"/>
            <w:noWrap w:val="0"/>
            <w:vAlign w:val="center"/>
          </w:tcPr>
          <w:p w14:paraId="1F0C4A0D">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应急环境监测及事故后评价</w:t>
            </w:r>
          </w:p>
        </w:tc>
        <w:tc>
          <w:tcPr>
            <w:tcW w:w="3618" w:type="pct"/>
            <w:noWrap w:val="0"/>
            <w:vAlign w:val="center"/>
          </w:tcPr>
          <w:p w14:paraId="430FD764">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由专业人员对事故现场进行应急监测分析，对事故性质、严重程度等所造成的环境危害后果进行评估，吸取经验教训避免再次发生事故，为指挥部门提供决策依据。</w:t>
            </w:r>
          </w:p>
        </w:tc>
      </w:tr>
      <w:tr w14:paraId="635DE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7AC1A15F">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8</w:t>
            </w:r>
          </w:p>
        </w:tc>
        <w:tc>
          <w:tcPr>
            <w:tcW w:w="1054" w:type="pct"/>
            <w:noWrap w:val="0"/>
            <w:vAlign w:val="center"/>
          </w:tcPr>
          <w:p w14:paraId="379FED4E">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应急防护措施及需使用器材</w:t>
            </w:r>
          </w:p>
        </w:tc>
        <w:tc>
          <w:tcPr>
            <w:tcW w:w="3618" w:type="pct"/>
            <w:noWrap w:val="0"/>
            <w:vAlign w:val="center"/>
          </w:tcPr>
          <w:p w14:paraId="1FF5F985">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事故现场：控制事故发展，防止扩大、蔓延及连锁反应，清除现场泄漏物，降低危害等相应的设施器材配备。邻近地区：控制防火区域，控制和消除环境污染的措施及相应的设备配备。</w:t>
            </w:r>
          </w:p>
        </w:tc>
      </w:tr>
      <w:tr w14:paraId="1A7F11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07A7104C">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9</w:t>
            </w:r>
          </w:p>
        </w:tc>
        <w:tc>
          <w:tcPr>
            <w:tcW w:w="1054" w:type="pct"/>
            <w:noWrap w:val="0"/>
            <w:vAlign w:val="center"/>
          </w:tcPr>
          <w:p w14:paraId="031C3EE0">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应急剂量控制撤离组织计划医疗救护与保护公众健康</w:t>
            </w:r>
          </w:p>
        </w:tc>
        <w:tc>
          <w:tcPr>
            <w:tcW w:w="3618" w:type="pct"/>
            <w:noWrap w:val="0"/>
            <w:vAlign w:val="center"/>
          </w:tcPr>
          <w:p w14:paraId="68FA82C7">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事故现场：事故处理人员制定毒物的应急剂量，现场及邻近装置人员的撤离组织计划和紧急救护方案。临近地区：制定受事故影响的临近地区内人员对毒物的应急剂量，公众的疏散组织计划和紧急救护方案</w:t>
            </w:r>
          </w:p>
        </w:tc>
      </w:tr>
      <w:tr w14:paraId="3B3738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0A4F279C">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10</w:t>
            </w:r>
          </w:p>
        </w:tc>
        <w:tc>
          <w:tcPr>
            <w:tcW w:w="1054" w:type="pct"/>
            <w:noWrap w:val="0"/>
            <w:vAlign w:val="center"/>
          </w:tcPr>
          <w:p w14:paraId="1BB9FA30">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应急状态中止恢复措施</w:t>
            </w:r>
          </w:p>
        </w:tc>
        <w:tc>
          <w:tcPr>
            <w:tcW w:w="3618" w:type="pct"/>
            <w:noWrap w:val="0"/>
            <w:vAlign w:val="center"/>
          </w:tcPr>
          <w:p w14:paraId="7D7C184B">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事故现场：规定应急状态终止秩序；事故现场善后处理，恢复生产措施。临近地区：解除事故警戒，公众返回和善后恢复措施。</w:t>
            </w:r>
          </w:p>
        </w:tc>
      </w:tr>
      <w:tr w14:paraId="630276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20E311A8">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11</w:t>
            </w:r>
          </w:p>
        </w:tc>
        <w:tc>
          <w:tcPr>
            <w:tcW w:w="1054" w:type="pct"/>
            <w:noWrap w:val="0"/>
            <w:vAlign w:val="center"/>
          </w:tcPr>
          <w:p w14:paraId="51FBA853">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人员培训与演习</w:t>
            </w:r>
          </w:p>
        </w:tc>
        <w:tc>
          <w:tcPr>
            <w:tcW w:w="3618" w:type="pct"/>
            <w:noWrap w:val="0"/>
            <w:vAlign w:val="center"/>
          </w:tcPr>
          <w:p w14:paraId="410D55FA">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应急计划制订后，平时安排事故处理人员进行相关知识培训并进行事故应急处理演习；对工厂工人进行安全卫生教育。</w:t>
            </w:r>
          </w:p>
        </w:tc>
      </w:tr>
      <w:tr w14:paraId="7ED00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06B3A1CD">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12</w:t>
            </w:r>
          </w:p>
        </w:tc>
        <w:tc>
          <w:tcPr>
            <w:tcW w:w="1054" w:type="pct"/>
            <w:noWrap w:val="0"/>
            <w:vAlign w:val="center"/>
          </w:tcPr>
          <w:p w14:paraId="59D198EE">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公众教育信息发布</w:t>
            </w:r>
          </w:p>
        </w:tc>
        <w:tc>
          <w:tcPr>
            <w:tcW w:w="3618" w:type="pct"/>
            <w:noWrap w:val="0"/>
            <w:vAlign w:val="center"/>
          </w:tcPr>
          <w:p w14:paraId="2D79BB78">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对项目临近地区公众开展环境风险事故预防教育，应急知识培训并定期发布相关信息。</w:t>
            </w:r>
          </w:p>
        </w:tc>
      </w:tr>
      <w:tr w14:paraId="42E3FF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5A01C145">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13</w:t>
            </w:r>
          </w:p>
        </w:tc>
        <w:tc>
          <w:tcPr>
            <w:tcW w:w="1054" w:type="pct"/>
            <w:noWrap w:val="0"/>
            <w:vAlign w:val="center"/>
          </w:tcPr>
          <w:p w14:paraId="5D12E8D2">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记录和报告</w:t>
            </w:r>
          </w:p>
        </w:tc>
        <w:tc>
          <w:tcPr>
            <w:tcW w:w="3618" w:type="pct"/>
            <w:noWrap w:val="0"/>
            <w:vAlign w:val="center"/>
          </w:tcPr>
          <w:p w14:paraId="21112990">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设立应急事故专门记录，建立档案和报告制度，设立专门部门负责管理。</w:t>
            </w:r>
          </w:p>
        </w:tc>
      </w:tr>
      <w:tr w14:paraId="31AB4C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26" w:type="pct"/>
            <w:noWrap w:val="0"/>
            <w:vAlign w:val="center"/>
          </w:tcPr>
          <w:p w14:paraId="7A27001E">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14</w:t>
            </w:r>
          </w:p>
        </w:tc>
        <w:tc>
          <w:tcPr>
            <w:tcW w:w="1054" w:type="pct"/>
            <w:noWrap w:val="0"/>
            <w:vAlign w:val="center"/>
          </w:tcPr>
          <w:p w14:paraId="248E2936">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附件</w:t>
            </w:r>
          </w:p>
        </w:tc>
        <w:tc>
          <w:tcPr>
            <w:tcW w:w="3618" w:type="pct"/>
            <w:noWrap w:val="0"/>
            <w:vAlign w:val="center"/>
          </w:tcPr>
          <w:p w14:paraId="588B6BED">
            <w:pPr>
              <w:spacing w:line="240" w:lineRule="auto"/>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准备并形成环境风险事故应急处理有关的附件材料。</w:t>
            </w:r>
          </w:p>
        </w:tc>
      </w:tr>
    </w:tbl>
    <w:p w14:paraId="2F8067DD">
      <w:pPr>
        <w:pStyle w:val="3"/>
        <w:pageBreakBefore w:val="0"/>
        <w:widowControl w:val="0"/>
        <w:numPr>
          <w:ilvl w:val="0"/>
          <w:numId w:val="0"/>
        </w:numPr>
        <w:kinsoku/>
        <w:topLinePunct w:val="0"/>
        <w:bidi w:val="0"/>
        <w:snapToGrid w:val="0"/>
        <w:spacing w:before="0" w:beforeLines="0" w:after="0" w:afterLines="0" w:line="360" w:lineRule="auto"/>
        <w:rPr>
          <w:rFonts w:hint="default" w:ascii="Times New Roman" w:hAnsi="Times New Roman" w:eastAsia="宋体" w:cs="Times New Roman"/>
          <w:color w:val="auto"/>
          <w:sz w:val="30"/>
          <w:szCs w:val="30"/>
          <w:highlight w:val="none"/>
          <w:u w:val="none" w:color="auto"/>
          <w:lang w:val="en-US" w:eastAsia="zh-CN"/>
        </w:rPr>
      </w:pPr>
      <w:bookmarkStart w:id="497" w:name="_Toc25775"/>
      <w:bookmarkStart w:id="498" w:name="_Toc5507"/>
      <w:r>
        <w:rPr>
          <w:rFonts w:hint="eastAsia" w:ascii="Times New Roman" w:hAnsi="Times New Roman" w:eastAsia="宋体" w:cs="Times New Roman"/>
          <w:color w:val="auto"/>
          <w:sz w:val="30"/>
          <w:szCs w:val="30"/>
          <w:highlight w:val="none"/>
          <w:u w:val="none" w:color="auto"/>
          <w:lang w:val="en-US" w:eastAsia="zh-CN"/>
        </w:rPr>
        <w:t>6.9结论</w:t>
      </w:r>
      <w:bookmarkEnd w:id="497"/>
      <w:bookmarkEnd w:id="498"/>
    </w:p>
    <w:p w14:paraId="7DBD738D">
      <w:pPr>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本项目涉及风险物质主要为PAM、PAC、氢氧化钙等，对照《建设项目环境风险评价技术导则》（HJ169-2018）附录B中对应临界量，项目所涉及的危险物质的Q值属</w:t>
      </w:r>
      <w:r>
        <w:rPr>
          <w:rFonts w:hint="eastAsia" w:ascii="宋体" w:hAnsi="宋体" w:eastAsia="宋体" w:cs="宋体"/>
          <w:sz w:val="24"/>
          <w:szCs w:val="24"/>
          <w:highlight w:val="none"/>
          <w:lang w:val="en-US" w:eastAsia="zh-CN"/>
        </w:rPr>
        <w:t>“</w:t>
      </w:r>
      <w:r>
        <w:rPr>
          <w:rFonts w:hint="default" w:ascii="Times New Roman" w:hAnsi="Times New Roman" w:cs="Times New Roman"/>
          <w:sz w:val="24"/>
          <w:szCs w:val="24"/>
          <w:highlight w:val="none"/>
          <w:lang w:val="en-US" w:eastAsia="zh-CN"/>
        </w:rPr>
        <w:t>Q˂1</w:t>
      </w:r>
      <w:r>
        <w:rPr>
          <w:rFonts w:hint="eastAsia" w:ascii="宋体" w:hAnsi="宋体" w:eastAsia="宋体" w:cs="宋体"/>
          <w:sz w:val="24"/>
          <w:szCs w:val="24"/>
          <w:highlight w:val="none"/>
          <w:lang w:val="en-US" w:eastAsia="zh-CN"/>
        </w:rPr>
        <w:t>”</w:t>
      </w:r>
      <w:r>
        <w:rPr>
          <w:rFonts w:hint="default" w:ascii="Times New Roman" w:hAnsi="Times New Roman" w:cs="Times New Roman"/>
          <w:sz w:val="24"/>
          <w:szCs w:val="24"/>
          <w:highlight w:val="none"/>
          <w:lang w:val="en-US" w:eastAsia="zh-CN"/>
        </w:rPr>
        <w:t>，本项目环境风险潜势分级为</w:t>
      </w:r>
      <w:r>
        <w:rPr>
          <w:rFonts w:hint="default" w:ascii="Times New Roman" w:hAnsi="Times New Roman" w:eastAsia="宋体" w:cs="Times New Roman"/>
          <w:sz w:val="24"/>
          <w:szCs w:val="24"/>
          <w:highlight w:val="none"/>
          <w:lang w:val="en-US" w:eastAsia="zh-CN"/>
        </w:rPr>
        <w:t>Ⅰ</w:t>
      </w:r>
      <w:r>
        <w:rPr>
          <w:rFonts w:hint="default" w:ascii="Times New Roman" w:hAnsi="Times New Roman" w:cs="Times New Roman"/>
          <w:sz w:val="24"/>
          <w:szCs w:val="24"/>
          <w:highlight w:val="none"/>
          <w:lang w:val="en-US" w:eastAsia="zh-CN"/>
        </w:rPr>
        <w:t>。</w:t>
      </w:r>
    </w:p>
    <w:p w14:paraId="54D53B30">
      <w:pPr>
        <w:rPr>
          <w:rFonts w:hint="eastAsia"/>
          <w:sz w:val="24"/>
          <w:szCs w:val="24"/>
          <w:highlight w:val="none"/>
          <w:lang w:val="en-US" w:eastAsia="zh-CN"/>
        </w:rPr>
      </w:pPr>
      <w:r>
        <w:rPr>
          <w:rFonts w:hint="eastAsia"/>
          <w:sz w:val="24"/>
          <w:szCs w:val="24"/>
          <w:highlight w:val="none"/>
          <w:lang w:val="en-US" w:eastAsia="zh-CN"/>
        </w:rPr>
        <w:t>项目建设存在环境风险，参照《建设项目环境风险评价技术导则》（HJ169-2018）为指导，通过风险识别、风险分析和后果预测，提出项目的风险防范措施和应急预案，为工程建设和环境管理提供技术决策依据，把环境风险尽可能降低至可接受水平，项目环境风险可防控，项目需严格落实安全评价报告、环评报告提出的安全防范措施、风险防范措施，项目建成投产后，建设单位需及时组织编制突发环境事件应急预案并备案，定期进行应急演练，可最大限度地降低环境风险，把事故对环境的影响降到最低程度。</w:t>
      </w:r>
    </w:p>
    <w:p w14:paraId="036289A9">
      <w:pPr>
        <w:rPr>
          <w:rFonts w:hint="eastAsia"/>
          <w:sz w:val="24"/>
          <w:szCs w:val="24"/>
          <w:highlight w:val="none"/>
          <w:lang w:val="en-US" w:eastAsia="zh-CN"/>
        </w:rPr>
      </w:pPr>
      <w:r>
        <w:rPr>
          <w:rFonts w:hint="eastAsia"/>
          <w:sz w:val="24"/>
          <w:szCs w:val="24"/>
          <w:highlight w:val="none"/>
          <w:lang w:val="en-US" w:eastAsia="zh-CN"/>
        </w:rPr>
        <w:t>总体而言，通过加强风险防范措施，本项目风险程度为可以接受水平。</w:t>
      </w:r>
    </w:p>
    <w:p w14:paraId="25EF8737">
      <w:pPr>
        <w:pStyle w:val="60"/>
        <w:keepNext w:val="0"/>
        <w:keepLines w:val="0"/>
        <w:pageBreakBefore w:val="0"/>
        <w:widowControl w:val="0"/>
        <w:kinsoku/>
        <w:wordWrap w:val="0"/>
        <w:overflowPunct/>
        <w:topLinePunct/>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lang w:eastAsia="zh-CN"/>
        </w:rPr>
      </w:pPr>
    </w:p>
    <w:p w14:paraId="4DC887D8">
      <w:pPr>
        <w:pageBreakBefore w:val="0"/>
        <w:widowControl w:val="0"/>
        <w:kinsoku/>
        <w:topLinePunct w:val="0"/>
        <w:bidi w:val="0"/>
        <w:snapToGrid w:val="0"/>
        <w:ind w:firstLine="422"/>
        <w:jc w:val="center"/>
        <w:rPr>
          <w:rFonts w:hint="default" w:ascii="Times New Roman" w:hAnsi="Times New Roman" w:eastAsia="宋体" w:cs="Times New Roman"/>
          <w:b/>
          <w:bCs/>
          <w:color w:val="auto"/>
          <w:sz w:val="21"/>
          <w:szCs w:val="21"/>
          <w:highlight w:val="none"/>
          <w:u w:val="none" w:color="auto"/>
        </w:rPr>
        <w:sectPr>
          <w:footerReference r:id="rId15" w:type="default"/>
          <w:pgSz w:w="11910" w:h="16840"/>
          <w:pgMar w:top="1417" w:right="1417" w:bottom="1417" w:left="1417" w:header="878" w:footer="1213" w:gutter="0"/>
          <w:pgBorders>
            <w:top w:val="none" w:sz="0" w:space="0"/>
            <w:left w:val="none" w:sz="0" w:space="0"/>
            <w:bottom w:val="none" w:sz="0" w:space="0"/>
            <w:right w:val="none" w:sz="0" w:space="0"/>
          </w:pgBorders>
          <w:pgNumType w:fmt="decimal"/>
          <w:cols w:space="720" w:num="1"/>
          <w:docGrid w:type="lines" w:linePitch="333" w:charSpace="0"/>
        </w:sectPr>
      </w:pPr>
    </w:p>
    <w:bookmarkEnd w:id="472"/>
    <w:p w14:paraId="2EF42C40">
      <w:pPr>
        <w:pStyle w:val="2"/>
        <w:keepNext w:val="0"/>
        <w:keepLines w:val="0"/>
        <w:numPr>
          <w:ilvl w:val="0"/>
          <w:numId w:val="0"/>
        </w:numPr>
        <w:topLinePunct w:val="0"/>
        <w:rPr>
          <w:rFonts w:hint="default" w:ascii="Times New Roman" w:hAnsi="Times New Roman" w:eastAsia="宋体" w:cs="Times New Roman"/>
          <w:color w:val="auto"/>
          <w:sz w:val="36"/>
          <w:szCs w:val="36"/>
          <w:highlight w:val="none"/>
          <w:u w:val="none" w:color="auto"/>
        </w:rPr>
      </w:pPr>
      <w:bookmarkStart w:id="499" w:name="_Toc19897"/>
      <w:bookmarkStart w:id="500" w:name="_Toc25539"/>
      <w:bookmarkStart w:id="501" w:name="_Toc27785"/>
      <w:bookmarkStart w:id="502" w:name="_Toc10852"/>
      <w:bookmarkStart w:id="503" w:name="_Toc28637"/>
      <w:bookmarkStart w:id="504" w:name="_Toc10173"/>
      <w:bookmarkStart w:id="505" w:name="_Toc23224"/>
      <w:bookmarkStart w:id="506" w:name="_Toc12417"/>
      <w:bookmarkStart w:id="507" w:name="_Toc30246"/>
      <w:bookmarkStart w:id="508" w:name="_Toc23044"/>
      <w:bookmarkStart w:id="509" w:name="_Toc17070"/>
      <w:bookmarkStart w:id="510" w:name="_Toc28612"/>
      <w:bookmarkStart w:id="511" w:name="_Toc32243"/>
      <w:bookmarkStart w:id="512" w:name="_Toc7795"/>
      <w:bookmarkStart w:id="513" w:name="_Toc21518"/>
      <w:r>
        <w:rPr>
          <w:rFonts w:hint="eastAsia" w:cs="Times New Roman"/>
          <w:color w:val="auto"/>
          <w:sz w:val="36"/>
          <w:szCs w:val="36"/>
          <w:highlight w:val="none"/>
          <w:u w:val="none" w:color="auto"/>
          <w:lang w:val="en-US" w:eastAsia="zh-CN"/>
        </w:rPr>
        <w:t>7</w:t>
      </w:r>
      <w:r>
        <w:rPr>
          <w:rFonts w:hint="default" w:ascii="Times New Roman" w:hAnsi="Times New Roman" w:eastAsia="宋体" w:cs="Times New Roman"/>
          <w:color w:val="auto"/>
          <w:sz w:val="36"/>
          <w:szCs w:val="36"/>
          <w:highlight w:val="none"/>
          <w:u w:val="none" w:color="auto"/>
        </w:rPr>
        <w:t xml:space="preserve"> 环境保护措施及其经济技术可行性分析</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p w14:paraId="0E169972">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514" w:name="_Toc15522"/>
      <w:bookmarkStart w:id="515" w:name="_Toc3570"/>
      <w:bookmarkStart w:id="516" w:name="_Toc8570"/>
      <w:bookmarkStart w:id="517" w:name="_Toc28164"/>
      <w:bookmarkStart w:id="518" w:name="_Toc4862"/>
      <w:bookmarkStart w:id="519" w:name="_Toc26015"/>
      <w:bookmarkStart w:id="520" w:name="_Toc10912"/>
      <w:bookmarkStart w:id="521" w:name="_Toc13215"/>
      <w:bookmarkStart w:id="522" w:name="_Toc15326"/>
      <w:bookmarkStart w:id="523" w:name="_Toc23493"/>
      <w:bookmarkStart w:id="524" w:name="_Toc27796"/>
      <w:bookmarkStart w:id="525" w:name="_Toc2921"/>
      <w:bookmarkStart w:id="526" w:name="_Toc23988"/>
      <w:bookmarkStart w:id="527" w:name="_Toc13452"/>
      <w:bookmarkStart w:id="528" w:name="_Toc9244"/>
      <w:r>
        <w:rPr>
          <w:rFonts w:hint="eastAsia" w:ascii="Times New Roman" w:hAnsi="Times New Roman" w:eastAsia="宋体" w:cs="Times New Roman"/>
          <w:color w:val="auto"/>
          <w:sz w:val="30"/>
          <w:szCs w:val="30"/>
          <w:highlight w:val="none"/>
          <w:u w:val="none" w:color="auto"/>
          <w:lang w:val="en-US" w:eastAsia="zh-CN"/>
        </w:rPr>
        <w:t>7</w:t>
      </w:r>
      <w:r>
        <w:rPr>
          <w:rFonts w:hint="default" w:ascii="Times New Roman" w:hAnsi="Times New Roman" w:eastAsia="宋体" w:cs="Times New Roman"/>
          <w:color w:val="auto"/>
          <w:sz w:val="30"/>
          <w:szCs w:val="30"/>
          <w:highlight w:val="none"/>
          <w:u w:val="none" w:color="auto"/>
          <w:lang w:val="en-US"/>
        </w:rPr>
        <w:t>.</w:t>
      </w:r>
      <w:r>
        <w:rPr>
          <w:rFonts w:hint="eastAsia" w:ascii="Times New Roman" w:hAnsi="Times New Roman" w:eastAsia="宋体" w:cs="Times New Roman"/>
          <w:color w:val="auto"/>
          <w:sz w:val="30"/>
          <w:szCs w:val="30"/>
          <w:highlight w:val="none"/>
          <w:u w:val="none" w:color="auto"/>
          <w:lang w:val="en-US" w:eastAsia="zh-CN"/>
        </w:rPr>
        <w:t>1施工期</w:t>
      </w:r>
      <w:r>
        <w:rPr>
          <w:rFonts w:hint="default" w:ascii="Times New Roman" w:hAnsi="Times New Roman" w:eastAsia="宋体" w:cs="Times New Roman"/>
          <w:color w:val="auto"/>
          <w:sz w:val="30"/>
          <w:szCs w:val="30"/>
          <w:highlight w:val="none"/>
          <w:u w:val="none" w:color="auto"/>
          <w:lang w:val="en-US"/>
        </w:rPr>
        <w:t>污染防治措施及可行性分析</w:t>
      </w:r>
      <w:bookmarkEnd w:id="514"/>
      <w:bookmarkEnd w:id="515"/>
      <w:bookmarkEnd w:id="516"/>
      <w:bookmarkEnd w:id="517"/>
      <w:bookmarkEnd w:id="518"/>
      <w:bookmarkEnd w:id="519"/>
      <w:bookmarkEnd w:id="520"/>
    </w:p>
    <w:bookmarkEnd w:id="521"/>
    <w:bookmarkEnd w:id="522"/>
    <w:bookmarkEnd w:id="523"/>
    <w:bookmarkEnd w:id="524"/>
    <w:bookmarkEnd w:id="525"/>
    <w:bookmarkEnd w:id="526"/>
    <w:bookmarkEnd w:id="527"/>
    <w:bookmarkEnd w:id="528"/>
    <w:p w14:paraId="4BF247BC">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bookmarkStart w:id="529" w:name="_Toc27124783"/>
      <w:r>
        <w:rPr>
          <w:rFonts w:hint="eastAsia" w:ascii="Times New Roman" w:hAnsi="Times New Roman" w:eastAsia="宋体" w:cs="Times New Roman"/>
          <w:color w:val="auto"/>
          <w:sz w:val="28"/>
          <w:szCs w:val="28"/>
          <w:highlight w:val="none"/>
          <w:u w:val="none" w:color="auto"/>
          <w:lang w:val="en-US" w:eastAsia="zh-CN"/>
        </w:rPr>
        <w:t>7.1.1大气污染防治与控制措施</w:t>
      </w:r>
    </w:p>
    <w:p w14:paraId="78264EDC">
      <w:pPr>
        <w:bidi w:val="0"/>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（1）施工扬尘</w:t>
      </w:r>
    </w:p>
    <w:p w14:paraId="676D376B">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施工期扬尘的防治，采取的措施如下：</w:t>
      </w:r>
    </w:p>
    <w:p w14:paraId="4D619D0F">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①加强施工过程的环境管理，合理安排施工工期，对露天开挖区进行分区开挖；实行清洁生产、文明施工；搞好环保宣传和教育工作，努力增强施工人员的环保意识，杜绝粗放式施工。</w:t>
      </w:r>
    </w:p>
    <w:p w14:paraId="0D99B36F">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②建筑材料运输应采取遮盖运输方式，加强道路洒水抑尘和车辆冲洗等措施；在废渣运输装卸、堆存、运输时采取遮挡、围栏、防尘网、密封运输等扬尘防治措施；废渣运输的车辆必须有塑料内衬和帆布盖顶，进行遮挡或密封运输；施工场地设置洗车平台，所有出场车辆均按要求进行清洗后方能行驶出治理区，避免将粉尘带出治理区对沿途造成二次污染。</w:t>
      </w:r>
    </w:p>
    <w:p w14:paraId="7E9E4043">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③取土场施工现场要设围栏或部分围栏，缩小施工现场扬尘扩散范围。</w:t>
      </w:r>
    </w:p>
    <w:p w14:paraId="1C506395">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④废渣或土石方开挖时，对作业面和土堆适当喷水，使其保持一定湿度，以减少扬尘量。而且开挖的泥土和建筑垃圾要及时运走，集中收集后填埋至废渣填埋场内，以防长期堆放表面干燥而起尘或被雨水冲刷。</w:t>
      </w:r>
    </w:p>
    <w:p w14:paraId="15C2E45B">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⑤运输车辆应完好，不应装载过满，并尽量采取遮盖、密闭措施，减少沿途</w:t>
      </w:r>
      <w:r>
        <w:rPr>
          <w:rFonts w:hint="eastAsia" w:cs="Times New Roman"/>
          <w:sz w:val="24"/>
          <w:szCs w:val="24"/>
          <w:highlight w:val="none"/>
          <w:u w:val="none"/>
          <w:lang w:val="en-US" w:eastAsia="zh-CN"/>
        </w:rPr>
        <w:t>抛洒</w:t>
      </w:r>
      <w:r>
        <w:rPr>
          <w:rFonts w:hint="default" w:ascii="Times New Roman" w:hAnsi="Times New Roman" w:cs="Times New Roman"/>
          <w:sz w:val="24"/>
          <w:szCs w:val="24"/>
          <w:highlight w:val="none"/>
          <w:u w:val="none"/>
          <w:lang w:val="en-US" w:eastAsia="zh-CN"/>
        </w:rPr>
        <w:t>，并及时清扫散落在地面上的泥土和建筑材料，冲洗轮胎，定时洒水，以减少运输过程中的扬尘。</w:t>
      </w:r>
    </w:p>
    <w:p w14:paraId="0621088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⑥采用商品混凝土，需要必须进行现场搅拌砂浆、混凝土时，应尽量做到不洒、不漏、不剩、不倒；混凝土搅拌应设置在棚内，混凝土搅拌时要有喷雾降尘措施。</w:t>
      </w:r>
    </w:p>
    <w:p w14:paraId="32AA55FD">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⑦施工期出场车辆宜经过草垫帘或浅水坑清掉裹胎烂泥，减少尘土飞扬对沿途的影响。</w:t>
      </w:r>
    </w:p>
    <w:p w14:paraId="28E64E5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⑧当风速过大时，应停止施工作业，并对堆存的水泥等建筑材料采取遮盖措施。</w:t>
      </w:r>
    </w:p>
    <w:p w14:paraId="7CBF20E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⑨施工过程应及时清理堆放在场地上的弃土，现场只存放回填土方、弃土，土石方挖掘完成后，应及时运送到需要填方的低洼处，减轻施工水土流失，防止二次扬尘。干燥季节应及时对现场存放的土方洒水，以保持其表面湿润，减少扬尘产生量。</w:t>
      </w:r>
    </w:p>
    <w:p w14:paraId="6EC587D3">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⑩土石方堆放应集中，裸露的场地和集中堆放的土石方应采取覆盖、固化或绿化等措施。</w:t>
      </w:r>
    </w:p>
    <w:p w14:paraId="23235BEE">
      <w:pPr>
        <w:bidi w:val="0"/>
        <w:rPr>
          <w:rFonts w:hint="default" w:ascii="Times New Roman" w:hAnsi="Times New Roman" w:cs="Times New Roman"/>
          <w:sz w:val="24"/>
          <w:szCs w:val="24"/>
          <w:highlight w:val="none"/>
          <w:u w:val="none"/>
          <w:lang w:val="en-US" w:eastAsia="zh-CN"/>
        </w:rPr>
      </w:pPr>
      <w:r>
        <w:rPr>
          <w:rFonts w:hint="default" w:ascii="Times New Roman" w:hAnsi="Times New Roman" w:eastAsia="宋体" w:cs="Times New Roman"/>
          <w:sz w:val="24"/>
          <w:szCs w:val="24"/>
          <w:highlight w:val="none"/>
          <w:u w:val="none"/>
          <w:lang w:val="en-US" w:eastAsia="zh-CN"/>
        </w:rPr>
        <w:t>⑪</w:t>
      </w:r>
      <w:r>
        <w:rPr>
          <w:rFonts w:hint="default" w:ascii="Times New Roman" w:hAnsi="Times New Roman" w:cs="Times New Roman"/>
          <w:sz w:val="24"/>
          <w:szCs w:val="24"/>
          <w:highlight w:val="none"/>
          <w:u w:val="none"/>
          <w:lang w:val="en-US" w:eastAsia="zh-CN"/>
        </w:rPr>
        <w:t>尽量选取对周围环境影响较小的运输路线，并且限制施工区内运输车辆的速度，将卡车在施工场地的车速减少到10km/h，其他区域减少至30km/h以下。</w:t>
      </w:r>
    </w:p>
    <w:p w14:paraId="73889246">
      <w:pPr>
        <w:bidi w:val="0"/>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（2）施工机械及汽车尾气</w:t>
      </w:r>
    </w:p>
    <w:p w14:paraId="1089E5EB">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施工期间运输和施工机械废气污染防治措施：</w:t>
      </w:r>
    </w:p>
    <w:p w14:paraId="07161DF7">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对清挖机械及运输车辆产生的尾气，建设单位应加强大型施工机械和车辆的管理，执行定期检查维护制度，清挖场地内所有燃油机械和车辆尾气排放应执行《汽车大气污染物排放标准》（GB14761.1-93），施工机械使用无铅汽油等优质燃料，严格执行《在用汽车报废标准》，推行强制更新报废制度。特别是对发动机耗油多、效率低、排放尾气严重超标的老旧车辆，应予更新。</w:t>
      </w:r>
    </w:p>
    <w:p w14:paraId="6C4670CC">
      <w:pPr>
        <w:bidi w:val="0"/>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（3）废渣运输扬尘防治措施</w:t>
      </w:r>
    </w:p>
    <w:p w14:paraId="40ED0C92">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场内道路为泥结石路面，扬尘产生量较少；卡车运输时加盖苫布，防止固体废物的洒落，同时对运输道路定期清理，保持路面干净；对道路进行定期洒水保湿，保持运输路面一定的湿度；车辆进出场地进行冲洗，可有效避免运输过程中粉尘的产生。通过以上措施可有效避免或减少扬尘的产生，项目运输不会对周边大气环境产生较大影响。</w:t>
      </w:r>
    </w:p>
    <w:p w14:paraId="0BCCB057">
      <w:pPr>
        <w:bidi w:val="0"/>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（4）填埋扬尘防治措施</w:t>
      </w:r>
    </w:p>
    <w:p w14:paraId="2CC7021F">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本工程采取了分单元作业的方式，在完成填埋时将采取覆土种植植被的处理方式。采用覆土种植方法可有效降低处置场扬尘量，同时，可大大降低处置场运行期间的填埋物的裸露面，由于填埋物裸露面积的减小，将会有效减小处置场扬尘量，采用洒水降尘的方式，保持废渣填埋场表面有一定的湿度，可降低40%~70%的扬尘量，对抑制灰场扬尘效果明显。</w:t>
      </w:r>
    </w:p>
    <w:p w14:paraId="169E5274">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为控制堆填过程中产生扬尘污染，对裸露在外的废渣采取压实及覆膜等措施。对已完成摊铺碾压的作业区需采用0.1mm厚无纺土工布，进行临时覆盖，为了避免临时覆盖物被风掀起，在临时覆盖膜表面布置混凝土重力压块。混凝土重力压块采用网格法进行布置，每点布置两块混凝土重力压块，以达到控制扬尘的目的。为防止雨天雨水与未最终覆盖的钻井废弃物泥饼接触，通过堆体表面渗透进入堆体内增加渗滤液产量，同时起到雨污分流的目的，作业面还要做好雨期覆盖。</w:t>
      </w:r>
    </w:p>
    <w:p w14:paraId="5DFD5622">
      <w:pPr>
        <w:numPr>
          <w:ilvl w:val="0"/>
          <w:numId w:val="0"/>
        </w:numPr>
        <w:bidi w:val="0"/>
        <w:ind w:leftChars="200"/>
        <w:rPr>
          <w:rFonts w:hint="default" w:ascii="Times New Roman" w:hAnsi="Times New Roman" w:cs="Times New Roman"/>
          <w:b/>
          <w:bCs/>
          <w:sz w:val="24"/>
          <w:szCs w:val="24"/>
          <w:u w:val="none"/>
          <w:lang w:val="en-US" w:eastAsia="zh-CN"/>
        </w:rPr>
      </w:pPr>
      <w:r>
        <w:rPr>
          <w:rFonts w:hint="default" w:ascii="Times New Roman" w:hAnsi="Times New Roman" w:cs="Times New Roman"/>
          <w:b/>
          <w:bCs/>
          <w:sz w:val="24"/>
          <w:szCs w:val="24"/>
          <w:u w:val="none"/>
          <w:lang w:val="en-US" w:eastAsia="zh-CN"/>
        </w:rPr>
        <w:t>（5）取土场扬尘防治措施</w:t>
      </w:r>
    </w:p>
    <w:p w14:paraId="3857DEF7">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客土等运输应采取遮盖运输方式，加强道路洒水抑尘和车辆冲洗等措施；取土场开挖时，对作业面和土堆适当喷水，使其保持一定湿度，以减少扬尘量。而且开挖的泥土要及时运走，以防长期堆放表面干燥而起尘或被雨水冲刷；当风速过大时，应停止施工作业，并对取土场采取遮盖措施；土石方堆放应集中，裸露的场地和集中堆放的土石方应采取覆盖、固化或绿化等措施。</w:t>
      </w:r>
    </w:p>
    <w:p w14:paraId="454EE0A0">
      <w:pPr>
        <w:numPr>
          <w:ilvl w:val="0"/>
          <w:numId w:val="0"/>
        </w:numPr>
        <w:bidi w:val="0"/>
        <w:ind w:leftChars="200"/>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（6）可行性分析</w:t>
      </w:r>
    </w:p>
    <w:p w14:paraId="3E44D1EC">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上述保护措施是建设项目常用的大气降尘等保护措施，能有效减少施工对大气环境的影响，被实践检验为行之有效的生态保护措施。只要做到“六个不开工”和实现“六个100%”。“六个不开工”即审批手续不全不开工、围挡不合要求不开工、地面硬化不到位不开工、冲洗排放设备不到位不开工、保洁人员不到位不开工。“六个100%”即工地内非施工区裸土覆盖率100%、施工现场围挡率100%、工地路面硬化率100%、拆除工地（非爆破拆除）拆除与建筑垃圾装载湿式作业法100%、工程车辆驶离工地车轮冲洗率100%、暂不建设场地绿化率100%。可最大程度地减少对敏感点和周边大气环境的影响。</w:t>
      </w:r>
    </w:p>
    <w:p w14:paraId="22E82646">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7.1.2水污染防治措施</w:t>
      </w:r>
    </w:p>
    <w:p w14:paraId="0B38DECC">
      <w:pPr>
        <w:bidi w:val="0"/>
        <w:rPr>
          <w:rFonts w:hint="eastAsia"/>
          <w:sz w:val="24"/>
          <w:szCs w:val="24"/>
          <w:highlight w:val="none"/>
          <w:u w:val="none"/>
          <w:lang w:val="en-US" w:eastAsia="zh-CN"/>
        </w:rPr>
      </w:pPr>
      <w:r>
        <w:rPr>
          <w:rFonts w:hint="eastAsia"/>
          <w:sz w:val="24"/>
          <w:szCs w:val="24"/>
          <w:highlight w:val="none"/>
          <w:u w:val="none"/>
          <w:lang w:val="en-US" w:eastAsia="zh-CN"/>
        </w:rPr>
        <w:t>本项目施工期废水主要是清挖过程中雨季产生的淋溶水、渗滤液、车辆冲洗废水以及生活污水。</w:t>
      </w:r>
    </w:p>
    <w:p w14:paraId="153371AB">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（1）清挖过程中雨季产生的淋溶水</w:t>
      </w:r>
    </w:p>
    <w:p w14:paraId="3708307B">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清挖过程中雨季产生的淋溶水采用一套重金属一体化设备进行处理达标后送至湖南黄金天岳矿业有限公司垂拱洞尾矿库废水处理站进行处理后外排。场地清挖过程中雨季产生的淋溶水主要污染物为重金属离子，拟采用的重金属一体化设备主要工艺为石灰-铝盐两级絮凝沉淀+过滤，重金属离子去除率达到60%以上，经处理后满足</w:t>
      </w:r>
      <w:r>
        <w:rPr>
          <w:rFonts w:hint="eastAsia"/>
          <w:sz w:val="24"/>
          <w:szCs w:val="24"/>
          <w:highlight w:val="none"/>
          <w:lang w:val="en-US" w:eastAsia="zh-CN"/>
        </w:rPr>
        <w:t>《污水综合排放标准》（GB8978-1996）</w:t>
      </w:r>
      <w:r>
        <w:rPr>
          <w:rFonts w:hint="eastAsia"/>
          <w:sz w:val="24"/>
          <w:szCs w:val="24"/>
          <w:highlight w:val="none"/>
          <w:u w:val="none"/>
          <w:lang w:val="en-US" w:eastAsia="zh-CN"/>
        </w:rPr>
        <w:t>中表1第一类污染物最高允许排放浓度及表4第二类污染物最高允许排放浓度一级标准。场地清挖过程中雨季产生的淋溶水污染防治措施可行。</w:t>
      </w:r>
    </w:p>
    <w:p w14:paraId="0EBF5C1F">
      <w:pPr>
        <w:keepNext w:val="0"/>
        <w:keepLines w:val="0"/>
        <w:pageBreakBefore w:val="0"/>
        <w:widowControl w:val="0"/>
        <w:kinsoku/>
        <w:wordWrap/>
        <w:overflowPunct/>
        <w:topLinePunct w:val="0"/>
        <w:autoSpaceDE/>
        <w:autoSpaceDN/>
        <w:bidi w:val="0"/>
        <w:adjustRightInd/>
        <w:snapToGrid/>
        <w:textAlignment w:val="auto"/>
        <w:rPr>
          <w:rFonts w:hint="default"/>
          <w:sz w:val="24"/>
          <w:szCs w:val="24"/>
          <w:highlight w:val="none"/>
          <w:u w:val="none"/>
          <w:lang w:val="en-US" w:eastAsia="zh-CN"/>
        </w:rPr>
      </w:pPr>
      <w:r>
        <w:rPr>
          <w:rFonts w:hint="eastAsia"/>
          <w:sz w:val="24"/>
          <w:szCs w:val="24"/>
          <w:highlight w:val="none"/>
          <w:u w:val="none"/>
          <w:lang w:val="en-US" w:eastAsia="zh-CN"/>
        </w:rPr>
        <w:t>（2）渗滤液</w:t>
      </w:r>
    </w:p>
    <w:p w14:paraId="1E6522BE">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本项目施工期填埋场产生的渗滤液经重金属一体化污水处理装置处理后由槽罐车托运至湖南黄金天岳矿业有限公司垂拱洞尾矿库废水处理站进行处理。</w:t>
      </w:r>
    </w:p>
    <w:p w14:paraId="73A712B9">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lang w:val="en-US" w:eastAsia="zh-CN"/>
        </w:rPr>
      </w:pPr>
      <w:r>
        <w:rPr>
          <w:rFonts w:hint="eastAsia"/>
          <w:sz w:val="24"/>
          <w:szCs w:val="24"/>
          <w:highlight w:val="none"/>
          <w:u w:val="none"/>
          <w:lang w:val="en-US" w:eastAsia="zh-CN"/>
        </w:rPr>
        <w:t>（3）车辆冲洗废水</w:t>
      </w:r>
    </w:p>
    <w:p w14:paraId="1810506A">
      <w:pPr>
        <w:bidi w:val="0"/>
        <w:rPr>
          <w:rFonts w:hint="eastAsia"/>
          <w:sz w:val="24"/>
          <w:szCs w:val="24"/>
          <w:highlight w:val="none"/>
          <w:u w:val="none"/>
          <w:lang w:val="en-US" w:eastAsia="zh-CN"/>
        </w:rPr>
      </w:pPr>
      <w:r>
        <w:rPr>
          <w:rFonts w:hint="eastAsia"/>
          <w:sz w:val="24"/>
          <w:szCs w:val="24"/>
          <w:highlight w:val="none"/>
          <w:u w:val="none"/>
          <w:lang w:val="en-US" w:eastAsia="zh-CN"/>
        </w:rPr>
        <w:t>在项目地进出口设置洗车平台，洗车废水采用集水池收集，经沉淀池处理后用于洗车及洒水降尘，不外排。</w:t>
      </w:r>
    </w:p>
    <w:p w14:paraId="7EE68937">
      <w:pPr>
        <w:bidi w:val="0"/>
        <w:rPr>
          <w:rFonts w:hint="eastAsia"/>
          <w:sz w:val="24"/>
          <w:szCs w:val="24"/>
          <w:highlight w:val="none"/>
          <w:u w:val="none"/>
          <w:lang w:val="en-US" w:eastAsia="zh-CN"/>
        </w:rPr>
      </w:pPr>
      <w:r>
        <w:rPr>
          <w:rFonts w:hint="eastAsia"/>
          <w:sz w:val="24"/>
          <w:szCs w:val="24"/>
          <w:highlight w:val="none"/>
          <w:u w:val="none"/>
          <w:lang w:val="en-US" w:eastAsia="zh-CN"/>
        </w:rPr>
        <w:t>（4）生活废水</w:t>
      </w:r>
    </w:p>
    <w:p w14:paraId="286310C5">
      <w:pPr>
        <w:bidi w:val="0"/>
        <w:rPr>
          <w:rFonts w:hint="eastAsia"/>
          <w:sz w:val="24"/>
          <w:szCs w:val="24"/>
          <w:highlight w:val="none"/>
          <w:u w:val="none"/>
          <w:lang w:val="en-US" w:eastAsia="zh-CN"/>
        </w:rPr>
      </w:pPr>
      <w:r>
        <w:rPr>
          <w:rFonts w:hint="eastAsia"/>
          <w:sz w:val="24"/>
          <w:szCs w:val="24"/>
          <w:highlight w:val="none"/>
          <w:u w:val="none"/>
          <w:lang w:val="en-US" w:eastAsia="zh-CN"/>
        </w:rPr>
        <w:t>生活污水经化粪池处理后用于农肥，不外排。本项目生活废水产生量较少，成分简单，污染防治措施可行。</w:t>
      </w:r>
    </w:p>
    <w:p w14:paraId="18351D0F">
      <w:pPr>
        <w:bidi w:val="0"/>
        <w:rPr>
          <w:rFonts w:hint="eastAsia"/>
          <w:sz w:val="24"/>
          <w:szCs w:val="24"/>
          <w:highlight w:val="none"/>
          <w:u w:val="none"/>
          <w:lang w:val="en-US" w:eastAsia="zh-CN"/>
        </w:rPr>
      </w:pPr>
      <w:r>
        <w:rPr>
          <w:rFonts w:hint="eastAsia"/>
          <w:sz w:val="24"/>
          <w:szCs w:val="24"/>
          <w:highlight w:val="none"/>
          <w:u w:val="none"/>
          <w:lang w:val="en-US" w:eastAsia="zh-CN"/>
        </w:rPr>
        <w:t>因此，本项目废水处理措施可行。</w:t>
      </w:r>
    </w:p>
    <w:p w14:paraId="09006B26">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7.1.3声环境保护措施</w:t>
      </w:r>
    </w:p>
    <w:p w14:paraId="5F6DE67B">
      <w:pPr>
        <w:bidi w:val="0"/>
        <w:rPr>
          <w:rFonts w:hint="eastAsia"/>
          <w:sz w:val="24"/>
          <w:szCs w:val="24"/>
          <w:highlight w:val="none"/>
          <w:lang w:val="en-US" w:eastAsia="zh-CN"/>
        </w:rPr>
      </w:pPr>
      <w:r>
        <w:rPr>
          <w:rFonts w:hint="eastAsia"/>
          <w:sz w:val="24"/>
          <w:szCs w:val="24"/>
          <w:highlight w:val="none"/>
          <w:lang w:val="en-US" w:eastAsia="zh-CN"/>
        </w:rPr>
        <w:t>建议施工方采取以下措施以避免或减缓此不利影响：</w:t>
      </w:r>
    </w:p>
    <w:p w14:paraId="0BFB7F27">
      <w:pPr>
        <w:bidi w:val="0"/>
        <w:rPr>
          <w:rFonts w:hint="eastAsia"/>
          <w:sz w:val="24"/>
          <w:szCs w:val="24"/>
          <w:highlight w:val="none"/>
          <w:lang w:val="en-US" w:eastAsia="zh-CN"/>
        </w:rPr>
      </w:pPr>
      <w:r>
        <w:rPr>
          <w:rFonts w:hint="eastAsia"/>
          <w:sz w:val="24"/>
          <w:szCs w:val="24"/>
          <w:highlight w:val="none"/>
          <w:lang w:val="en-US" w:eastAsia="zh-CN"/>
        </w:rPr>
        <w:t>（1）合理安排施工时间，制订科学的施工计划，应尽可能避免大量高噪声设备同时使用，将噪声级较大的施工活动尽量安排在白天，夜间（22:00-06:00）禁止施工。</w:t>
      </w:r>
    </w:p>
    <w:p w14:paraId="52B488AD">
      <w:pPr>
        <w:bidi w:val="0"/>
        <w:rPr>
          <w:rFonts w:hint="eastAsia"/>
          <w:sz w:val="24"/>
          <w:szCs w:val="24"/>
          <w:highlight w:val="none"/>
          <w:lang w:val="en-US" w:eastAsia="zh-CN"/>
        </w:rPr>
      </w:pPr>
      <w:r>
        <w:rPr>
          <w:rFonts w:hint="eastAsia"/>
          <w:sz w:val="24"/>
          <w:szCs w:val="24"/>
          <w:highlight w:val="none"/>
          <w:lang w:val="en-US" w:eastAsia="zh-CN"/>
        </w:rPr>
        <w:t>（2）合理布置施工布局，避免在同一地点安排大量动力机械设备，以避免局部声级过高。</w:t>
      </w:r>
    </w:p>
    <w:p w14:paraId="137686C9">
      <w:pPr>
        <w:bidi w:val="0"/>
        <w:rPr>
          <w:rFonts w:hint="eastAsia"/>
          <w:sz w:val="24"/>
          <w:szCs w:val="24"/>
          <w:highlight w:val="none"/>
          <w:lang w:val="en-US" w:eastAsia="zh-CN"/>
        </w:rPr>
      </w:pPr>
      <w:r>
        <w:rPr>
          <w:rFonts w:hint="eastAsia"/>
          <w:sz w:val="24"/>
          <w:szCs w:val="24"/>
          <w:highlight w:val="none"/>
          <w:lang w:val="en-US" w:eastAsia="zh-CN"/>
        </w:rPr>
        <w:t>（3）降低设备声级。设备选型上尽量采用低噪声设备，如以液压机械代替燃油机械，振捣器采用高频振捣器等。固定机械设备与挖土、运土机械，如挖土机、推土机等，可以通过排气管消声器和隔离发动机振动部件的方法降低噪声。由于机械设备会由于松动部件的振动或消声器的损坏而增加其工作时的声级，因此对动力机械设备应进行定期的维修、养护。闲置不用的设备应立即关闭，运输车辆进入现场应减速，并禁止鸣笛。</w:t>
      </w:r>
    </w:p>
    <w:p w14:paraId="44D7A9C3">
      <w:pPr>
        <w:bidi w:val="0"/>
        <w:rPr>
          <w:rFonts w:hint="eastAsia"/>
          <w:sz w:val="24"/>
          <w:szCs w:val="24"/>
          <w:highlight w:val="none"/>
          <w:lang w:val="en-US" w:eastAsia="zh-CN"/>
        </w:rPr>
      </w:pPr>
      <w:r>
        <w:rPr>
          <w:rFonts w:hint="eastAsia"/>
          <w:sz w:val="24"/>
          <w:szCs w:val="24"/>
          <w:highlight w:val="none"/>
          <w:lang w:val="en-US" w:eastAsia="zh-CN"/>
        </w:rPr>
        <w:t>（4）降低人为噪声。</w:t>
      </w:r>
    </w:p>
    <w:p w14:paraId="4C9AA8F6">
      <w:pPr>
        <w:bidi w:val="0"/>
        <w:rPr>
          <w:rFonts w:hint="eastAsia"/>
          <w:sz w:val="24"/>
          <w:szCs w:val="24"/>
          <w:highlight w:val="none"/>
          <w:lang w:val="en-US" w:eastAsia="zh-CN"/>
        </w:rPr>
      </w:pPr>
      <w:r>
        <w:rPr>
          <w:rFonts w:hint="eastAsia"/>
          <w:sz w:val="24"/>
          <w:szCs w:val="24"/>
          <w:highlight w:val="none"/>
          <w:lang w:val="en-US" w:eastAsia="zh-CN"/>
        </w:rPr>
        <w:t>（5）施工企业对施工噪声进行自律，文明施工，各类原料选择在白天运输、卸落，施工员工休息时尽量避免大声喧哗，避免因施工噪声产生纠纷。</w:t>
      </w:r>
    </w:p>
    <w:p w14:paraId="07211E68">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施工期环境影响为短期影响，施工结束后即可消除。但考虑施工期对周围环境的影响，要求建设单位在建设过程中必须认真遵守各项管理制度，落实本报告提出的防治措施及建议，做到文明施工、严格管理、缩短工期，力争将项目建设过程中对周围环境产生的影响降到最低限度。</w:t>
      </w:r>
    </w:p>
    <w:p w14:paraId="495E03EA">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lang w:val="en-US" w:eastAsia="zh-CN"/>
        </w:rPr>
      </w:pPr>
      <w:r>
        <w:rPr>
          <w:rFonts w:hint="eastAsia"/>
          <w:sz w:val="24"/>
          <w:szCs w:val="24"/>
          <w:highlight w:val="none"/>
          <w:lang w:val="en-US" w:eastAsia="zh-CN"/>
        </w:rPr>
        <w:t>上述施工期噪声控制措施均为噪声污染控制常见措施，技术成熟，可控性较强，措施可行。</w:t>
      </w:r>
    </w:p>
    <w:p w14:paraId="196D3A23">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7.1.4固废处理及处置措施</w:t>
      </w:r>
    </w:p>
    <w:p w14:paraId="79F830F9">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固废主要为生活垃圾、一般</w:t>
      </w:r>
      <w:r>
        <w:rPr>
          <w:rFonts w:hint="default" w:ascii="Times New Roman" w:hAnsi="Times New Roman" w:eastAsia="宋体" w:cs="Times New Roman"/>
          <w:sz w:val="24"/>
          <w:szCs w:val="24"/>
          <w:highlight w:val="none"/>
          <w:lang w:val="en-US" w:eastAsia="zh-CN"/>
        </w:rPr>
        <w:t>Ⅰ类</w:t>
      </w:r>
      <w:r>
        <w:rPr>
          <w:rFonts w:hint="default" w:ascii="Times New Roman" w:hAnsi="Times New Roman" w:cs="Times New Roman"/>
          <w:sz w:val="24"/>
          <w:szCs w:val="24"/>
          <w:highlight w:val="none"/>
          <w:lang w:val="en-US" w:eastAsia="zh-CN"/>
        </w:rPr>
        <w:t>及Ⅱ类固体废物（遗留废渣）、废渣填埋场建设产生的废防渗材料、废包装袋、建筑垃圾</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污水处理污泥</w:t>
      </w:r>
      <w:r>
        <w:rPr>
          <w:rFonts w:hint="eastAsia" w:cs="Times New Roman"/>
          <w:sz w:val="24"/>
          <w:szCs w:val="24"/>
          <w:highlight w:val="none"/>
          <w:lang w:val="en-US" w:eastAsia="zh-CN"/>
        </w:rPr>
        <w:t>及</w:t>
      </w:r>
      <w:r>
        <w:rPr>
          <w:rFonts w:hint="eastAsia" w:cs="Times New Roman"/>
          <w:sz w:val="24"/>
          <w:szCs w:val="24"/>
          <w:highlight w:val="none"/>
          <w:u w:val="none"/>
          <w:lang w:val="en-US" w:eastAsia="zh-CN"/>
        </w:rPr>
        <w:t>填埋区表土</w:t>
      </w:r>
      <w:r>
        <w:rPr>
          <w:rFonts w:hint="default" w:ascii="Times New Roman" w:hAnsi="Times New Roman" w:cs="Times New Roman"/>
          <w:sz w:val="24"/>
          <w:szCs w:val="24"/>
          <w:highlight w:val="none"/>
          <w:lang w:val="en-US" w:eastAsia="zh-CN"/>
        </w:rPr>
        <w:t>。</w:t>
      </w:r>
    </w:p>
    <w:p w14:paraId="43A60572">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7.1.4.1</w:t>
      </w:r>
      <w:r>
        <w:rPr>
          <w:rFonts w:hint="default" w:ascii="Times New Roman" w:hAnsi="Times New Roman" w:cs="Times New Roman"/>
          <w:sz w:val="24"/>
          <w:szCs w:val="24"/>
          <w:lang w:val="en-US" w:eastAsia="zh-CN"/>
        </w:rPr>
        <w:t>施工固体废物保护措施</w:t>
      </w:r>
    </w:p>
    <w:p w14:paraId="619B8C2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①本项目无生活营地，施工人员主要是附近居民，生活垃圾可通过当地的垃圾处理系统处置。</w:t>
      </w:r>
    </w:p>
    <w:p w14:paraId="5414D99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②对于施工人员产生的分散垃圾，除对施工人员加强环境保护教育和有关宣传外，也应该增设一些分散的小型垃圾收集器（如废物收集箱），并派专人定时打扫清理。</w:t>
      </w:r>
    </w:p>
    <w:p w14:paraId="190966D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③</w:t>
      </w:r>
      <w:r>
        <w:rPr>
          <w:rFonts w:hint="default" w:ascii="Times New Roman" w:hAnsi="Times New Roman" w:cs="Times New Roman"/>
          <w:sz w:val="24"/>
          <w:szCs w:val="24"/>
          <w:highlight w:val="none"/>
          <w:u w:val="none"/>
          <w:lang w:val="en-US" w:eastAsia="zh-CN"/>
        </w:rPr>
        <w:t>沉淀池产生污泥送至自建填埋场进行集中安全填埋处置。</w:t>
      </w:r>
    </w:p>
    <w:p w14:paraId="3CD50E5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④一般Ⅰ类及Ⅱ类固体废物（遗留废渣）、废防渗材料、废包装袋经收集后集中外售。</w:t>
      </w:r>
    </w:p>
    <w:p w14:paraId="1693EB6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⑤施工过程中产生的废弃材料可回收的进行回收，施工过程中产生的建筑垃圾及时清运就地处理。</w:t>
      </w:r>
    </w:p>
    <w:p w14:paraId="3B7D0DEF">
      <w:pPr>
        <w:bidi w:val="0"/>
        <w:rPr>
          <w:rFonts w:hint="eastAsia" w:cs="Times New Roman"/>
          <w:sz w:val="24"/>
          <w:szCs w:val="24"/>
          <w:highlight w:val="none"/>
          <w:lang w:val="en-US" w:eastAsia="zh-CN"/>
        </w:rPr>
      </w:pPr>
      <w:r>
        <w:rPr>
          <w:rFonts w:hint="default" w:ascii="Times New Roman" w:hAnsi="Times New Roman" w:cs="Times New Roman"/>
          <w:sz w:val="24"/>
          <w:szCs w:val="24"/>
          <w:highlight w:val="none"/>
          <w:lang w:val="en-US" w:eastAsia="zh-CN"/>
        </w:rPr>
        <w:t>⑥污水处理污泥经压滤处理后作为危废委托有资质单位进行处理，定期清运，不在填埋场内暂存</w:t>
      </w:r>
      <w:r>
        <w:rPr>
          <w:rFonts w:hint="eastAsia" w:cs="Times New Roman"/>
          <w:sz w:val="24"/>
          <w:szCs w:val="24"/>
          <w:highlight w:val="none"/>
          <w:lang w:val="en-US" w:eastAsia="zh-CN"/>
        </w:rPr>
        <w:t>。</w:t>
      </w:r>
    </w:p>
    <w:p w14:paraId="730732D1">
      <w:pPr>
        <w:bidi w:val="0"/>
        <w:rPr>
          <w:rFonts w:hint="default" w:ascii="Times New Roman" w:hAnsi="Times New Roman" w:cs="Times New Roman"/>
          <w:sz w:val="24"/>
          <w:szCs w:val="24"/>
          <w:highlight w:val="none"/>
          <w:lang w:val="en-US" w:eastAsia="zh-CN"/>
        </w:rPr>
      </w:pPr>
      <w:r>
        <w:rPr>
          <w:rFonts w:hint="eastAsia" w:cs="Times New Roman"/>
          <w:sz w:val="24"/>
          <w:szCs w:val="24"/>
          <w:highlight w:val="none"/>
          <w:lang w:val="en-US" w:eastAsia="zh-CN"/>
        </w:rPr>
        <w:t>⑦填埋区</w:t>
      </w:r>
      <w:r>
        <w:rPr>
          <w:rFonts w:hint="default" w:ascii="Times New Roman" w:hAnsi="Times New Roman" w:cs="Times New Roman"/>
          <w:sz w:val="24"/>
          <w:szCs w:val="24"/>
          <w:highlight w:val="none"/>
          <w:lang w:val="en-US" w:eastAsia="zh-CN"/>
        </w:rPr>
        <w:t>清表的表土临时堆存，用于填埋废渣后回填覆土。</w:t>
      </w:r>
    </w:p>
    <w:p w14:paraId="3A34DDE2">
      <w:pPr>
        <w:pStyle w:val="5"/>
        <w:numPr>
          <w:ilvl w:val="3"/>
          <w:numId w:val="0"/>
        </w:numPr>
        <w:tabs>
          <w:tab w:val="left" w:pos="964"/>
        </w:tabs>
        <w:bidi w:val="0"/>
        <w:ind w:leftChars="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7.1.4.2</w:t>
      </w:r>
      <w:r>
        <w:rPr>
          <w:rFonts w:hint="default" w:ascii="Times New Roman" w:hAnsi="Times New Roman" w:cs="Times New Roman"/>
          <w:sz w:val="24"/>
          <w:szCs w:val="24"/>
          <w:lang w:val="en-US" w:eastAsia="zh-CN"/>
        </w:rPr>
        <w:t>固废清挖、转移、填埋的相关要求</w:t>
      </w:r>
    </w:p>
    <w:p w14:paraId="6F8C71F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（一）固废清挖的要求</w:t>
      </w:r>
    </w:p>
    <w:p w14:paraId="60D5DB8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本项目废渣堆积区开挖涉及</w:t>
      </w:r>
      <w:r>
        <w:rPr>
          <w:rFonts w:hint="default" w:ascii="Times New Roman" w:hAnsi="Times New Roman" w:eastAsia="宋体" w:cs="Times New Roman"/>
          <w:sz w:val="24"/>
          <w:szCs w:val="24"/>
          <w:highlight w:val="none"/>
          <w:lang w:val="en-US" w:eastAsia="zh-CN"/>
        </w:rPr>
        <w:t>Ⅰ类</w:t>
      </w:r>
      <w:r>
        <w:rPr>
          <w:rFonts w:hint="default" w:ascii="Times New Roman" w:hAnsi="Times New Roman" w:cs="Times New Roman"/>
          <w:sz w:val="24"/>
          <w:szCs w:val="24"/>
          <w:highlight w:val="none"/>
          <w:lang w:val="en-US" w:eastAsia="zh-CN"/>
        </w:rPr>
        <w:t>、Ⅱ类固废的开挖，为确保固废清挖效果，需按《建设用地土壤污染风险管控和修复监测技术导则》（HJ25.2-2019）的相关要求进行监测布点，确定最终固废的清理效果。</w:t>
      </w:r>
    </w:p>
    <w:p w14:paraId="4ABDDF0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（二）固废转移的要求</w:t>
      </w:r>
    </w:p>
    <w:p w14:paraId="14F69238">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本项目涉及一般工业固体废物的转运，一般工业固体废物收集、运输、贮存应满足《一般工业固体废物贮存和填埋污染控制标准》（GB18599-2020）要求。</w:t>
      </w:r>
    </w:p>
    <w:p w14:paraId="06B06C1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（三）固废填埋的要求</w:t>
      </w:r>
    </w:p>
    <w:p w14:paraId="2E12957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 1 \* GB3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①</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t>进场固体废物按作业单元进行填埋，每天一个工作单元填埋作业过程，单元填埋作业完成后或遇恶劣天气须暂停填埋作业时，可进行临时场地覆盖，临时场地覆盖采用场地清基土或防渗材料。</w:t>
      </w:r>
    </w:p>
    <w:p w14:paraId="68E4CE9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 2 \* GB3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②</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t>各遗留废渣堆经取样复检满足入场标准后方可进入废渣填埋场，按规定的速度、线路运至填埋作业区，在管理人员指挥下，采用分层、分单元摊铺、碾压、逐日覆盖的填埋作业方式。</w:t>
      </w:r>
    </w:p>
    <w:p w14:paraId="76C8921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 3 \* GB3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③</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t>根据《一般工业固体废物贮存和填埋污染控制标准》（GB18599-2020）对贮存场运行管理的要求，每天填埋作业结束后要求在固体废物表面采用1.0mm厚HDPE膜进行临时覆盖。为排除表层面上地表径流，减少渗滤液产生量，达到清污分流的目的，由渣堆外侧要形成一定的排水坡度，坡面雨水流入库区四周的截水沟。层与层之间设置2m宽的控制平台，填埋封场后外坡面的坡度应不大于1:3。</w:t>
      </w:r>
    </w:p>
    <w:p w14:paraId="09359CE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 4 \* GB3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④</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t>废渣填埋场操作结束后及时进行终场覆盖，以利于填埋场区域的生态恢复和终场利用。</w:t>
      </w:r>
    </w:p>
    <w:p w14:paraId="22D30D0B">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（四）一般固废采取填埋合理性分析</w:t>
      </w:r>
    </w:p>
    <w:p w14:paraId="31811D0A">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根据《一般工业固体废物贮存和填埋污染控制标准》（GB18599-2020）要求，本项目Ⅰ类、Ⅱ类一般固废采取填埋合理性分析具体如下：</w:t>
      </w:r>
    </w:p>
    <w:p w14:paraId="0A6DB6FD">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Ⅱ类场应采用单人工复合衬层作为防渗衬层；要求粘土衬层厚度应不小于0.75m，且经压实、人工改性等措施处理后的饱和渗透系数不应大于1×10</w:t>
      </w:r>
      <w:r>
        <w:rPr>
          <w:rFonts w:hint="default" w:ascii="Times New Roman" w:hAnsi="Times New Roman" w:cs="Times New Roman"/>
          <w:sz w:val="24"/>
          <w:szCs w:val="24"/>
          <w:highlight w:val="none"/>
          <w:vertAlign w:val="superscript"/>
          <w:lang w:val="en-US" w:eastAsia="zh-CN"/>
        </w:rPr>
        <w:t>-7</w:t>
      </w:r>
      <w:r>
        <w:rPr>
          <w:rFonts w:hint="default" w:ascii="Times New Roman" w:hAnsi="Times New Roman" w:cs="Times New Roman"/>
          <w:sz w:val="24"/>
          <w:szCs w:val="24"/>
          <w:highlight w:val="none"/>
          <w:lang w:val="en-US" w:eastAsia="zh-CN"/>
        </w:rPr>
        <w:t>cm/s。</w:t>
      </w:r>
    </w:p>
    <w:p w14:paraId="27338D2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本项目废渣填埋场底层及边坡防渗结构采用“无纺布+HDPE膜+GCL层”，自上而下布设依次为：200g/m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轻质有纺土工布+300mm厚卵石+DN200-300HDPE管+600g/m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长丝无纺土工布+1.5mm厚双光面HDPE土工膜+600g/m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长丝无纺土工布。</w:t>
      </w:r>
    </w:p>
    <w:p w14:paraId="16F3E15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本项目最终覆盖层为多层结构，防渗结构采用“无纺布+HDPE膜+GCL层”，自上而下布设依次为：500mm厚素土层+5mm厚复合土工排水网+1.5mm厚光面HDPE土工膜+6.3mmGCL膨润土+200g/m</w:t>
      </w:r>
      <w:r>
        <w:rPr>
          <w:rFonts w:hint="default" w:ascii="Times New Roman" w:hAnsi="Times New Roman" w:cs="Times New Roman"/>
          <w:sz w:val="24"/>
          <w:szCs w:val="24"/>
          <w:highlight w:val="none"/>
          <w:vertAlign w:val="superscript"/>
          <w:lang w:val="en-US" w:eastAsia="zh-CN"/>
        </w:rPr>
        <w:t>2</w:t>
      </w:r>
      <w:r>
        <w:rPr>
          <w:rFonts w:hint="default" w:ascii="Times New Roman" w:hAnsi="Times New Roman" w:cs="Times New Roman"/>
          <w:sz w:val="24"/>
          <w:szCs w:val="24"/>
          <w:highlight w:val="none"/>
          <w:lang w:val="en-US" w:eastAsia="zh-CN"/>
        </w:rPr>
        <w:t>轻质有纺土工布，植被层采用铺设草皮+种植幼苗的方式。</w:t>
      </w:r>
    </w:p>
    <w:p w14:paraId="5E6551F9">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本项目在场地四周设置地下水监测井，定期进行地下水水质监测，符合</w:t>
      </w:r>
      <w:r>
        <w:rPr>
          <w:rFonts w:hint="default" w:ascii="Times New Roman" w:hAnsi="Times New Roman" w:eastAsia="宋体" w:cs="Times New Roman"/>
          <w:sz w:val="24"/>
          <w:szCs w:val="24"/>
          <w:highlight w:val="none"/>
          <w:lang w:val="en-US" w:eastAsia="zh-CN"/>
        </w:rPr>
        <w:t>“Ⅱ</w:t>
      </w:r>
      <w:r>
        <w:rPr>
          <w:rFonts w:hint="default" w:ascii="Times New Roman" w:hAnsi="Times New Roman" w:cs="Times New Roman"/>
          <w:sz w:val="24"/>
          <w:szCs w:val="24"/>
          <w:highlight w:val="none"/>
          <w:lang w:val="en-US" w:eastAsia="zh-CN"/>
        </w:rPr>
        <w:t>类场应设置渗漏监控系统监控防渗衬层的完整性</w:t>
      </w:r>
      <w:r>
        <w:rPr>
          <w:rFonts w:hint="default" w:ascii="Times New Roman" w:hAnsi="Times New Roman" w:eastAsia="宋体" w:cs="Times New Roman"/>
          <w:sz w:val="24"/>
          <w:szCs w:val="24"/>
          <w:highlight w:val="none"/>
          <w:lang w:val="en-US" w:eastAsia="zh-CN"/>
        </w:rPr>
        <w:t>”</w:t>
      </w:r>
      <w:r>
        <w:rPr>
          <w:rFonts w:hint="default" w:ascii="Times New Roman" w:hAnsi="Times New Roman" w:cs="Times New Roman"/>
          <w:sz w:val="24"/>
          <w:szCs w:val="24"/>
          <w:highlight w:val="none"/>
          <w:lang w:val="en-US" w:eastAsia="zh-CN"/>
        </w:rPr>
        <w:t>的要求。</w:t>
      </w:r>
    </w:p>
    <w:p w14:paraId="2FF4509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因此，本项目通过对废渣进行集中隔离和风险管控，对原废渣堆污染土壤进行有效隔离防渗处置，能有效控制污染源，解决废渣裸露状态，避免废渣中砷、镉等重金属经长年日晒雨淋而转移进入下游地表水体或土壤，避免造成污染扩散，降低重金属迁移风险，对区域土壤环境质量是有利的。</w:t>
      </w:r>
    </w:p>
    <w:p w14:paraId="602C44A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上述措</w:t>
      </w:r>
      <w:r>
        <w:rPr>
          <w:rFonts w:hint="eastAsia" w:cs="Times New Roman"/>
          <w:sz w:val="24"/>
          <w:szCs w:val="24"/>
          <w:highlight w:val="none"/>
          <w:lang w:val="en-US" w:eastAsia="zh-CN"/>
        </w:rPr>
        <w:t>施是</w:t>
      </w:r>
      <w:r>
        <w:rPr>
          <w:rFonts w:hint="default" w:ascii="Times New Roman" w:hAnsi="Times New Roman" w:cs="Times New Roman"/>
          <w:sz w:val="24"/>
          <w:szCs w:val="24"/>
          <w:highlight w:val="none"/>
          <w:lang w:val="en-US" w:eastAsia="zh-CN"/>
        </w:rPr>
        <w:t>建设项目常用的固废保护措施，经济、技术可行，经上述措施有效处理和处置后遗留的固废能得到安全处置，大大降低对周边环境的影响。</w:t>
      </w:r>
    </w:p>
    <w:p w14:paraId="39685C7B">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7.1.5生态环境保护措施</w:t>
      </w:r>
    </w:p>
    <w:p w14:paraId="23A73293">
      <w:pPr>
        <w:bidi w:val="0"/>
        <w:rPr>
          <w:rFonts w:hint="eastAsia"/>
          <w:sz w:val="24"/>
          <w:szCs w:val="24"/>
          <w:u w:val="none"/>
          <w:lang w:val="en-US" w:eastAsia="zh-CN"/>
        </w:rPr>
      </w:pPr>
      <w:r>
        <w:rPr>
          <w:rFonts w:hint="eastAsia"/>
          <w:sz w:val="24"/>
          <w:szCs w:val="24"/>
          <w:u w:val="none"/>
          <w:lang w:val="en-US" w:eastAsia="zh-CN"/>
        </w:rPr>
        <w:t>（1）做好防漏、防渗、遮挡和拦挡措施，严格按照工程规范对废渣实施清理、运输及处置，明确治理范围，进行彻底全面的清理。</w:t>
      </w:r>
    </w:p>
    <w:p w14:paraId="0E80C482">
      <w:pPr>
        <w:bidi w:val="0"/>
        <w:rPr>
          <w:rFonts w:hint="eastAsia"/>
          <w:sz w:val="24"/>
          <w:szCs w:val="24"/>
          <w:u w:val="none"/>
          <w:lang w:val="en-US" w:eastAsia="zh-CN"/>
        </w:rPr>
      </w:pPr>
      <w:r>
        <w:rPr>
          <w:rFonts w:hint="eastAsia"/>
          <w:sz w:val="24"/>
          <w:szCs w:val="24"/>
          <w:u w:val="none"/>
          <w:lang w:val="en-US" w:eastAsia="zh-CN"/>
        </w:rPr>
        <w:t>（2）必须加强管理，预先做好防护、迁移、覆盖等工作，避免在大雨季节进行大规模的渣堆开挖、修整工作；</w:t>
      </w:r>
    </w:p>
    <w:p w14:paraId="2B25E7A3">
      <w:pPr>
        <w:bidi w:val="0"/>
        <w:rPr>
          <w:rFonts w:hint="eastAsia"/>
          <w:sz w:val="24"/>
          <w:szCs w:val="24"/>
          <w:u w:val="none"/>
          <w:lang w:val="en-US" w:eastAsia="zh-CN"/>
        </w:rPr>
      </w:pPr>
      <w:r>
        <w:rPr>
          <w:rFonts w:hint="eastAsia"/>
          <w:sz w:val="24"/>
          <w:szCs w:val="24"/>
          <w:u w:val="none"/>
          <w:lang w:val="en-US" w:eastAsia="zh-CN"/>
        </w:rPr>
        <w:t>（3）严格按照废渣设定路线进行运输。</w:t>
      </w:r>
    </w:p>
    <w:p w14:paraId="57C8ED43">
      <w:pPr>
        <w:bidi w:val="0"/>
        <w:rPr>
          <w:rFonts w:hint="eastAsia"/>
          <w:sz w:val="24"/>
          <w:szCs w:val="24"/>
          <w:u w:val="none"/>
          <w:lang w:val="en-US" w:eastAsia="zh-CN"/>
        </w:rPr>
      </w:pPr>
      <w:r>
        <w:rPr>
          <w:rFonts w:hint="eastAsia"/>
          <w:sz w:val="24"/>
          <w:szCs w:val="24"/>
          <w:u w:val="none"/>
          <w:lang w:val="en-US" w:eastAsia="zh-CN"/>
        </w:rPr>
        <w:t>（4）对渣堆净挖方进行及时填压密实，以减少水土流失量和处置场地；</w:t>
      </w:r>
    </w:p>
    <w:p w14:paraId="561D5A45">
      <w:pPr>
        <w:bidi w:val="0"/>
        <w:rPr>
          <w:rFonts w:hint="eastAsia"/>
          <w:sz w:val="24"/>
          <w:szCs w:val="24"/>
          <w:u w:val="none"/>
          <w:lang w:val="en-US" w:eastAsia="zh-CN"/>
        </w:rPr>
      </w:pPr>
      <w:r>
        <w:rPr>
          <w:rFonts w:hint="eastAsia"/>
          <w:sz w:val="24"/>
          <w:szCs w:val="24"/>
          <w:u w:val="none"/>
          <w:lang w:val="en-US" w:eastAsia="zh-CN"/>
        </w:rPr>
        <w:t>（5）对于长时间裸露的开挖面和临时堆放的弃方，设置围堰或截洪沟，遇雨进行覆盖，以减少暴雨的冲刷。</w:t>
      </w:r>
    </w:p>
    <w:p w14:paraId="7297560A">
      <w:pPr>
        <w:bidi w:val="0"/>
        <w:rPr>
          <w:rFonts w:hint="eastAsia"/>
          <w:sz w:val="24"/>
          <w:szCs w:val="24"/>
          <w:u w:val="none"/>
          <w:lang w:val="en-US" w:eastAsia="zh-CN"/>
        </w:rPr>
      </w:pPr>
      <w:r>
        <w:rPr>
          <w:rFonts w:hint="eastAsia"/>
          <w:sz w:val="24"/>
          <w:szCs w:val="24"/>
          <w:u w:val="none"/>
          <w:lang w:val="en-US" w:eastAsia="zh-CN"/>
        </w:rPr>
        <w:t>（6）施工时，施工活动要保证在施工活动范围内进行，施工便道、临时占地要尽量缩小范围，最大限度地降低对周边植被的损毁。</w:t>
      </w:r>
    </w:p>
    <w:p w14:paraId="4AB588C4">
      <w:pPr>
        <w:bidi w:val="0"/>
        <w:rPr>
          <w:rFonts w:hint="eastAsia"/>
          <w:sz w:val="24"/>
          <w:szCs w:val="24"/>
          <w:u w:val="none"/>
          <w:lang w:val="en-US" w:eastAsia="zh-CN"/>
        </w:rPr>
      </w:pPr>
      <w:r>
        <w:rPr>
          <w:rFonts w:hint="eastAsia"/>
          <w:sz w:val="24"/>
          <w:szCs w:val="24"/>
          <w:u w:val="none"/>
          <w:lang w:val="en-US" w:eastAsia="zh-CN"/>
        </w:rPr>
        <w:t>（7）强化施工管理，严格控制施工范围，防止对施工边界以外植被的破坏。</w:t>
      </w:r>
    </w:p>
    <w:p w14:paraId="0B09C028">
      <w:pPr>
        <w:bidi w:val="0"/>
        <w:rPr>
          <w:rFonts w:hint="eastAsia"/>
          <w:sz w:val="24"/>
          <w:szCs w:val="24"/>
          <w:u w:val="none"/>
          <w:lang w:val="en-US" w:eastAsia="zh-CN"/>
        </w:rPr>
      </w:pPr>
      <w:r>
        <w:rPr>
          <w:rFonts w:hint="eastAsia"/>
          <w:sz w:val="24"/>
          <w:szCs w:val="24"/>
          <w:u w:val="none"/>
          <w:lang w:val="en-US" w:eastAsia="zh-CN"/>
        </w:rPr>
        <w:t>（8）为防止雨水直接冲刷开挖坡面，坡面应设坡度向下坡导流。为汇集流水在山坡下设排水沟，将水引至自然低洼区域排出。</w:t>
      </w:r>
    </w:p>
    <w:p w14:paraId="6A53DEEB">
      <w:pPr>
        <w:bidi w:val="0"/>
        <w:rPr>
          <w:rFonts w:hint="eastAsia"/>
          <w:sz w:val="24"/>
          <w:szCs w:val="24"/>
          <w:u w:val="none"/>
          <w:lang w:val="en-US" w:eastAsia="zh-CN"/>
        </w:rPr>
      </w:pPr>
      <w:r>
        <w:rPr>
          <w:rFonts w:hint="eastAsia"/>
          <w:sz w:val="24"/>
          <w:szCs w:val="24"/>
          <w:u w:val="none"/>
          <w:lang w:val="en-US" w:eastAsia="zh-CN"/>
        </w:rPr>
        <w:t>（9）临时占地在施工前也应保存好熟化土，施工结束后及时清理、松土、覆盖熟化土，复种或选择当地适宜植物及时恢复绿化。</w:t>
      </w:r>
    </w:p>
    <w:p w14:paraId="226A9638">
      <w:pPr>
        <w:bidi w:val="0"/>
        <w:rPr>
          <w:rFonts w:hint="eastAsia"/>
          <w:sz w:val="24"/>
          <w:szCs w:val="24"/>
          <w:u w:val="none"/>
          <w:lang w:val="en-US" w:eastAsia="zh-CN"/>
        </w:rPr>
      </w:pPr>
      <w:r>
        <w:rPr>
          <w:rFonts w:hint="eastAsia"/>
          <w:sz w:val="24"/>
          <w:szCs w:val="24"/>
          <w:u w:val="none"/>
          <w:lang w:val="en-US" w:eastAsia="zh-CN"/>
        </w:rPr>
        <w:t>（10）严禁随意弃土弃渣，对裸露边坡面应采用自然植被绿化护坡，减少水土流失。施工结束后，临时占地要进行清理整治，拆除临时建筑，平整地面，重新翻动受压后变得密实的土壤，洼地要覆土填平，并及时进行绿化，将水土流失造成的影响降低到最低。施工场地内大的树木，应移栽至厂界，作为绿化植物。根据当地土壤、气候、挑选合适的植物类进行绿化。</w:t>
      </w:r>
    </w:p>
    <w:p w14:paraId="12F78C0F">
      <w:pPr>
        <w:bidi w:val="0"/>
        <w:rPr>
          <w:rFonts w:hint="eastAsia"/>
          <w:sz w:val="24"/>
          <w:szCs w:val="24"/>
          <w:u w:val="none"/>
          <w:lang w:val="en-US" w:eastAsia="zh-CN"/>
        </w:rPr>
      </w:pPr>
      <w:r>
        <w:rPr>
          <w:rFonts w:hint="eastAsia"/>
          <w:sz w:val="24"/>
          <w:szCs w:val="24"/>
          <w:u w:val="none"/>
          <w:lang w:val="en-US" w:eastAsia="zh-CN"/>
        </w:rPr>
        <w:t>（11）临时道路要求优化临时占地的选址，尽量选择裸地，采取“永临结合”的方式，尽量减少对植被占用的影响。</w:t>
      </w:r>
    </w:p>
    <w:p w14:paraId="2F406FD6">
      <w:pPr>
        <w:bidi w:val="0"/>
        <w:rPr>
          <w:rFonts w:hint="eastAsia"/>
          <w:sz w:val="24"/>
          <w:szCs w:val="24"/>
          <w:u w:val="none"/>
          <w:lang w:val="en-US" w:eastAsia="zh-CN"/>
        </w:rPr>
      </w:pPr>
      <w:r>
        <w:rPr>
          <w:rFonts w:hint="eastAsia"/>
          <w:sz w:val="24"/>
          <w:szCs w:val="24"/>
          <w:u w:val="none"/>
          <w:lang w:val="en-US" w:eastAsia="zh-CN"/>
        </w:rPr>
        <w:t>（12）建筑材料堆放应设篷盖，防止雨水冲刷；尽量缩短施工周期，减少土地裸露时间；植被防护与恢复；合理安排工期、避免雨季施工，减少水土流失。</w:t>
      </w:r>
    </w:p>
    <w:p w14:paraId="2AAB83C3">
      <w:pPr>
        <w:bidi w:val="0"/>
        <w:rPr>
          <w:rFonts w:hint="default"/>
          <w:sz w:val="24"/>
          <w:szCs w:val="24"/>
          <w:u w:val="none"/>
          <w:lang w:val="en-US" w:eastAsia="zh-CN"/>
        </w:rPr>
      </w:pPr>
      <w:r>
        <w:rPr>
          <w:rFonts w:hint="eastAsia"/>
          <w:sz w:val="24"/>
          <w:szCs w:val="24"/>
          <w:u w:val="none"/>
          <w:lang w:val="en-US" w:eastAsia="zh-CN"/>
        </w:rPr>
        <w:t>（13）施工应避免在雨季施工，严禁就地倾倒覆压植被，同时采取护坡、挡土墙等防护措施。</w:t>
      </w:r>
    </w:p>
    <w:p w14:paraId="2737B746">
      <w:pPr>
        <w:bidi w:val="0"/>
        <w:rPr>
          <w:rFonts w:hint="eastAsia"/>
          <w:sz w:val="24"/>
          <w:szCs w:val="24"/>
          <w:highlight w:val="yellow"/>
          <w:u w:val="none"/>
          <w:lang w:val="en-US" w:eastAsia="zh-CN"/>
        </w:rPr>
      </w:pPr>
      <w:r>
        <w:rPr>
          <w:rFonts w:hint="eastAsia"/>
          <w:sz w:val="24"/>
          <w:szCs w:val="24"/>
          <w:u w:val="none"/>
          <w:lang w:val="en-US" w:eastAsia="zh-CN"/>
        </w:rPr>
        <w:t>因此，本项目实施阶段在采取相应的环保措施后，对周边的生态环境影响较小；实施完成后，对区域进行绿化，随着时间的推进，场内生态环境逐步改善。</w:t>
      </w:r>
    </w:p>
    <w:p w14:paraId="315C81E0">
      <w:pPr>
        <w:pStyle w:val="3"/>
        <w:numPr>
          <w:ilvl w:val="0"/>
          <w:numId w:val="0"/>
        </w:numPr>
        <w:topLinePunct w:val="0"/>
        <w:spacing w:before="0" w:beforeLines="0" w:after="0" w:afterLines="0"/>
        <w:rPr>
          <w:rFonts w:hint="eastAsia" w:ascii="Times New Roman" w:hAnsi="Times New Roman" w:eastAsia="宋体" w:cs="Times New Roman"/>
          <w:color w:val="auto"/>
          <w:sz w:val="30"/>
          <w:szCs w:val="30"/>
          <w:highlight w:val="none"/>
          <w:u w:val="none" w:color="auto"/>
          <w:lang w:val="en-US" w:eastAsia="zh-CN"/>
        </w:rPr>
      </w:pPr>
      <w:bookmarkStart w:id="530" w:name="_Toc3992"/>
      <w:bookmarkStart w:id="531" w:name="_Toc25901"/>
      <w:r>
        <w:rPr>
          <w:rFonts w:hint="eastAsia" w:ascii="Times New Roman" w:hAnsi="Times New Roman" w:eastAsia="宋体" w:cs="Times New Roman"/>
          <w:color w:val="auto"/>
          <w:sz w:val="30"/>
          <w:szCs w:val="30"/>
          <w:highlight w:val="none"/>
          <w:u w:val="none" w:color="auto"/>
          <w:lang w:val="en-US" w:eastAsia="zh-CN"/>
        </w:rPr>
        <w:t>7.2封场后环境保护措施</w:t>
      </w:r>
      <w:bookmarkEnd w:id="530"/>
      <w:bookmarkEnd w:id="531"/>
    </w:p>
    <w:p w14:paraId="130ED82E">
      <w:pPr>
        <w:bidi w:val="0"/>
        <w:rPr>
          <w:rFonts w:hint="eastAsia"/>
          <w:sz w:val="24"/>
          <w:szCs w:val="24"/>
          <w:lang w:val="en-US" w:eastAsia="zh-CN"/>
        </w:rPr>
      </w:pPr>
      <w:r>
        <w:rPr>
          <w:rFonts w:hint="eastAsia"/>
          <w:sz w:val="24"/>
          <w:szCs w:val="24"/>
          <w:highlight w:val="none"/>
          <w:lang w:val="en-US" w:eastAsia="zh-CN"/>
        </w:rPr>
        <w:t>项目治理施工结束后应立即封场，按要求进行覆盖和绿化，制定并严格落实封场后环境管理制度，加强跟踪监测。加强对治理工程的日常管理，严禁随意开挖，注意工程排洪设施的维护；完工后的治理区未经设计论证和批准，不得重新启用或改作他用。</w:t>
      </w:r>
    </w:p>
    <w:p w14:paraId="1461B3D1">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7.2.1废气污染防治措施</w:t>
      </w:r>
    </w:p>
    <w:p w14:paraId="49C5C61C">
      <w:pPr>
        <w:bidi w:val="0"/>
        <w:rPr>
          <w:rFonts w:hint="eastAsia"/>
          <w:sz w:val="24"/>
          <w:szCs w:val="24"/>
          <w:highlight w:val="none"/>
          <w:lang w:val="en-US" w:eastAsia="zh-CN"/>
        </w:rPr>
      </w:pPr>
      <w:r>
        <w:rPr>
          <w:rFonts w:hint="eastAsia"/>
          <w:sz w:val="24"/>
          <w:szCs w:val="24"/>
          <w:highlight w:val="none"/>
          <w:lang w:val="en-US" w:eastAsia="zh-CN"/>
        </w:rPr>
        <w:t>治理区域绿化完成后基本无废气影响。</w:t>
      </w:r>
    </w:p>
    <w:p w14:paraId="0403C16D">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7.2.2废水污染防治措施</w:t>
      </w:r>
    </w:p>
    <w:p w14:paraId="5AE88CB6">
      <w:pPr>
        <w:pStyle w:val="5"/>
        <w:numPr>
          <w:ilvl w:val="3"/>
          <w:numId w:val="0"/>
        </w:numPr>
        <w:tabs>
          <w:tab w:val="left" w:pos="964"/>
        </w:tabs>
        <w:bidi w:val="0"/>
        <w:ind w:leftChars="0"/>
        <w:rPr>
          <w:rFonts w:hint="default" w:ascii="Times New Roman" w:hAnsi="Times New Roman" w:cs="Times New Roman"/>
          <w:sz w:val="24"/>
          <w:szCs w:val="24"/>
          <w:u w:val="none" w:color="auto"/>
          <w:lang w:val="en-US" w:eastAsia="zh-CN"/>
        </w:rPr>
      </w:pPr>
      <w:bookmarkStart w:id="532" w:name="_Toc24581"/>
      <w:r>
        <w:rPr>
          <w:rFonts w:hint="eastAsia" w:ascii="Times New Roman" w:hAnsi="Times New Roman" w:cs="Times New Roman"/>
          <w:sz w:val="24"/>
          <w:szCs w:val="24"/>
          <w:u w:val="none" w:color="auto"/>
          <w:lang w:val="en-US" w:eastAsia="zh-CN"/>
        </w:rPr>
        <w:t>7.2.2.1</w:t>
      </w:r>
      <w:r>
        <w:rPr>
          <w:rFonts w:hint="default" w:ascii="Times New Roman" w:hAnsi="Times New Roman" w:cs="Times New Roman"/>
          <w:sz w:val="24"/>
          <w:szCs w:val="24"/>
          <w:u w:val="none" w:color="auto"/>
          <w:lang w:val="en-US" w:eastAsia="zh-CN"/>
        </w:rPr>
        <w:t>废水产生及分类处置情况</w:t>
      </w:r>
      <w:bookmarkEnd w:id="532"/>
    </w:p>
    <w:p w14:paraId="529FB56C">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本项目封场后不设渗滤液排放口，将继续对项目产生的渗滤液进行处理，直到不再产生渗滤液为止，同时，填埋场封场后将继续按要求对周围地表水进行监测。本次环评要求封场后产生的渗滤液经收集池收集，经重金属一体化污水处理设备（处理规模30m</w:t>
      </w:r>
      <w:r>
        <w:rPr>
          <w:rFonts w:hint="default" w:ascii="Times New Roman" w:hAnsi="Times New Roman" w:cs="Times New Roman"/>
          <w:b w:val="0"/>
          <w:bCs w:val="0"/>
          <w:color w:val="auto"/>
          <w:sz w:val="24"/>
          <w:szCs w:val="24"/>
          <w:highlight w:val="none"/>
          <w:u w:val="none" w:color="auto"/>
          <w:vertAlign w:val="superscript"/>
          <w:lang w:val="en-US" w:eastAsia="zh-CN"/>
        </w:rPr>
        <w:t>3</w:t>
      </w:r>
      <w:r>
        <w:rPr>
          <w:rFonts w:hint="default" w:ascii="Times New Roman" w:hAnsi="Times New Roman" w:cs="Times New Roman"/>
          <w:b w:val="0"/>
          <w:bCs w:val="0"/>
          <w:color w:val="auto"/>
          <w:sz w:val="24"/>
          <w:szCs w:val="24"/>
          <w:highlight w:val="none"/>
          <w:u w:val="none" w:color="auto"/>
          <w:lang w:val="en-US" w:eastAsia="zh-CN"/>
        </w:rPr>
        <w:t>/d）处理达标后，采用防腐、防漏的罐车集中清运至湖南黄金天岳矿业有限公司垂拱洞尾矿库废水处理站进行处理，不得随意排放。</w:t>
      </w:r>
    </w:p>
    <w:p w14:paraId="045D619B">
      <w:pPr>
        <w:bidi w:val="0"/>
        <w:spacing w:line="240" w:lineRule="auto"/>
        <w:ind w:left="0" w:leftChars="0" w:firstLine="0" w:firstLineChars="0"/>
        <w:jc w:val="center"/>
        <w:rPr>
          <w:rFonts w:hint="default" w:ascii="Times New Roman" w:hAnsi="Times New Roman" w:cs="Times New Roman"/>
          <w:b w:val="0"/>
          <w:bCs w:val="0"/>
          <w:color w:val="auto"/>
          <w:sz w:val="21"/>
          <w:szCs w:val="21"/>
          <w:highlight w:val="yellow"/>
          <w:u w:val="none" w:color="auto"/>
          <w:lang w:val="en-US" w:eastAsia="zh-CN"/>
        </w:rPr>
      </w:pPr>
      <w:r>
        <w:rPr>
          <w:rFonts w:hint="default" w:ascii="Times New Roman" w:hAnsi="Times New Roman" w:cs="Times New Roman"/>
          <w:sz w:val="24"/>
          <w:szCs w:val="24"/>
        </w:rPr>
        <w:drawing>
          <wp:inline distT="0" distB="0" distL="114300" distR="114300">
            <wp:extent cx="5760720" cy="4254500"/>
            <wp:effectExtent l="0" t="0" r="11430" b="12700"/>
            <wp:docPr id="18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4"/>
                    <pic:cNvPicPr>
                      <a:picLocks noChangeAspect="1"/>
                    </pic:cNvPicPr>
                  </pic:nvPicPr>
                  <pic:blipFill>
                    <a:blip r:embed="rId121"/>
                    <a:stretch>
                      <a:fillRect/>
                    </a:stretch>
                  </pic:blipFill>
                  <pic:spPr>
                    <a:xfrm>
                      <a:off x="0" y="0"/>
                      <a:ext cx="5760720" cy="4254500"/>
                    </a:xfrm>
                    <a:prstGeom prst="rect">
                      <a:avLst/>
                    </a:prstGeom>
                    <a:noFill/>
                    <a:ln>
                      <a:noFill/>
                    </a:ln>
                  </pic:spPr>
                </pic:pic>
              </a:graphicData>
            </a:graphic>
          </wp:inline>
        </w:drawing>
      </w:r>
    </w:p>
    <w:p w14:paraId="3A3D9546">
      <w:pPr>
        <w:bidi w:val="0"/>
        <w:spacing w:line="240" w:lineRule="auto"/>
        <w:ind w:left="0" w:leftChars="0" w:firstLine="0" w:firstLineChars="0"/>
        <w:jc w:val="center"/>
        <w:rPr>
          <w:rFonts w:hint="default" w:ascii="Times New Roman" w:hAnsi="Times New Roman" w:cs="Times New Roman"/>
          <w:b/>
          <w:bCs/>
          <w:color w:val="auto"/>
          <w:sz w:val="21"/>
          <w:szCs w:val="21"/>
          <w:highlight w:val="none"/>
          <w:u w:val="none" w:color="auto"/>
          <w:lang w:val="en-US" w:eastAsia="zh-CN"/>
        </w:rPr>
      </w:pPr>
      <w:r>
        <w:rPr>
          <w:rFonts w:hint="default" w:ascii="Times New Roman" w:hAnsi="Times New Roman" w:cs="Times New Roman"/>
          <w:b/>
          <w:bCs/>
          <w:color w:val="auto"/>
          <w:sz w:val="21"/>
          <w:szCs w:val="21"/>
          <w:highlight w:val="none"/>
          <w:u w:val="none" w:color="auto"/>
          <w:lang w:val="en-US" w:eastAsia="zh-CN"/>
        </w:rPr>
        <w:t>图7.2-1  填埋场重金属一体化污水处理工艺流程图</w:t>
      </w:r>
    </w:p>
    <w:p w14:paraId="3D40152A">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工艺流程说明：</w:t>
      </w:r>
    </w:p>
    <w:p w14:paraId="05820B47">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1）施工过程中的废水、挖掘过程中的地下涌水，以及冲洗水统一排水沟排至集水池进行收集沉淀，经提升泵将废水送入一体化处理设备；</w:t>
      </w:r>
    </w:p>
    <w:p w14:paraId="44C3A4A8">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2）首先进入一级絮凝沉淀池，前段向一级絮凝池中加入Ca（OH）</w:t>
      </w:r>
      <w:r>
        <w:rPr>
          <w:rFonts w:hint="default" w:ascii="Times New Roman" w:hAnsi="Times New Roman" w:cs="Times New Roman"/>
          <w:b w:val="0"/>
          <w:bCs w:val="0"/>
          <w:color w:val="auto"/>
          <w:sz w:val="24"/>
          <w:szCs w:val="24"/>
          <w:highlight w:val="none"/>
          <w:u w:val="none" w:color="auto"/>
          <w:vertAlign w:val="subscript"/>
          <w:lang w:val="en-US" w:eastAsia="zh-CN"/>
        </w:rPr>
        <w:t>2</w:t>
      </w:r>
      <w:r>
        <w:rPr>
          <w:rFonts w:hint="default" w:ascii="Times New Roman" w:hAnsi="Times New Roman" w:cs="Times New Roman"/>
          <w:b w:val="0"/>
          <w:bCs w:val="0"/>
          <w:color w:val="auto"/>
          <w:sz w:val="24"/>
          <w:szCs w:val="24"/>
          <w:highlight w:val="none"/>
          <w:u w:val="none" w:color="auto"/>
          <w:lang w:val="en-US" w:eastAsia="zh-CN"/>
        </w:rPr>
        <w:t>，调整溶液pH值，产生重金属沉淀并析出；中段向一级絮凝池中投加PAM溶液作为助凝剂，将废水中的悬浮物、重金属沉淀凝聚成较大的颗粒和胶团；自流入一级沉淀池，通过固液分离的作用初步去除水中的悬浮物及重金属沉淀。</w:t>
      </w:r>
    </w:p>
    <w:p w14:paraId="0A9551AB">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3）一级絮凝沉淀池出水自流进入二级絮凝沉淀池，分段向二级絮凝池中加入PAC，产生沉淀，再通过PAM的助凝作用将废水中的悬浮物及重金属沉淀凝聚成较大的颗粒和胶团。二级絮凝池出水自流进入二级沉淀池，通过固液分离的作用进一步去除水中的悬浮物及重金属沉淀。</w:t>
      </w:r>
    </w:p>
    <w:p w14:paraId="23B7FEBA">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4）二级沉淀池出水自流入pH调节池，盐酸经输送泵加入池内，调整废水pH值至 7.0左右。</w:t>
      </w:r>
    </w:p>
    <w:p w14:paraId="1D46D203">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5）pH调节池出水自流入中间水池，中间水池中的废水由水泵打至多介质过滤器，进一步去除废水中的悬浮物，通过多介质过滤器处理后的废水经吨桶收集，采用防腐、防漏的罐车集中清运至湖南黄金天岳矿业有限公司垂拱洞尾矿库废水处理站进行处理。</w:t>
      </w:r>
    </w:p>
    <w:p w14:paraId="7609E30C">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6）一级沉淀池、二级沉淀池的污泥由污泥泵打入污泥浓缩池，经浓缩后的污泥收集后与底泥一并进行脱水干化及处置，干化后的泥饼定期由有资质的单位清运处置。</w:t>
      </w:r>
    </w:p>
    <w:p w14:paraId="47273F99">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7）脱水干化后产生的滤液、污泥浓缩池的上清液、多介质过滤器初滤水均回流至集水池预处理。</w:t>
      </w:r>
    </w:p>
    <w:p w14:paraId="0E1A6969">
      <w:pPr>
        <w:pStyle w:val="5"/>
        <w:numPr>
          <w:ilvl w:val="3"/>
          <w:numId w:val="0"/>
        </w:numPr>
        <w:tabs>
          <w:tab w:val="left" w:pos="964"/>
        </w:tabs>
        <w:bidi w:val="0"/>
        <w:ind w:leftChars="0"/>
        <w:rPr>
          <w:rFonts w:hint="default" w:ascii="Times New Roman" w:hAnsi="Times New Roman" w:cs="Times New Roman"/>
          <w:sz w:val="24"/>
          <w:szCs w:val="24"/>
          <w:highlight w:val="none"/>
          <w:u w:val="none" w:color="auto"/>
          <w:lang w:val="en-US" w:eastAsia="zh-CN"/>
        </w:rPr>
      </w:pPr>
      <w:r>
        <w:rPr>
          <w:rFonts w:hint="eastAsia" w:ascii="Times New Roman" w:hAnsi="Times New Roman" w:cs="Times New Roman"/>
          <w:sz w:val="24"/>
          <w:szCs w:val="24"/>
          <w:highlight w:val="none"/>
          <w:u w:val="none" w:color="auto"/>
          <w:lang w:val="en-US" w:eastAsia="zh-CN"/>
        </w:rPr>
        <w:t>7.2.2.2</w:t>
      </w:r>
      <w:r>
        <w:rPr>
          <w:rFonts w:hint="default" w:ascii="Times New Roman" w:hAnsi="Times New Roman" w:cs="Times New Roman"/>
          <w:sz w:val="24"/>
          <w:szCs w:val="24"/>
          <w:highlight w:val="none"/>
          <w:u w:val="none" w:color="auto"/>
          <w:lang w:val="en-US" w:eastAsia="zh-CN"/>
        </w:rPr>
        <w:t>湖南黄金天岳矿业有限公司垂拱洞尾矿库废水处理站依托可行性分析</w:t>
      </w:r>
    </w:p>
    <w:p w14:paraId="6B16E91E">
      <w:pPr>
        <w:rPr>
          <w:rFonts w:hint="default" w:ascii="Times New Roman" w:hAnsi="Times New Roman" w:cs="Times New Roman"/>
          <w:sz w:val="24"/>
          <w:szCs w:val="24"/>
          <w:highlight w:val="none"/>
          <w:u w:val="none" w:color="auto"/>
          <w:lang w:val="en-US" w:eastAsia="zh-CN"/>
        </w:rPr>
      </w:pPr>
      <w:r>
        <w:rPr>
          <w:rFonts w:hint="default" w:ascii="Times New Roman" w:hAnsi="Times New Roman" w:cs="Times New Roman"/>
          <w:sz w:val="24"/>
          <w:szCs w:val="24"/>
          <w:highlight w:val="none"/>
          <w:u w:val="none" w:color="auto"/>
          <w:lang w:val="en-US" w:eastAsia="zh-CN"/>
        </w:rPr>
        <w:t>湖南黄金天岳矿业有限公司垂拱洞尾矿库废水处理站位于平江县三阳乡垂拱洞，主要对金矿井下涌水进行收集处理，设计规模处理为200m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/d，目前污水处理站实际运行污水处理量约147m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/d（剩余处理能力53m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/d），水处理采用</w:t>
      </w:r>
      <w:r>
        <w:rPr>
          <w:rFonts w:hint="default" w:ascii="Times New Roman" w:hAnsi="Times New Roman" w:eastAsia="宋体" w:cs="Times New Roman"/>
          <w:sz w:val="24"/>
          <w:szCs w:val="24"/>
          <w:highlight w:val="none"/>
          <w:u w:val="none" w:color="auto"/>
          <w:lang w:val="en-US" w:eastAsia="zh-CN"/>
        </w:rPr>
        <w:t>“</w:t>
      </w:r>
      <w:r>
        <w:rPr>
          <w:rFonts w:hint="default" w:ascii="Times New Roman" w:hAnsi="Times New Roman" w:cs="Times New Roman"/>
          <w:sz w:val="24"/>
          <w:szCs w:val="24"/>
          <w:highlight w:val="none"/>
          <w:u w:val="none" w:color="auto"/>
          <w:lang w:val="en-US" w:eastAsia="zh-CN"/>
        </w:rPr>
        <w:t>pH调节+曝气+混凝沉淀+过滤</w:t>
      </w:r>
      <w:r>
        <w:rPr>
          <w:rFonts w:hint="default" w:ascii="Times New Roman" w:hAnsi="Times New Roman" w:eastAsia="宋体" w:cs="Times New Roman"/>
          <w:sz w:val="24"/>
          <w:szCs w:val="24"/>
          <w:highlight w:val="none"/>
          <w:u w:val="none" w:color="auto"/>
          <w:lang w:val="en-US" w:eastAsia="zh-CN"/>
        </w:rPr>
        <w:t>”</w:t>
      </w:r>
      <w:r>
        <w:rPr>
          <w:rFonts w:hint="default" w:ascii="Times New Roman" w:hAnsi="Times New Roman" w:cs="Times New Roman"/>
          <w:sz w:val="24"/>
          <w:szCs w:val="24"/>
          <w:highlight w:val="none"/>
          <w:u w:val="none" w:color="auto"/>
          <w:lang w:val="en-US" w:eastAsia="zh-CN"/>
        </w:rPr>
        <w:t>工艺，废水处理工艺简介：含待处理废水通过人工格栅去除大颗粒物后进入集水池，然后经提升泵站泵入pH调节池，投加石灰乳/片碱充分搅拌混合反应调pH到7~8.5以上。在曝气搅拌作用下，金属离子在碱性条件下生成氢氧化物沉淀并以小悬浮物形式析出，自流进入反应池，水中悬浮物即形成粗大矾花式絮体物，废水经絮凝反应后自流至沉淀池进行泥水分离除去沉淀污泥物，出水进入清水池中，自流排放至附近沟渠。沉淀池的污泥进入污泥池，排泥水排入污泥池，用污泥泵抽至压滤设备处理后的污泥外运，上清液回流到缓冲水池进行再处理，尾水排入周边小溪后汇入汨罗江。</w:t>
      </w:r>
    </w:p>
    <w:p w14:paraId="09EFB039">
      <w:pPr>
        <w:rPr>
          <w:rFonts w:hint="default" w:ascii="Times New Roman" w:hAnsi="Times New Roman" w:cs="Times New Roman"/>
          <w:sz w:val="24"/>
          <w:szCs w:val="24"/>
          <w:highlight w:val="none"/>
          <w:u w:val="none" w:color="auto"/>
          <w:lang w:val="en-US" w:eastAsia="zh-CN"/>
        </w:rPr>
      </w:pPr>
      <w:r>
        <w:rPr>
          <w:rFonts w:hint="default" w:ascii="Times New Roman" w:hAnsi="Times New Roman" w:cs="Times New Roman"/>
          <w:sz w:val="24"/>
          <w:szCs w:val="24"/>
          <w:highlight w:val="none"/>
          <w:u w:val="none" w:color="auto"/>
          <w:lang w:val="en-US" w:eastAsia="zh-CN"/>
        </w:rPr>
        <w:t>根据例行监测报告，湖南黄金天岳矿业有限公司垂拱洞尾矿库废水处理站废水重金属污染物满足《农田灌溉水质标准》（GB5084-2021）中表1、表2标准，其他污染物执行《污水综合排放标准》（GB8978-1996）表4中一级标准。</w:t>
      </w:r>
    </w:p>
    <w:p w14:paraId="62C71007">
      <w:pPr>
        <w:spacing w:line="240" w:lineRule="auto"/>
        <w:ind w:left="0" w:leftChars="0" w:firstLine="0" w:firstLineChars="0"/>
        <w:jc w:val="center"/>
        <w:rPr>
          <w:rFonts w:hint="default" w:ascii="Times New Roman" w:hAnsi="Times New Roman" w:cs="Times New Roman"/>
          <w:b/>
          <w:bCs/>
          <w:sz w:val="21"/>
          <w:szCs w:val="21"/>
          <w:highlight w:val="none"/>
          <w:u w:val="none" w:color="auto"/>
          <w:lang w:val="en-US" w:eastAsia="zh-CN"/>
        </w:rPr>
      </w:pPr>
      <w:r>
        <w:rPr>
          <w:rFonts w:hint="default" w:ascii="Times New Roman" w:hAnsi="Times New Roman" w:cs="Times New Roman"/>
          <w:b/>
          <w:bCs/>
          <w:sz w:val="21"/>
          <w:szCs w:val="21"/>
          <w:highlight w:val="none"/>
          <w:u w:val="none" w:color="auto"/>
          <w:lang w:val="en-US" w:eastAsia="zh-CN"/>
        </w:rPr>
        <w:t>表7.2-1  湖南黄金天岳矿业有限公司垂拱洞尾矿库废水处理站监测结果   单位：mg/L</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686"/>
        <w:gridCol w:w="1487"/>
        <w:gridCol w:w="1209"/>
        <w:gridCol w:w="1259"/>
        <w:gridCol w:w="1760"/>
        <w:gridCol w:w="1884"/>
      </w:tblGrid>
      <w:tr w14:paraId="0B97570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908" w:type="pct"/>
            <w:tcBorders>
              <w:tl2br w:val="nil"/>
              <w:tr2bl w:val="nil"/>
            </w:tcBorders>
            <w:noWrap w:val="0"/>
            <w:vAlign w:val="center"/>
          </w:tcPr>
          <w:p w14:paraId="38A9A0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监测点位</w:t>
            </w:r>
          </w:p>
        </w:tc>
        <w:tc>
          <w:tcPr>
            <w:tcW w:w="801" w:type="pct"/>
            <w:tcBorders>
              <w:tl2br w:val="nil"/>
              <w:tr2bl w:val="nil"/>
            </w:tcBorders>
            <w:noWrap w:val="0"/>
            <w:vAlign w:val="center"/>
          </w:tcPr>
          <w:p w14:paraId="2032FD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采样日期</w:t>
            </w:r>
          </w:p>
        </w:tc>
        <w:tc>
          <w:tcPr>
            <w:tcW w:w="651" w:type="pct"/>
            <w:tcBorders>
              <w:tl2br w:val="nil"/>
              <w:tr2bl w:val="nil"/>
            </w:tcBorders>
            <w:noWrap w:val="0"/>
            <w:vAlign w:val="center"/>
          </w:tcPr>
          <w:p w14:paraId="321A8F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监测因子</w:t>
            </w:r>
          </w:p>
        </w:tc>
        <w:tc>
          <w:tcPr>
            <w:tcW w:w="678" w:type="pct"/>
            <w:tcBorders>
              <w:tl2br w:val="nil"/>
              <w:tr2bl w:val="nil"/>
            </w:tcBorders>
            <w:noWrap w:val="0"/>
            <w:vAlign w:val="center"/>
          </w:tcPr>
          <w:p w14:paraId="281C37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监测结果</w:t>
            </w:r>
          </w:p>
        </w:tc>
        <w:tc>
          <w:tcPr>
            <w:tcW w:w="948" w:type="pct"/>
            <w:tcBorders>
              <w:tl2br w:val="nil"/>
              <w:tr2bl w:val="nil"/>
            </w:tcBorders>
            <w:noWrap w:val="0"/>
            <w:vAlign w:val="center"/>
          </w:tcPr>
          <w:p w14:paraId="1DF894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标准值</w:t>
            </w:r>
          </w:p>
        </w:tc>
        <w:tc>
          <w:tcPr>
            <w:tcW w:w="1011" w:type="pct"/>
            <w:tcBorders>
              <w:tl2br w:val="nil"/>
              <w:tr2bl w:val="nil"/>
            </w:tcBorders>
            <w:noWrap w:val="0"/>
            <w:vAlign w:val="center"/>
          </w:tcPr>
          <w:p w14:paraId="01527B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color="auto"/>
                <w:lang w:val="en-US" w:eastAsia="zh-CN"/>
              </w:rPr>
            </w:pPr>
            <w:r>
              <w:rPr>
                <w:rFonts w:hint="eastAsia"/>
                <w:b/>
                <w:bCs/>
                <w:sz w:val="21"/>
                <w:szCs w:val="21"/>
                <w:highlight w:val="none"/>
                <w:u w:val="none" w:color="auto"/>
                <w:lang w:val="en-US" w:eastAsia="zh-CN"/>
              </w:rPr>
              <w:t>是否达标</w:t>
            </w:r>
          </w:p>
        </w:tc>
      </w:tr>
      <w:tr w14:paraId="4954783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restart"/>
            <w:tcBorders>
              <w:tl2br w:val="nil"/>
              <w:tr2bl w:val="nil"/>
            </w:tcBorders>
            <w:noWrap w:val="0"/>
            <w:vAlign w:val="center"/>
          </w:tcPr>
          <w:p w14:paraId="45C168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default"/>
                <w:sz w:val="21"/>
                <w:szCs w:val="21"/>
                <w:highlight w:val="none"/>
                <w:u w:val="none" w:color="auto"/>
                <w:lang w:val="en-US" w:eastAsia="zh-CN"/>
              </w:rPr>
              <w:t>垂拱洞尾矿库废水处理站</w:t>
            </w:r>
            <w:r>
              <w:rPr>
                <w:rFonts w:hint="eastAsia"/>
                <w:sz w:val="21"/>
                <w:szCs w:val="21"/>
                <w:highlight w:val="none"/>
                <w:u w:val="none" w:color="auto"/>
                <w:lang w:val="en-US" w:eastAsia="zh-CN"/>
              </w:rPr>
              <w:t>渗滤液排口</w:t>
            </w:r>
          </w:p>
        </w:tc>
        <w:tc>
          <w:tcPr>
            <w:tcW w:w="801" w:type="pct"/>
            <w:vMerge w:val="restart"/>
            <w:tcBorders>
              <w:tl2br w:val="nil"/>
              <w:tr2bl w:val="nil"/>
            </w:tcBorders>
            <w:noWrap w:val="0"/>
            <w:vAlign w:val="center"/>
          </w:tcPr>
          <w:p w14:paraId="3FCEAE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2025.5.26</w:t>
            </w:r>
          </w:p>
        </w:tc>
        <w:tc>
          <w:tcPr>
            <w:tcW w:w="651" w:type="pct"/>
            <w:tcBorders>
              <w:tl2br w:val="nil"/>
              <w:tr2bl w:val="nil"/>
            </w:tcBorders>
            <w:noWrap w:val="0"/>
            <w:vAlign w:val="center"/>
          </w:tcPr>
          <w:p w14:paraId="7351DB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砷</w:t>
            </w:r>
          </w:p>
        </w:tc>
        <w:tc>
          <w:tcPr>
            <w:tcW w:w="678" w:type="pct"/>
            <w:tcBorders>
              <w:tl2br w:val="nil"/>
              <w:tr2bl w:val="nil"/>
            </w:tcBorders>
            <w:noWrap w:val="0"/>
            <w:vAlign w:val="center"/>
          </w:tcPr>
          <w:p w14:paraId="5D44B6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0.016</w:t>
            </w:r>
          </w:p>
        </w:tc>
        <w:tc>
          <w:tcPr>
            <w:tcW w:w="948" w:type="pct"/>
            <w:tcBorders>
              <w:tl2br w:val="nil"/>
              <w:tr2bl w:val="nil"/>
            </w:tcBorders>
            <w:noWrap w:val="0"/>
            <w:vAlign w:val="center"/>
          </w:tcPr>
          <w:p w14:paraId="492D18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0.05</w:t>
            </w:r>
          </w:p>
        </w:tc>
        <w:tc>
          <w:tcPr>
            <w:tcW w:w="1011" w:type="pct"/>
            <w:tcBorders>
              <w:tl2br w:val="nil"/>
              <w:tr2bl w:val="nil"/>
            </w:tcBorders>
            <w:noWrap w:val="0"/>
            <w:vAlign w:val="center"/>
          </w:tcPr>
          <w:p w14:paraId="2F2EB2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达标</w:t>
            </w:r>
          </w:p>
        </w:tc>
      </w:tr>
      <w:tr w14:paraId="14C7E8D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tcBorders>
              <w:tl2br w:val="nil"/>
              <w:tr2bl w:val="nil"/>
            </w:tcBorders>
            <w:noWrap w:val="0"/>
            <w:vAlign w:val="center"/>
          </w:tcPr>
          <w:p w14:paraId="1AD818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tcBorders>
              <w:tl2br w:val="nil"/>
              <w:tr2bl w:val="nil"/>
            </w:tcBorders>
            <w:noWrap w:val="0"/>
            <w:vAlign w:val="center"/>
          </w:tcPr>
          <w:p w14:paraId="46015D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tcBorders>
              <w:tl2br w:val="nil"/>
              <w:tr2bl w:val="nil"/>
            </w:tcBorders>
            <w:noWrap w:val="0"/>
            <w:vAlign w:val="center"/>
          </w:tcPr>
          <w:p w14:paraId="3B8CC0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铅</w:t>
            </w:r>
          </w:p>
        </w:tc>
        <w:tc>
          <w:tcPr>
            <w:tcW w:w="678" w:type="pct"/>
            <w:tcBorders>
              <w:tl2br w:val="nil"/>
              <w:tr2bl w:val="nil"/>
            </w:tcBorders>
            <w:noWrap w:val="0"/>
            <w:vAlign w:val="center"/>
          </w:tcPr>
          <w:p w14:paraId="30AE1B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0.010L</w:t>
            </w:r>
          </w:p>
        </w:tc>
        <w:tc>
          <w:tcPr>
            <w:tcW w:w="948" w:type="pct"/>
            <w:tcBorders>
              <w:tl2br w:val="nil"/>
              <w:tr2bl w:val="nil"/>
            </w:tcBorders>
            <w:noWrap w:val="0"/>
            <w:vAlign w:val="center"/>
          </w:tcPr>
          <w:p w14:paraId="39BF67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0.2</w:t>
            </w:r>
          </w:p>
        </w:tc>
        <w:tc>
          <w:tcPr>
            <w:tcW w:w="1011" w:type="pct"/>
            <w:tcBorders>
              <w:tl2br w:val="nil"/>
              <w:tr2bl w:val="nil"/>
            </w:tcBorders>
            <w:noWrap w:val="0"/>
            <w:vAlign w:val="center"/>
          </w:tcPr>
          <w:p w14:paraId="3FDF2A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5090520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tcBorders>
              <w:tl2br w:val="nil"/>
              <w:tr2bl w:val="nil"/>
            </w:tcBorders>
            <w:noWrap w:val="0"/>
            <w:vAlign w:val="center"/>
          </w:tcPr>
          <w:p w14:paraId="6ACA3F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tcBorders>
              <w:tl2br w:val="nil"/>
              <w:tr2bl w:val="nil"/>
            </w:tcBorders>
            <w:noWrap w:val="0"/>
            <w:vAlign w:val="center"/>
          </w:tcPr>
          <w:p w14:paraId="6F7804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tcBorders>
              <w:tl2br w:val="nil"/>
              <w:tr2bl w:val="nil"/>
            </w:tcBorders>
            <w:noWrap w:val="0"/>
            <w:vAlign w:val="center"/>
          </w:tcPr>
          <w:p w14:paraId="0257A9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镉</w:t>
            </w:r>
          </w:p>
        </w:tc>
        <w:tc>
          <w:tcPr>
            <w:tcW w:w="678" w:type="pct"/>
            <w:tcBorders>
              <w:tl2br w:val="nil"/>
              <w:tr2bl w:val="nil"/>
            </w:tcBorders>
            <w:noWrap w:val="0"/>
            <w:vAlign w:val="center"/>
          </w:tcPr>
          <w:p w14:paraId="0A026F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0.001L</w:t>
            </w:r>
          </w:p>
        </w:tc>
        <w:tc>
          <w:tcPr>
            <w:tcW w:w="948" w:type="pct"/>
            <w:tcBorders>
              <w:tl2br w:val="nil"/>
              <w:tr2bl w:val="nil"/>
            </w:tcBorders>
            <w:noWrap w:val="0"/>
            <w:vAlign w:val="center"/>
          </w:tcPr>
          <w:p w14:paraId="294E13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0.01</w:t>
            </w:r>
          </w:p>
        </w:tc>
        <w:tc>
          <w:tcPr>
            <w:tcW w:w="1011" w:type="pct"/>
            <w:tcBorders>
              <w:tl2br w:val="nil"/>
              <w:tr2bl w:val="nil"/>
            </w:tcBorders>
            <w:noWrap w:val="0"/>
            <w:vAlign w:val="center"/>
          </w:tcPr>
          <w:p w14:paraId="206E2F6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211BCA0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tcBorders>
              <w:tl2br w:val="nil"/>
              <w:tr2bl w:val="nil"/>
            </w:tcBorders>
            <w:noWrap w:val="0"/>
            <w:vAlign w:val="center"/>
          </w:tcPr>
          <w:p w14:paraId="2C41C3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tcBorders>
              <w:tl2br w:val="nil"/>
              <w:tr2bl w:val="nil"/>
            </w:tcBorders>
            <w:noWrap w:val="0"/>
            <w:vAlign w:val="center"/>
          </w:tcPr>
          <w:p w14:paraId="2442A5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tcBorders>
              <w:tl2br w:val="nil"/>
              <w:tr2bl w:val="nil"/>
            </w:tcBorders>
            <w:noWrap w:val="0"/>
            <w:vAlign w:val="center"/>
          </w:tcPr>
          <w:p w14:paraId="508001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汞</w:t>
            </w:r>
          </w:p>
        </w:tc>
        <w:tc>
          <w:tcPr>
            <w:tcW w:w="678" w:type="pct"/>
            <w:tcBorders>
              <w:tl2br w:val="nil"/>
              <w:tr2bl w:val="nil"/>
            </w:tcBorders>
            <w:noWrap w:val="0"/>
            <w:vAlign w:val="center"/>
          </w:tcPr>
          <w:p w14:paraId="74BF06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default" w:ascii="Times New Roman" w:hAnsi="Times New Roman" w:cs="Times New Roman"/>
                <w:sz w:val="21"/>
                <w:szCs w:val="21"/>
                <w:highlight w:val="none"/>
                <w:u w:val="none" w:color="auto"/>
                <w:lang w:val="en-US" w:eastAsia="zh-CN"/>
              </w:rPr>
              <w:t>7×10</w:t>
            </w:r>
            <w:r>
              <w:rPr>
                <w:rFonts w:hint="default" w:ascii="Times New Roman" w:hAnsi="Times New Roman" w:cs="Times New Roman"/>
                <w:sz w:val="21"/>
                <w:szCs w:val="21"/>
                <w:highlight w:val="none"/>
                <w:u w:val="none" w:color="auto"/>
                <w:vertAlign w:val="superscript"/>
                <w:lang w:val="en-US" w:eastAsia="zh-CN"/>
              </w:rPr>
              <w:t>-5</w:t>
            </w:r>
          </w:p>
        </w:tc>
        <w:tc>
          <w:tcPr>
            <w:tcW w:w="948" w:type="pct"/>
            <w:tcBorders>
              <w:tl2br w:val="nil"/>
              <w:tr2bl w:val="nil"/>
            </w:tcBorders>
            <w:noWrap w:val="0"/>
            <w:vAlign w:val="center"/>
          </w:tcPr>
          <w:p w14:paraId="014462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0.001</w:t>
            </w:r>
          </w:p>
        </w:tc>
        <w:tc>
          <w:tcPr>
            <w:tcW w:w="1011" w:type="pct"/>
            <w:tcBorders>
              <w:tl2br w:val="nil"/>
              <w:tr2bl w:val="nil"/>
            </w:tcBorders>
            <w:noWrap w:val="0"/>
            <w:vAlign w:val="center"/>
          </w:tcPr>
          <w:p w14:paraId="79F36C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13DFF26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tcBorders>
              <w:tl2br w:val="nil"/>
              <w:tr2bl w:val="nil"/>
            </w:tcBorders>
            <w:noWrap w:val="0"/>
            <w:vAlign w:val="center"/>
          </w:tcPr>
          <w:p w14:paraId="388733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tcBorders>
              <w:tl2br w:val="nil"/>
              <w:tr2bl w:val="nil"/>
            </w:tcBorders>
            <w:noWrap w:val="0"/>
            <w:vAlign w:val="center"/>
          </w:tcPr>
          <w:p w14:paraId="5AAB51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tcBorders>
              <w:tl2br w:val="nil"/>
              <w:tr2bl w:val="nil"/>
            </w:tcBorders>
            <w:noWrap w:val="0"/>
            <w:vAlign w:val="center"/>
          </w:tcPr>
          <w:p w14:paraId="11FDAD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锌</w:t>
            </w:r>
          </w:p>
        </w:tc>
        <w:tc>
          <w:tcPr>
            <w:tcW w:w="678" w:type="pct"/>
            <w:tcBorders>
              <w:tl2br w:val="nil"/>
              <w:tr2bl w:val="nil"/>
            </w:tcBorders>
            <w:noWrap w:val="0"/>
            <w:vAlign w:val="center"/>
          </w:tcPr>
          <w:p w14:paraId="0C3687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0.05L</w:t>
            </w:r>
          </w:p>
        </w:tc>
        <w:tc>
          <w:tcPr>
            <w:tcW w:w="948" w:type="pct"/>
            <w:tcBorders>
              <w:tl2br w:val="nil"/>
              <w:tr2bl w:val="nil"/>
            </w:tcBorders>
            <w:noWrap w:val="0"/>
            <w:vAlign w:val="center"/>
          </w:tcPr>
          <w:p w14:paraId="060078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2</w:t>
            </w:r>
          </w:p>
        </w:tc>
        <w:tc>
          <w:tcPr>
            <w:tcW w:w="1011" w:type="pct"/>
            <w:tcBorders>
              <w:tl2br w:val="nil"/>
              <w:tr2bl w:val="nil"/>
            </w:tcBorders>
            <w:noWrap w:val="0"/>
            <w:vAlign w:val="center"/>
          </w:tcPr>
          <w:p w14:paraId="104EA04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64169EB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tcBorders>
              <w:tl2br w:val="nil"/>
              <w:tr2bl w:val="nil"/>
            </w:tcBorders>
            <w:noWrap w:val="0"/>
            <w:vAlign w:val="center"/>
          </w:tcPr>
          <w:p w14:paraId="26B646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tcBorders>
              <w:tl2br w:val="nil"/>
              <w:tr2bl w:val="nil"/>
            </w:tcBorders>
            <w:noWrap w:val="0"/>
            <w:vAlign w:val="center"/>
          </w:tcPr>
          <w:p w14:paraId="4529B0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tcBorders>
              <w:tl2br w:val="nil"/>
              <w:tr2bl w:val="nil"/>
            </w:tcBorders>
            <w:noWrap w:val="0"/>
            <w:vAlign w:val="center"/>
          </w:tcPr>
          <w:p w14:paraId="6EB142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铜</w:t>
            </w:r>
          </w:p>
        </w:tc>
        <w:tc>
          <w:tcPr>
            <w:tcW w:w="678" w:type="pct"/>
            <w:tcBorders>
              <w:tl2br w:val="nil"/>
              <w:tr2bl w:val="nil"/>
            </w:tcBorders>
            <w:noWrap w:val="0"/>
            <w:vAlign w:val="center"/>
          </w:tcPr>
          <w:p w14:paraId="59DD2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0.001L</w:t>
            </w:r>
          </w:p>
        </w:tc>
        <w:tc>
          <w:tcPr>
            <w:tcW w:w="948" w:type="pct"/>
            <w:tcBorders>
              <w:tl2br w:val="nil"/>
              <w:tr2bl w:val="nil"/>
            </w:tcBorders>
            <w:noWrap w:val="0"/>
            <w:vAlign w:val="center"/>
          </w:tcPr>
          <w:p w14:paraId="7759D0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0.5</w:t>
            </w:r>
          </w:p>
        </w:tc>
        <w:tc>
          <w:tcPr>
            <w:tcW w:w="1011" w:type="pct"/>
            <w:tcBorders>
              <w:tl2br w:val="nil"/>
              <w:tr2bl w:val="nil"/>
            </w:tcBorders>
            <w:noWrap w:val="0"/>
            <w:vAlign w:val="center"/>
          </w:tcPr>
          <w:p w14:paraId="08A37A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3D67845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tcBorders>
              <w:tl2br w:val="nil"/>
              <w:tr2bl w:val="nil"/>
            </w:tcBorders>
            <w:noWrap w:val="0"/>
            <w:vAlign w:val="center"/>
          </w:tcPr>
          <w:p w14:paraId="4C6AE2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restart"/>
            <w:tcBorders>
              <w:tl2br w:val="nil"/>
              <w:tr2bl w:val="nil"/>
            </w:tcBorders>
            <w:noWrap w:val="0"/>
            <w:vAlign w:val="center"/>
          </w:tcPr>
          <w:p w14:paraId="440498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2025.7.1</w:t>
            </w:r>
          </w:p>
        </w:tc>
        <w:tc>
          <w:tcPr>
            <w:tcW w:w="651" w:type="pct"/>
            <w:tcBorders>
              <w:tl2br w:val="nil"/>
              <w:tr2bl w:val="nil"/>
            </w:tcBorders>
            <w:noWrap w:val="0"/>
            <w:vAlign w:val="center"/>
          </w:tcPr>
          <w:p w14:paraId="1FD768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砷</w:t>
            </w:r>
          </w:p>
        </w:tc>
        <w:tc>
          <w:tcPr>
            <w:tcW w:w="678" w:type="pct"/>
            <w:tcBorders>
              <w:tl2br w:val="nil"/>
              <w:tr2bl w:val="nil"/>
            </w:tcBorders>
            <w:noWrap w:val="0"/>
            <w:vAlign w:val="center"/>
          </w:tcPr>
          <w:p w14:paraId="2FEF78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ascii="Times New Roman" w:hAnsi="Times New Roman" w:cs="Times New Roman"/>
                <w:sz w:val="21"/>
                <w:szCs w:val="21"/>
                <w:highlight w:val="none"/>
                <w:u w:val="none" w:color="auto"/>
                <w:lang w:val="en-US" w:eastAsia="zh-CN"/>
              </w:rPr>
              <w:t>4</w:t>
            </w:r>
            <w:r>
              <w:rPr>
                <w:rFonts w:hint="default" w:ascii="Times New Roman" w:hAnsi="Times New Roman" w:cs="Times New Roman"/>
                <w:sz w:val="21"/>
                <w:szCs w:val="21"/>
                <w:highlight w:val="none"/>
                <w:u w:val="none" w:color="auto"/>
                <w:lang w:val="en-US" w:eastAsia="zh-CN"/>
              </w:rPr>
              <w:t>×10</w:t>
            </w:r>
            <w:r>
              <w:rPr>
                <w:rFonts w:hint="default" w:ascii="Times New Roman" w:hAnsi="Times New Roman" w:cs="Times New Roman"/>
                <w:sz w:val="21"/>
                <w:szCs w:val="21"/>
                <w:highlight w:val="none"/>
                <w:u w:val="none" w:color="auto"/>
                <w:vertAlign w:val="superscript"/>
                <w:lang w:val="en-US" w:eastAsia="zh-CN"/>
              </w:rPr>
              <w:t>-</w:t>
            </w:r>
            <w:r>
              <w:rPr>
                <w:rFonts w:hint="eastAsia" w:ascii="Times New Roman" w:hAnsi="Times New Roman" w:cs="Times New Roman"/>
                <w:sz w:val="21"/>
                <w:szCs w:val="21"/>
                <w:highlight w:val="none"/>
                <w:u w:val="none" w:color="auto"/>
                <w:vertAlign w:val="superscript"/>
                <w:lang w:val="en-US" w:eastAsia="zh-CN"/>
              </w:rPr>
              <w:t>4</w:t>
            </w:r>
          </w:p>
        </w:tc>
        <w:tc>
          <w:tcPr>
            <w:tcW w:w="948" w:type="pct"/>
            <w:tcBorders>
              <w:tl2br w:val="nil"/>
              <w:tr2bl w:val="nil"/>
            </w:tcBorders>
            <w:noWrap w:val="0"/>
            <w:vAlign w:val="center"/>
          </w:tcPr>
          <w:p w14:paraId="5EFC2D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0.05</w:t>
            </w:r>
          </w:p>
        </w:tc>
        <w:tc>
          <w:tcPr>
            <w:tcW w:w="1011" w:type="pct"/>
            <w:tcBorders>
              <w:tl2br w:val="nil"/>
              <w:tr2bl w:val="nil"/>
            </w:tcBorders>
            <w:noWrap w:val="0"/>
            <w:vAlign w:val="center"/>
          </w:tcPr>
          <w:p w14:paraId="5A4BEF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6189B55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noWrap w:val="0"/>
            <w:vAlign w:val="top"/>
          </w:tcPr>
          <w:p w14:paraId="5CB5B4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noWrap w:val="0"/>
            <w:vAlign w:val="top"/>
          </w:tcPr>
          <w:p w14:paraId="0DEC32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noWrap w:val="0"/>
            <w:vAlign w:val="center"/>
          </w:tcPr>
          <w:p w14:paraId="6A940D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铅</w:t>
            </w:r>
          </w:p>
        </w:tc>
        <w:tc>
          <w:tcPr>
            <w:tcW w:w="678" w:type="pct"/>
            <w:noWrap w:val="0"/>
            <w:vAlign w:val="top"/>
          </w:tcPr>
          <w:p w14:paraId="4C3BC7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0.010L</w:t>
            </w:r>
          </w:p>
        </w:tc>
        <w:tc>
          <w:tcPr>
            <w:tcW w:w="0" w:type="auto"/>
            <w:noWrap w:val="0"/>
            <w:vAlign w:val="center"/>
          </w:tcPr>
          <w:p w14:paraId="061A4B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0.2</w:t>
            </w:r>
          </w:p>
        </w:tc>
        <w:tc>
          <w:tcPr>
            <w:tcW w:w="0" w:type="auto"/>
            <w:noWrap w:val="0"/>
            <w:vAlign w:val="top"/>
          </w:tcPr>
          <w:p w14:paraId="2189EA2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7CE5F24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noWrap w:val="0"/>
            <w:vAlign w:val="top"/>
          </w:tcPr>
          <w:p w14:paraId="1F9F63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noWrap w:val="0"/>
            <w:vAlign w:val="top"/>
          </w:tcPr>
          <w:p w14:paraId="65DF7F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noWrap w:val="0"/>
            <w:vAlign w:val="center"/>
          </w:tcPr>
          <w:p w14:paraId="690754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镉</w:t>
            </w:r>
          </w:p>
        </w:tc>
        <w:tc>
          <w:tcPr>
            <w:tcW w:w="678" w:type="pct"/>
            <w:noWrap w:val="0"/>
            <w:vAlign w:val="top"/>
          </w:tcPr>
          <w:p w14:paraId="55815B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0.001L</w:t>
            </w:r>
          </w:p>
        </w:tc>
        <w:tc>
          <w:tcPr>
            <w:tcW w:w="0" w:type="auto"/>
            <w:noWrap w:val="0"/>
            <w:vAlign w:val="center"/>
          </w:tcPr>
          <w:p w14:paraId="4FB2C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0.01</w:t>
            </w:r>
          </w:p>
        </w:tc>
        <w:tc>
          <w:tcPr>
            <w:tcW w:w="0" w:type="auto"/>
            <w:noWrap w:val="0"/>
            <w:vAlign w:val="top"/>
          </w:tcPr>
          <w:p w14:paraId="3AEDEC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503DF27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noWrap w:val="0"/>
            <w:vAlign w:val="top"/>
          </w:tcPr>
          <w:p w14:paraId="7F76C8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noWrap w:val="0"/>
            <w:vAlign w:val="top"/>
          </w:tcPr>
          <w:p w14:paraId="4CB9A2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noWrap w:val="0"/>
            <w:vAlign w:val="center"/>
          </w:tcPr>
          <w:p w14:paraId="536B27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汞</w:t>
            </w:r>
          </w:p>
        </w:tc>
        <w:tc>
          <w:tcPr>
            <w:tcW w:w="678" w:type="pct"/>
            <w:noWrap w:val="0"/>
            <w:vAlign w:val="top"/>
          </w:tcPr>
          <w:p w14:paraId="1997A5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r>
              <w:rPr>
                <w:rFonts w:hint="eastAsia" w:ascii="Times New Roman" w:hAnsi="Times New Roman" w:cs="Times New Roman"/>
                <w:sz w:val="21"/>
                <w:szCs w:val="21"/>
                <w:highlight w:val="none"/>
                <w:u w:val="none" w:color="auto"/>
                <w:lang w:val="en-US" w:eastAsia="zh-CN"/>
              </w:rPr>
              <w:t>4</w:t>
            </w:r>
            <w:r>
              <w:rPr>
                <w:rFonts w:hint="default" w:ascii="Times New Roman" w:hAnsi="Times New Roman" w:cs="Times New Roman"/>
                <w:sz w:val="21"/>
                <w:szCs w:val="21"/>
                <w:highlight w:val="none"/>
                <w:u w:val="none" w:color="auto"/>
                <w:lang w:val="en-US" w:eastAsia="zh-CN"/>
              </w:rPr>
              <w:t>×10</w:t>
            </w:r>
            <w:r>
              <w:rPr>
                <w:rFonts w:hint="default" w:ascii="Times New Roman" w:hAnsi="Times New Roman" w:cs="Times New Roman"/>
                <w:sz w:val="21"/>
                <w:szCs w:val="21"/>
                <w:highlight w:val="none"/>
                <w:u w:val="none" w:color="auto"/>
                <w:vertAlign w:val="superscript"/>
                <w:lang w:val="en-US" w:eastAsia="zh-CN"/>
              </w:rPr>
              <w:t>-5</w:t>
            </w:r>
            <w:r>
              <w:rPr>
                <w:rFonts w:hint="eastAsia"/>
                <w:sz w:val="21"/>
                <w:szCs w:val="21"/>
                <w:highlight w:val="none"/>
                <w:u w:val="none" w:color="auto"/>
                <w:lang w:val="en-US" w:eastAsia="zh-CN"/>
              </w:rPr>
              <w:t>L</w:t>
            </w:r>
          </w:p>
        </w:tc>
        <w:tc>
          <w:tcPr>
            <w:tcW w:w="0" w:type="auto"/>
            <w:noWrap w:val="0"/>
            <w:vAlign w:val="center"/>
          </w:tcPr>
          <w:p w14:paraId="4934E7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0.001</w:t>
            </w:r>
          </w:p>
        </w:tc>
        <w:tc>
          <w:tcPr>
            <w:tcW w:w="0" w:type="auto"/>
            <w:noWrap w:val="0"/>
            <w:vAlign w:val="top"/>
          </w:tcPr>
          <w:p w14:paraId="429999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4498291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noWrap w:val="0"/>
            <w:vAlign w:val="top"/>
          </w:tcPr>
          <w:p w14:paraId="153D3E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noWrap w:val="0"/>
            <w:vAlign w:val="top"/>
          </w:tcPr>
          <w:p w14:paraId="008F5C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noWrap w:val="0"/>
            <w:vAlign w:val="center"/>
          </w:tcPr>
          <w:p w14:paraId="1AA400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锌</w:t>
            </w:r>
          </w:p>
        </w:tc>
        <w:tc>
          <w:tcPr>
            <w:tcW w:w="678" w:type="pct"/>
            <w:noWrap w:val="0"/>
            <w:vAlign w:val="top"/>
          </w:tcPr>
          <w:p w14:paraId="75EB78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0.05L</w:t>
            </w:r>
          </w:p>
        </w:tc>
        <w:tc>
          <w:tcPr>
            <w:tcW w:w="0" w:type="auto"/>
            <w:noWrap w:val="0"/>
            <w:vAlign w:val="center"/>
          </w:tcPr>
          <w:p w14:paraId="1453DE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2</w:t>
            </w:r>
          </w:p>
        </w:tc>
        <w:tc>
          <w:tcPr>
            <w:tcW w:w="0" w:type="auto"/>
            <w:noWrap w:val="0"/>
            <w:vAlign w:val="top"/>
          </w:tcPr>
          <w:p w14:paraId="274B749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18B2D10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908" w:type="pct"/>
            <w:vMerge w:val="continue"/>
            <w:noWrap w:val="0"/>
            <w:vAlign w:val="top"/>
          </w:tcPr>
          <w:p w14:paraId="24A339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801" w:type="pct"/>
            <w:vMerge w:val="continue"/>
            <w:noWrap w:val="0"/>
            <w:vAlign w:val="top"/>
          </w:tcPr>
          <w:p w14:paraId="503907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color="auto"/>
                <w:lang w:val="en-US" w:eastAsia="zh-CN"/>
              </w:rPr>
            </w:pPr>
          </w:p>
        </w:tc>
        <w:tc>
          <w:tcPr>
            <w:tcW w:w="651" w:type="pct"/>
            <w:noWrap w:val="0"/>
            <w:vAlign w:val="center"/>
          </w:tcPr>
          <w:p w14:paraId="58182A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铜</w:t>
            </w:r>
          </w:p>
        </w:tc>
        <w:tc>
          <w:tcPr>
            <w:tcW w:w="678" w:type="pct"/>
            <w:noWrap w:val="0"/>
            <w:vAlign w:val="top"/>
          </w:tcPr>
          <w:p w14:paraId="6402B5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color="auto"/>
                <w:lang w:val="en-US" w:eastAsia="zh-CN"/>
              </w:rPr>
            </w:pPr>
            <w:r>
              <w:rPr>
                <w:rFonts w:hint="eastAsia"/>
                <w:sz w:val="21"/>
                <w:szCs w:val="21"/>
                <w:highlight w:val="none"/>
                <w:u w:val="none" w:color="auto"/>
                <w:lang w:val="en-US" w:eastAsia="zh-CN"/>
              </w:rPr>
              <w:t>0.001L</w:t>
            </w:r>
          </w:p>
        </w:tc>
        <w:tc>
          <w:tcPr>
            <w:tcW w:w="0" w:type="auto"/>
            <w:noWrap w:val="0"/>
            <w:vAlign w:val="center"/>
          </w:tcPr>
          <w:p w14:paraId="4C1713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u w:val="none" w:color="auto"/>
                <w:lang w:val="en-US" w:eastAsia="zh-CN" w:bidi="ar-SA"/>
              </w:rPr>
            </w:pPr>
            <w:r>
              <w:rPr>
                <w:rFonts w:hint="eastAsia"/>
                <w:sz w:val="21"/>
                <w:szCs w:val="21"/>
                <w:highlight w:val="none"/>
                <w:u w:val="none" w:color="auto"/>
                <w:lang w:val="en-US" w:eastAsia="zh-CN"/>
              </w:rPr>
              <w:t>0.5</w:t>
            </w:r>
          </w:p>
        </w:tc>
        <w:tc>
          <w:tcPr>
            <w:tcW w:w="0" w:type="auto"/>
            <w:noWrap w:val="0"/>
            <w:vAlign w:val="top"/>
          </w:tcPr>
          <w:p w14:paraId="076BB7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u w:val="none" w:color="auto"/>
                <w:lang w:val="en-US" w:eastAsia="zh-CN"/>
              </w:rPr>
            </w:pPr>
            <w:r>
              <w:rPr>
                <w:rFonts w:hint="eastAsia"/>
                <w:sz w:val="21"/>
                <w:szCs w:val="21"/>
                <w:highlight w:val="none"/>
                <w:u w:val="none" w:color="auto"/>
                <w:lang w:val="en-US" w:eastAsia="zh-CN"/>
              </w:rPr>
              <w:t>达标</w:t>
            </w:r>
          </w:p>
        </w:tc>
      </w:tr>
      <w:tr w14:paraId="0C08C18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000" w:type="pct"/>
            <w:gridSpan w:val="6"/>
            <w:noWrap w:val="0"/>
            <w:vAlign w:val="top"/>
          </w:tcPr>
          <w:p w14:paraId="4B1162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b/>
                <w:bCs/>
                <w:sz w:val="21"/>
                <w:szCs w:val="21"/>
                <w:highlight w:val="none"/>
                <w:u w:val="none" w:color="auto"/>
                <w:lang w:val="en-US" w:eastAsia="zh-CN"/>
              </w:rPr>
            </w:pPr>
            <w:r>
              <w:rPr>
                <w:rFonts w:hint="eastAsia"/>
                <w:b/>
                <w:bCs/>
                <w:sz w:val="21"/>
                <w:szCs w:val="21"/>
                <w:highlight w:val="none"/>
                <w:u w:val="none" w:color="auto"/>
                <w:lang w:val="en-US" w:eastAsia="zh-CN"/>
              </w:rPr>
              <w:t>注：监测结果小于监测方法检出限，用检出限+L表示。</w:t>
            </w:r>
          </w:p>
        </w:tc>
      </w:tr>
    </w:tbl>
    <w:p w14:paraId="2A4CF2F6">
      <w:pPr>
        <w:rPr>
          <w:rFonts w:hint="default" w:ascii="Times New Roman" w:hAnsi="Times New Roman" w:cs="Times New Roman"/>
          <w:sz w:val="24"/>
          <w:szCs w:val="24"/>
          <w:highlight w:val="none"/>
          <w:u w:val="none" w:color="auto"/>
          <w:lang w:val="en-US" w:eastAsia="zh-CN"/>
        </w:rPr>
      </w:pPr>
      <w:r>
        <w:rPr>
          <w:rFonts w:hint="default" w:ascii="Times New Roman" w:hAnsi="Times New Roman" w:cs="Times New Roman"/>
          <w:sz w:val="24"/>
          <w:szCs w:val="24"/>
          <w:highlight w:val="none"/>
          <w:u w:val="none" w:color="auto"/>
          <w:lang w:val="en-US" w:eastAsia="zh-CN"/>
        </w:rPr>
        <w:t>本项目距上述湖南黄金天岳矿业有限公司垂拱洞尾矿库废水处理站直线距离约2.6km，已经与湖南黄金天岳矿业有限公司签订了废水处理协议。项目渗滤液最大产生量约17.28m</w:t>
      </w:r>
      <w:r>
        <w:rPr>
          <w:rFonts w:hint="default" w:ascii="Times New Roman" w:hAnsi="Times New Roman" w:cs="Times New Roman"/>
          <w:sz w:val="24"/>
          <w:szCs w:val="24"/>
          <w:highlight w:val="none"/>
          <w:u w:val="none" w:color="auto"/>
          <w:vertAlign w:val="superscript"/>
          <w:lang w:val="en-US" w:eastAsia="zh-CN"/>
        </w:rPr>
        <w:t>3</w:t>
      </w:r>
      <w:r>
        <w:rPr>
          <w:rFonts w:hint="default" w:ascii="Times New Roman" w:hAnsi="Times New Roman" w:cs="Times New Roman"/>
          <w:sz w:val="24"/>
          <w:szCs w:val="24"/>
          <w:highlight w:val="none"/>
          <w:u w:val="none" w:color="auto"/>
          <w:lang w:val="en-US" w:eastAsia="zh-CN"/>
        </w:rPr>
        <w:t>/d，本项目填埋场渗滤液含有的重金属成分主要为砷、铅、汞、镉等，与湖南黄金天岳矿业有限公司垂拱洞尾矿库废水处理站废水性质一致，湖南黄金天岳矿业有限公司垂拱洞尾矿库废水处理站的处理工艺和处理能力（容量或流量）满足本项目渗滤液处理的要求。项目废水排放量很小，不会对湖南黄金天岳矿业有限公司垂拱洞尾矿库废水处理站正常运行产生冲击影响。</w:t>
      </w:r>
    </w:p>
    <w:p w14:paraId="4ECEFAFF">
      <w:pPr>
        <w:rPr>
          <w:rFonts w:hint="default" w:ascii="Times New Roman" w:hAnsi="Times New Roman" w:cs="Times New Roman"/>
          <w:sz w:val="24"/>
          <w:szCs w:val="24"/>
          <w:u w:val="none" w:color="auto"/>
          <w:lang w:val="en-US" w:eastAsia="zh-CN"/>
        </w:rPr>
      </w:pPr>
      <w:r>
        <w:rPr>
          <w:rFonts w:hint="default" w:ascii="Times New Roman" w:hAnsi="Times New Roman" w:cs="Times New Roman"/>
          <w:sz w:val="24"/>
          <w:szCs w:val="24"/>
          <w:highlight w:val="none"/>
          <w:u w:val="none" w:color="auto"/>
          <w:lang w:val="en-US" w:eastAsia="zh-CN"/>
        </w:rPr>
        <w:t>综上分析，从湖南黄金天岳矿业有限公司垂拱洞尾矿库废水处理站处理能力、处理工艺、设计进出水水质等方面分析，本项目废水排放不会对湖南黄金天岳矿业有限公司垂拱洞尾矿库废水处理站造成较大的冲击和影响，项目废水纳入湖南黄金天岳矿业有限公司垂拱洞尾矿库废水处理站进一步处理可行。</w:t>
      </w:r>
    </w:p>
    <w:p w14:paraId="03A639C4">
      <w:pPr>
        <w:pStyle w:val="5"/>
        <w:numPr>
          <w:ilvl w:val="3"/>
          <w:numId w:val="0"/>
        </w:numPr>
        <w:tabs>
          <w:tab w:val="left" w:pos="964"/>
        </w:tabs>
        <w:bidi w:val="0"/>
        <w:ind w:leftChars="0"/>
        <w:rPr>
          <w:rFonts w:hint="default" w:ascii="Times New Roman" w:hAnsi="Times New Roman" w:cs="Times New Roman"/>
          <w:sz w:val="24"/>
          <w:szCs w:val="24"/>
          <w:highlight w:val="none"/>
          <w:u w:val="none" w:color="auto"/>
          <w:lang w:val="en-US" w:eastAsia="zh-CN"/>
        </w:rPr>
      </w:pPr>
      <w:r>
        <w:rPr>
          <w:rFonts w:hint="eastAsia" w:ascii="Times New Roman" w:hAnsi="Times New Roman" w:cs="Times New Roman"/>
          <w:sz w:val="24"/>
          <w:szCs w:val="24"/>
          <w:highlight w:val="none"/>
          <w:u w:val="none" w:color="auto"/>
          <w:lang w:val="en-US" w:eastAsia="zh-CN"/>
        </w:rPr>
        <w:t>7.2.2.3</w:t>
      </w:r>
      <w:r>
        <w:rPr>
          <w:rFonts w:hint="default" w:ascii="Times New Roman" w:hAnsi="Times New Roman" w:cs="Times New Roman"/>
          <w:sz w:val="24"/>
          <w:szCs w:val="24"/>
          <w:highlight w:val="none"/>
          <w:u w:val="none" w:color="auto"/>
          <w:lang w:val="en-US" w:eastAsia="zh-CN"/>
        </w:rPr>
        <w:t>废水处理工艺及处理规模可行性分析</w:t>
      </w:r>
    </w:p>
    <w:p w14:paraId="4099C98B">
      <w:pPr>
        <w:bidi w:val="0"/>
        <w:rPr>
          <w:rFonts w:hint="default" w:ascii="Times New Roman" w:hAnsi="Times New Roman" w:cs="Times New Roman"/>
          <w:b w:val="0"/>
          <w:bCs w:val="0"/>
          <w:color w:val="auto"/>
          <w:sz w:val="24"/>
          <w:szCs w:val="24"/>
          <w:highlight w:val="none"/>
          <w:u w:val="none" w:color="auto"/>
          <w:lang w:val="en-US" w:eastAsia="zh-CN"/>
        </w:rPr>
      </w:pPr>
      <w:r>
        <w:rPr>
          <w:rFonts w:hint="default" w:ascii="Times New Roman" w:hAnsi="Times New Roman" w:cs="Times New Roman"/>
          <w:b w:val="0"/>
          <w:bCs w:val="0"/>
          <w:color w:val="auto"/>
          <w:sz w:val="24"/>
          <w:szCs w:val="24"/>
          <w:highlight w:val="none"/>
          <w:u w:val="none" w:color="auto"/>
          <w:lang w:val="en-US" w:eastAsia="zh-CN"/>
        </w:rPr>
        <w:t>化学沉淀法处理重金属废水具有工艺简单、去除范围广、经济实用等特点，是目前应用最为广泛的处理重金属废水的方法，对上述重金属处理效率可达到60%以上，本项目采取额的废水处理措施为可行性技术。</w:t>
      </w:r>
    </w:p>
    <w:p w14:paraId="1EF13FD5">
      <w:pPr>
        <w:bidi w:val="0"/>
        <w:rPr>
          <w:rFonts w:hint="default" w:ascii="Times New Roman" w:hAnsi="Times New Roman" w:cs="Times New Roman"/>
          <w:b w:val="0"/>
          <w:bCs w:val="0"/>
          <w:color w:val="auto"/>
          <w:sz w:val="24"/>
          <w:szCs w:val="24"/>
          <w:highlight w:val="none"/>
          <w:u w:val="none" w:color="auto"/>
          <w:lang w:val="en-US" w:eastAsia="zh-CN"/>
        </w:rPr>
      </w:pPr>
      <w:bookmarkStart w:id="533" w:name="_Toc25186"/>
      <w:bookmarkStart w:id="534" w:name="_Toc22652"/>
      <w:bookmarkStart w:id="535" w:name="_Toc185506115"/>
      <w:bookmarkStart w:id="536" w:name="_Toc185506011"/>
      <w:bookmarkStart w:id="537" w:name="_Toc17868"/>
      <w:r>
        <w:rPr>
          <w:rFonts w:hint="default" w:ascii="Times New Roman" w:hAnsi="Times New Roman" w:cs="Times New Roman"/>
          <w:b w:val="0"/>
          <w:bCs w:val="0"/>
          <w:color w:val="auto"/>
          <w:sz w:val="24"/>
          <w:szCs w:val="24"/>
          <w:highlight w:val="none"/>
          <w:u w:val="none" w:color="auto"/>
          <w:lang w:val="en-US" w:eastAsia="zh-CN"/>
        </w:rPr>
        <w:t>根据《平江县三阳乡万古村万古水库周边历史遗留重金属废渣整治项目初步设计》</w:t>
      </w:r>
      <w:bookmarkEnd w:id="533"/>
      <w:bookmarkEnd w:id="534"/>
      <w:bookmarkEnd w:id="535"/>
      <w:bookmarkEnd w:id="536"/>
      <w:bookmarkEnd w:id="537"/>
      <w:r>
        <w:rPr>
          <w:rFonts w:hint="default" w:ascii="Times New Roman" w:hAnsi="Times New Roman" w:cs="Times New Roman"/>
          <w:b w:val="0"/>
          <w:bCs w:val="0"/>
          <w:color w:val="auto"/>
          <w:sz w:val="24"/>
          <w:szCs w:val="24"/>
          <w:highlight w:val="none"/>
          <w:u w:val="none" w:color="auto"/>
          <w:lang w:val="en-US" w:eastAsia="zh-CN"/>
        </w:rPr>
        <w:t>，本项目废水处理站处理规模为30m</w:t>
      </w:r>
      <w:r>
        <w:rPr>
          <w:rFonts w:hint="default" w:ascii="Times New Roman" w:hAnsi="Times New Roman" w:cs="Times New Roman"/>
          <w:b w:val="0"/>
          <w:bCs w:val="0"/>
          <w:color w:val="auto"/>
          <w:sz w:val="24"/>
          <w:szCs w:val="24"/>
          <w:highlight w:val="none"/>
          <w:u w:val="none" w:color="auto"/>
          <w:vertAlign w:val="superscript"/>
          <w:lang w:val="en-US" w:eastAsia="zh-CN"/>
        </w:rPr>
        <w:t>3</w:t>
      </w:r>
      <w:r>
        <w:rPr>
          <w:rFonts w:hint="default" w:ascii="Times New Roman" w:hAnsi="Times New Roman" w:cs="Times New Roman"/>
          <w:b w:val="0"/>
          <w:bCs w:val="0"/>
          <w:color w:val="auto"/>
          <w:sz w:val="24"/>
          <w:szCs w:val="24"/>
          <w:highlight w:val="none"/>
          <w:u w:val="none" w:color="auto"/>
          <w:lang w:val="en-US" w:eastAsia="zh-CN"/>
        </w:rPr>
        <w:t>/d，根据前述工程分析内容，本项目施工期及封场后渗滤液最大产生量为17.28m</w:t>
      </w:r>
      <w:r>
        <w:rPr>
          <w:rFonts w:hint="default" w:ascii="Times New Roman" w:hAnsi="Times New Roman" w:cs="Times New Roman"/>
          <w:b w:val="0"/>
          <w:bCs w:val="0"/>
          <w:color w:val="auto"/>
          <w:sz w:val="24"/>
          <w:szCs w:val="24"/>
          <w:highlight w:val="none"/>
          <w:u w:val="none" w:color="auto"/>
          <w:vertAlign w:val="superscript"/>
          <w:lang w:val="en-US" w:eastAsia="zh-CN"/>
        </w:rPr>
        <w:t>3</w:t>
      </w:r>
      <w:r>
        <w:rPr>
          <w:rFonts w:hint="default" w:ascii="Times New Roman" w:hAnsi="Times New Roman" w:cs="Times New Roman"/>
          <w:b w:val="0"/>
          <w:bCs w:val="0"/>
          <w:color w:val="auto"/>
          <w:sz w:val="24"/>
          <w:szCs w:val="24"/>
          <w:highlight w:val="none"/>
          <w:u w:val="none" w:color="auto"/>
          <w:lang w:val="en-US" w:eastAsia="zh-CN"/>
        </w:rPr>
        <w:t>/d˂25m</w:t>
      </w:r>
      <w:r>
        <w:rPr>
          <w:rFonts w:hint="default" w:ascii="Times New Roman" w:hAnsi="Times New Roman" w:cs="Times New Roman"/>
          <w:b w:val="0"/>
          <w:bCs w:val="0"/>
          <w:color w:val="auto"/>
          <w:sz w:val="24"/>
          <w:szCs w:val="24"/>
          <w:highlight w:val="none"/>
          <w:u w:val="none" w:color="auto"/>
          <w:vertAlign w:val="superscript"/>
          <w:lang w:val="en-US" w:eastAsia="zh-CN"/>
        </w:rPr>
        <w:t>3</w:t>
      </w:r>
      <w:r>
        <w:rPr>
          <w:rFonts w:hint="default" w:ascii="Times New Roman" w:hAnsi="Times New Roman" w:cs="Times New Roman"/>
          <w:b w:val="0"/>
          <w:bCs w:val="0"/>
          <w:color w:val="auto"/>
          <w:sz w:val="24"/>
          <w:szCs w:val="24"/>
          <w:highlight w:val="none"/>
          <w:u w:val="none" w:color="auto"/>
          <w:lang w:val="en-US" w:eastAsia="zh-CN"/>
        </w:rPr>
        <w:t>，本项目废水处理站处理规模可行。</w:t>
      </w:r>
    </w:p>
    <w:p w14:paraId="4E0B9F2D">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7.2.3地下水污染防治措施</w:t>
      </w:r>
    </w:p>
    <w:p w14:paraId="4F17DF7D">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项目特征以及可能产生的主要污染源，如不采取合理的防治措施，污染物有可能渗入地下潜水，从而影响地下水环境。因此必须制定相应的地下水环境保护措施。本项目地下水污染防治措施按照“源头控制、分区防治、污染监控、应急响应”相结合的原则，从污染物的产生、入渗、扩散、应急响应进行控制。</w:t>
      </w:r>
    </w:p>
    <w:p w14:paraId="6E00F9DF">
      <w:pPr>
        <w:pStyle w:val="5"/>
        <w:numPr>
          <w:ilvl w:val="3"/>
          <w:numId w:val="0"/>
        </w:numPr>
        <w:tabs>
          <w:tab w:val="left" w:pos="964"/>
        </w:tabs>
        <w:bidi w:val="0"/>
        <w:ind w:leftChars="0"/>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7.2.3.1</w:t>
      </w:r>
      <w:r>
        <w:rPr>
          <w:rFonts w:hint="default" w:ascii="Times New Roman" w:hAnsi="Times New Roman" w:cs="Times New Roman"/>
          <w:sz w:val="24"/>
          <w:szCs w:val="24"/>
          <w:highlight w:val="none"/>
          <w:lang w:val="en-US" w:eastAsia="zh-CN"/>
        </w:rPr>
        <w:t>源头控制措施</w:t>
      </w:r>
    </w:p>
    <w:p w14:paraId="559B9FB0">
      <w:pPr>
        <w:bidi w:val="0"/>
        <w:rPr>
          <w:rFonts w:hint="default" w:ascii="Times New Roman" w:hAnsi="Times New Roman" w:cs="Times New Roman"/>
          <w:sz w:val="24"/>
          <w:szCs w:val="24"/>
          <w:highlight w:val="none"/>
          <w:u w:val="none"/>
          <w:lang w:val="en-US" w:eastAsia="zh-CN"/>
        </w:rPr>
      </w:pPr>
      <w:r>
        <w:rPr>
          <w:rFonts w:hint="default" w:ascii="Times New Roman" w:hAnsi="Times New Roman" w:cs="Times New Roman"/>
          <w:sz w:val="24"/>
          <w:szCs w:val="24"/>
          <w:highlight w:val="none"/>
          <w:u w:val="none"/>
          <w:lang w:val="en-US" w:eastAsia="zh-CN"/>
        </w:rPr>
        <w:t xml:space="preserve">对工程范围内的废水进行合理的治理和综合利用，尽可能从源头上减少可能污染物产生；严格按照国家相关规范要求，对工艺、管道、设备、污水储存及处理构筑物采取相应的措施，以防止和降低可能污染物的跑、冒、滴、漏，将污染物泄漏的环境风险事故降低到最低程度。 </w:t>
      </w:r>
    </w:p>
    <w:p w14:paraId="5A56CFA3">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1）尽可能减少表层的雨水入渗和降低场地地下水水位是主要防范措施。除了采取场地防渗工程外，应做好场地地下水导排系统、场地周边的截水沟工程。</w:t>
      </w:r>
    </w:p>
    <w:p w14:paraId="4F0DC29E">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2）项目建设过程需要对废渣填埋场进行全面工程防渗处理，并要预先清除上部全部耕植土及人工填土层，保证防渗工程下部基础质量可靠。</w:t>
      </w:r>
    </w:p>
    <w:p w14:paraId="3B47BE71">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3）防渗工程需采取分区防渗处理；除了填埋区、渗滤液收集池等其他区域也应采取安全防渗措施，确保项目区域地下水水质安全。</w:t>
      </w:r>
    </w:p>
    <w:p w14:paraId="32983A15">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4）建立废渣填埋场渗漏检测系统和周边地下水环境监测系统，分别对废渣填埋场渗滤液和废渣填埋场下游地下水水质进行连续期监测，掌握废渣填埋场运行状况。</w:t>
      </w:r>
    </w:p>
    <w:p w14:paraId="68715B41">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5）对工艺、管道、设备、固废填埋、渗滤液收集池及废水处理装置等严格检查，有质量问题的及时更换，阀门采用优质产品，防止和降低“跑、冒、滴、漏”。</w:t>
      </w:r>
    </w:p>
    <w:p w14:paraId="65603B6C">
      <w:pPr>
        <w:bidi w:val="0"/>
        <w:rPr>
          <w:rFonts w:hint="default" w:ascii="Times New Roman" w:hAnsi="Times New Roman" w:cs="Times New Roman"/>
          <w:sz w:val="24"/>
          <w:szCs w:val="24"/>
          <w:u w:val="none"/>
          <w:lang w:val="en-US" w:eastAsia="zh-CN"/>
        </w:rPr>
      </w:pPr>
      <w:r>
        <w:rPr>
          <w:rFonts w:hint="default" w:ascii="Times New Roman" w:hAnsi="Times New Roman" w:cs="Times New Roman"/>
          <w:sz w:val="24"/>
          <w:szCs w:val="24"/>
          <w:u w:val="none"/>
          <w:lang w:val="en-US" w:eastAsia="zh-CN"/>
        </w:rPr>
        <w:t>6）为了防止突发事故，污染物外泄，造成对环境的污染，填埋区应设置专门的报警系统，一旦有事故发生，应立即检测修复，确保防渗层无破损。</w:t>
      </w:r>
    </w:p>
    <w:p w14:paraId="32B7C98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lang w:val="en-US" w:eastAsia="zh-CN"/>
        </w:rPr>
        <w:t>7）废渣填埋场场底防渗采取</w:t>
      </w:r>
      <w:r>
        <w:rPr>
          <w:rFonts w:hint="default" w:ascii="Times New Roman" w:hAnsi="Times New Roman" w:cs="Times New Roman"/>
          <w:sz w:val="24"/>
          <w:szCs w:val="24"/>
          <w:highlight w:val="none"/>
          <w:u w:val="none"/>
          <w:vertAlign w:val="baseline"/>
          <w:lang w:val="en-US" w:eastAsia="zh-CN"/>
        </w:rPr>
        <w:t>200g/m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vertAlign w:val="baseline"/>
          <w:lang w:val="en-US" w:eastAsia="zh-CN"/>
        </w:rPr>
        <w:t>轻质有纺土工布+300mm厚卵石+DN200-300HDPE管+600g/m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vertAlign w:val="baseline"/>
          <w:lang w:val="en-US" w:eastAsia="zh-CN"/>
        </w:rPr>
        <w:t>长丝无纺土工布+1.5mm厚双光面HDPE土工膜+600g/m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vertAlign w:val="baseline"/>
          <w:lang w:val="en-US" w:eastAsia="zh-CN"/>
        </w:rPr>
        <w:t>长丝无纺土工布</w:t>
      </w:r>
      <w:r>
        <w:rPr>
          <w:rFonts w:hint="default" w:ascii="Times New Roman" w:hAnsi="Times New Roman" w:eastAsia="宋体" w:cs="Times New Roman"/>
          <w:sz w:val="24"/>
          <w:szCs w:val="24"/>
          <w:u w:val="none"/>
          <w:lang w:val="en-US" w:eastAsia="zh-CN"/>
        </w:rPr>
        <w:t>；封场防渗采取</w:t>
      </w:r>
      <w:r>
        <w:rPr>
          <w:rFonts w:hint="default" w:ascii="Times New Roman" w:hAnsi="Times New Roman" w:cs="Times New Roman"/>
          <w:sz w:val="24"/>
          <w:szCs w:val="24"/>
          <w:highlight w:val="none"/>
          <w:u w:val="none"/>
          <w:vertAlign w:val="baseline"/>
          <w:lang w:val="en-US" w:eastAsia="zh-CN"/>
        </w:rPr>
        <w:t>500mm厚素土层+5mm厚复合土工排水网+1.5mm厚光面HDPE土工膜+6.3mmGCL膨润土+200g/m</w:t>
      </w:r>
      <w:r>
        <w:rPr>
          <w:rFonts w:hint="default" w:ascii="Times New Roman" w:hAnsi="Times New Roman" w:cs="Times New Roman"/>
          <w:sz w:val="24"/>
          <w:szCs w:val="24"/>
          <w:highlight w:val="none"/>
          <w:u w:val="none"/>
          <w:vertAlign w:val="superscript"/>
          <w:lang w:val="en-US" w:eastAsia="zh-CN"/>
        </w:rPr>
        <w:t>2</w:t>
      </w:r>
      <w:r>
        <w:rPr>
          <w:rFonts w:hint="default" w:ascii="Times New Roman" w:hAnsi="Times New Roman" w:cs="Times New Roman"/>
          <w:sz w:val="24"/>
          <w:szCs w:val="24"/>
          <w:highlight w:val="none"/>
          <w:u w:val="none"/>
          <w:vertAlign w:val="baseline"/>
          <w:lang w:val="en-US" w:eastAsia="zh-CN"/>
        </w:rPr>
        <w:t>轻质有纺土工布</w:t>
      </w:r>
      <w:r>
        <w:rPr>
          <w:rFonts w:hint="default" w:ascii="Times New Roman" w:hAnsi="Times New Roman" w:eastAsia="宋体" w:cs="Times New Roman"/>
          <w:sz w:val="24"/>
          <w:szCs w:val="24"/>
          <w:u w:val="none"/>
          <w:lang w:val="en-US" w:eastAsia="zh-CN"/>
        </w:rPr>
        <w:t>。</w:t>
      </w:r>
    </w:p>
    <w:p w14:paraId="0DB21EFA">
      <w:pPr>
        <w:pStyle w:val="5"/>
        <w:numPr>
          <w:ilvl w:val="3"/>
          <w:numId w:val="0"/>
        </w:numPr>
        <w:tabs>
          <w:tab w:val="left" w:pos="964"/>
        </w:tabs>
        <w:bidi w:val="0"/>
        <w:ind w:leftChars="0"/>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7.2.3.2</w:t>
      </w:r>
      <w:r>
        <w:rPr>
          <w:rFonts w:hint="default" w:ascii="Times New Roman" w:hAnsi="Times New Roman" w:cs="Times New Roman"/>
          <w:sz w:val="24"/>
          <w:szCs w:val="24"/>
          <w:highlight w:val="none"/>
          <w:lang w:val="en-US" w:eastAsia="zh-CN"/>
        </w:rPr>
        <w:t>分区防治措施</w:t>
      </w:r>
    </w:p>
    <w:p w14:paraId="4CCF0790">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结合各生产设备、管廊或管线、贮存与运输装置、污染物贮存与处理装置、事故应急装置等的布局，根据可能进入地下水环境的各种有毒有害原辅材料、中间物料和产品的泄漏（跑、冒、滴、漏）量及其他各类污染物的性质、产生量和排放量，划分污染防治区，提出不同区域的地面防渗方案，给出具体的防渗材料及防渗标准要求，建立防渗设施的检漏系统。</w:t>
      </w:r>
    </w:p>
    <w:p w14:paraId="5BC7C58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结合本项目地下水环境影响评价结果，针对可能发生的地下水污染，地下水防治一般以水平防渗为主。针对场区生产设备、管道、污染物储存等布局，实行重点防渗区、一般防渗区和简单防渗区的划分。</w:t>
      </w:r>
    </w:p>
    <w:p w14:paraId="0CADCAB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（1）重点防渗区：重点防渗区为整个填埋区，包括坝体、填埋区域、渗滤液收集池。防渗措施要求：达到渗透系数小于1.0×10</w:t>
      </w:r>
      <w:r>
        <w:rPr>
          <w:rFonts w:hint="default" w:ascii="Times New Roman" w:hAnsi="Times New Roman" w:cs="Times New Roman"/>
          <w:sz w:val="24"/>
          <w:szCs w:val="24"/>
          <w:highlight w:val="none"/>
          <w:vertAlign w:val="superscript"/>
          <w:lang w:val="en-US" w:eastAsia="zh-CN"/>
        </w:rPr>
        <w:t>-12</w:t>
      </w:r>
      <w:r>
        <w:rPr>
          <w:rFonts w:hint="default" w:ascii="Times New Roman" w:hAnsi="Times New Roman" w:cs="Times New Roman"/>
          <w:sz w:val="24"/>
          <w:szCs w:val="24"/>
          <w:highlight w:val="none"/>
          <w:lang w:val="en-US" w:eastAsia="zh-CN"/>
        </w:rPr>
        <w:t>cm/s的防渗技术要求。</w:t>
      </w:r>
    </w:p>
    <w:p w14:paraId="1F0FEDB6">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①废渣填埋场防渗措施：应采用人工合成材料进行防渗处理，在废渣填埋场底部及库坡铺设土工防渗膜、渗滤液导排层、粘土层等，其渗透系数小于1.0×10</w:t>
      </w:r>
      <w:r>
        <w:rPr>
          <w:rFonts w:hint="default" w:ascii="Times New Roman" w:hAnsi="Times New Roman" w:cs="Times New Roman"/>
          <w:sz w:val="24"/>
          <w:szCs w:val="24"/>
          <w:highlight w:val="none"/>
          <w:vertAlign w:val="superscript"/>
          <w:lang w:val="en-US" w:eastAsia="zh-CN"/>
        </w:rPr>
        <w:t>-12</w:t>
      </w:r>
      <w:r>
        <w:rPr>
          <w:rFonts w:hint="default" w:ascii="Times New Roman" w:hAnsi="Times New Roman" w:cs="Times New Roman"/>
          <w:sz w:val="24"/>
          <w:szCs w:val="24"/>
          <w:highlight w:val="none"/>
          <w:lang w:val="en-US" w:eastAsia="zh-CN"/>
        </w:rPr>
        <w:t>cm/s。</w:t>
      </w:r>
    </w:p>
    <w:p w14:paraId="5C173372">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②渗滤液收集池：采用抗渗混凝土，池壁外侧及底板下混凝土与土层接触部分采用高分子或SBS防水卷材，外加挤塑板防护层。</w:t>
      </w:r>
    </w:p>
    <w:p w14:paraId="11D878E7">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2）一般防渗区：场地内可能会对地下水造成污染，但危害性或风险程度相对较低的建筑区，主要包括施工期废水处理区、车辆冲洗区。防渗措施要求：达到等效黏土防渗层Mb≥1.5m，K≤1×10</w:t>
      </w:r>
      <w:r>
        <w:rPr>
          <w:rFonts w:hint="default" w:ascii="Times New Roman" w:hAnsi="Times New Roman" w:cs="Times New Roman"/>
          <w:sz w:val="24"/>
          <w:szCs w:val="24"/>
          <w:highlight w:val="none"/>
          <w:vertAlign w:val="superscript"/>
          <w:lang w:val="en-US" w:eastAsia="zh-CN"/>
        </w:rPr>
        <w:t>-7</w:t>
      </w:r>
      <w:r>
        <w:rPr>
          <w:rFonts w:hint="default" w:ascii="Times New Roman" w:hAnsi="Times New Roman" w:cs="Times New Roman"/>
          <w:sz w:val="24"/>
          <w:szCs w:val="24"/>
          <w:highlight w:val="none"/>
          <w:lang w:val="en-US" w:eastAsia="zh-CN"/>
        </w:rPr>
        <w:t xml:space="preserve">cm/s的防渗技术要求。 </w:t>
      </w:r>
    </w:p>
    <w:p w14:paraId="60ACBE3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一般防渗区构筑物，在抗渗钢纤维混凝土面层中掺水泥基渗透结晶型防水剂，其下铺砌砂石基层，原土夯实，可达到防渗的目的。对于混凝土中间的伸缩缝和与实体基础的缝隙，通过填充柔性材料达到防渗的目的，渗透系数不大于1.0×10</w:t>
      </w:r>
      <w:r>
        <w:rPr>
          <w:rFonts w:hint="default" w:ascii="Times New Roman" w:hAnsi="Times New Roman" w:cs="Times New Roman"/>
          <w:sz w:val="24"/>
          <w:szCs w:val="24"/>
          <w:highlight w:val="none"/>
          <w:vertAlign w:val="superscript"/>
          <w:lang w:val="en-US" w:eastAsia="zh-CN"/>
        </w:rPr>
        <w:t>-7</w:t>
      </w:r>
      <w:r>
        <w:rPr>
          <w:rFonts w:hint="default" w:ascii="Times New Roman" w:hAnsi="Times New Roman" w:cs="Times New Roman"/>
          <w:sz w:val="24"/>
          <w:szCs w:val="24"/>
          <w:highlight w:val="none"/>
          <w:lang w:val="en-US" w:eastAsia="zh-CN"/>
        </w:rPr>
        <w:t>cm/s。</w:t>
      </w:r>
    </w:p>
    <w:p w14:paraId="374AE01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 xml:space="preserve">3）简单防渗区：厂区内除上述以外的不会对地下水造成污染的区域。如道路区等。简单防渗区仅进行一般地面硬化即可。 </w:t>
      </w:r>
    </w:p>
    <w:p w14:paraId="3ECE3057">
      <w:pPr>
        <w:pStyle w:val="5"/>
        <w:numPr>
          <w:ilvl w:val="3"/>
          <w:numId w:val="0"/>
        </w:numPr>
        <w:tabs>
          <w:tab w:val="left" w:pos="964"/>
        </w:tabs>
        <w:bidi w:val="0"/>
        <w:ind w:leftChars="0"/>
        <w:rPr>
          <w:rFonts w:hint="default" w:ascii="Times New Roman" w:hAnsi="Times New Roman" w:cs="Times New Roman"/>
          <w:sz w:val="24"/>
          <w:szCs w:val="24"/>
          <w:highlight w:val="none"/>
          <w:lang w:val="en-US" w:eastAsia="zh-CN"/>
        </w:rPr>
      </w:pPr>
      <w:r>
        <w:rPr>
          <w:rFonts w:hint="eastAsia" w:ascii="Times New Roman" w:hAnsi="Times New Roman" w:cs="Times New Roman"/>
          <w:sz w:val="24"/>
          <w:szCs w:val="24"/>
          <w:highlight w:val="none"/>
          <w:lang w:val="en-US" w:eastAsia="zh-CN"/>
        </w:rPr>
        <w:t>7.2.3.3</w:t>
      </w:r>
      <w:r>
        <w:rPr>
          <w:rFonts w:hint="default" w:ascii="Times New Roman" w:hAnsi="Times New Roman" w:cs="Times New Roman"/>
          <w:sz w:val="24"/>
          <w:szCs w:val="24"/>
          <w:highlight w:val="none"/>
          <w:lang w:val="en-US" w:eastAsia="zh-CN"/>
        </w:rPr>
        <w:t>污染监控</w:t>
      </w:r>
    </w:p>
    <w:p w14:paraId="0C654FF5">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为了及时准确地掌握厂址周围地下水环境污染控制状况，本工程应建立地下水监控体系，包括建立完善的监测制度、配备先进的检测仪器和设备，科学、合理设置地下水污染监控井，及时发现污染、及时控制。</w:t>
      </w:r>
    </w:p>
    <w:p w14:paraId="19FE3DD8">
      <w:pPr>
        <w:bidi w:val="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通过地下水监测井监测数据及时反馈启动应急处置方案，及时发现地下水污染事故及其影响范围和程度，为启动地下水应急措施提供信息保障。</w:t>
      </w:r>
    </w:p>
    <w:p w14:paraId="5D488D0E">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（1）布设原则</w:t>
      </w:r>
    </w:p>
    <w:p w14:paraId="1159EA3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①加强重点污染防治区监测；</w:t>
      </w:r>
    </w:p>
    <w:p w14:paraId="62145D0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②以潜水含水层地下水监测为主；</w:t>
      </w:r>
    </w:p>
    <w:p w14:paraId="757BA7B5">
      <w:pPr>
        <w:bidi w:val="0"/>
        <w:rPr>
          <w:rFonts w:hint="default" w:ascii="Times New Roman" w:hAnsi="Times New Roman" w:cs="Times New Roman"/>
          <w:sz w:val="24"/>
          <w:szCs w:val="24"/>
          <w:highlight w:val="yellow"/>
          <w:lang w:val="en-US" w:eastAsia="zh-CN"/>
        </w:rPr>
      </w:pPr>
      <w:r>
        <w:rPr>
          <w:rFonts w:hint="default" w:ascii="Times New Roman" w:hAnsi="Times New Roman" w:cs="Times New Roman"/>
          <w:sz w:val="24"/>
          <w:szCs w:val="24"/>
          <w:highlight w:val="none"/>
          <w:lang w:val="en-US" w:eastAsia="zh-CN"/>
        </w:rPr>
        <w:t>③水质监测项目参照《地下水质量标准》相关要求和潜在污染源特征污染因子确定，各监测井可依据监测目的不同适当增加和减少监测项目。</w:t>
      </w:r>
    </w:p>
    <w:p w14:paraId="0F1B203F">
      <w:pPr>
        <w:bidi w:val="0"/>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（2）监测井布置</w:t>
      </w:r>
    </w:p>
    <w:p w14:paraId="62B558F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1）监测井数量</w:t>
      </w:r>
    </w:p>
    <w:p w14:paraId="7EA9E9F6">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一般工业固体废物贮存和填埋污染控制标准》（GB18599-2020）的要求及地下水监测点布设原则，本项目在废渣填埋场及上、下游共布设地下水水质监测井8眼，随时掌握地下水水质变化趋势。为避免污染物随孔壁渗入地下，建议成井时水泥封孔。</w:t>
      </w:r>
    </w:p>
    <w:p w14:paraId="3371AB03">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填埋区上游布设1眼井，用于检测地下水上游背景值。填埋区两侧各布设共3眼监测井，用于检测重点区对地下水的影响情况。工程区下游布设共4眼监测井，用于检测下游地下水状况。另外，填埋区及渗滤液收集池地下水导排管出水口也作为一般Ⅱ类固废集中填埋场监测系统的一部分。</w:t>
      </w:r>
    </w:p>
    <w:p w14:paraId="2C4194A0">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2）监测井布置</w:t>
      </w:r>
    </w:p>
    <w:p w14:paraId="34AF4009">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监测井布置详见图7.2-1。</w:t>
      </w:r>
    </w:p>
    <w:p w14:paraId="3C66BD08">
      <w:pPr>
        <w:bidi w:val="0"/>
        <w:spacing w:line="240" w:lineRule="auto"/>
        <w:ind w:left="0" w:leftChars="0" w:firstLine="0" w:firstLine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表7.2-1  地下水监测点一览表</w:t>
      </w:r>
    </w:p>
    <w:tbl>
      <w:tblPr>
        <w:tblStyle w:val="46"/>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2714"/>
        <w:gridCol w:w="1696"/>
        <w:gridCol w:w="1215"/>
        <w:gridCol w:w="2222"/>
      </w:tblGrid>
      <w:tr w14:paraId="7A8CCC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74" w:type="pct"/>
            <w:noWrap w:val="0"/>
            <w:vAlign w:val="center"/>
          </w:tcPr>
          <w:p w14:paraId="27FFE7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lang w:val="en-US" w:eastAsia="zh-CN" w:bidi="ar-SA"/>
              </w:rPr>
            </w:pPr>
            <w:r>
              <w:rPr>
                <w:rFonts w:hint="eastAsia"/>
                <w:b/>
                <w:bCs/>
                <w:sz w:val="21"/>
                <w:szCs w:val="21"/>
                <w:highlight w:val="none"/>
                <w:lang w:val="en-US" w:eastAsia="zh-CN"/>
              </w:rPr>
              <w:t>监测点编号</w:t>
            </w:r>
          </w:p>
        </w:tc>
        <w:tc>
          <w:tcPr>
            <w:tcW w:w="1461" w:type="pct"/>
            <w:noWrap w:val="0"/>
            <w:vAlign w:val="center"/>
          </w:tcPr>
          <w:p w14:paraId="143131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lang w:val="en-US" w:eastAsia="zh-CN" w:bidi="ar-SA"/>
              </w:rPr>
            </w:pPr>
            <w:r>
              <w:rPr>
                <w:rFonts w:hint="eastAsia"/>
                <w:b/>
                <w:bCs/>
                <w:sz w:val="21"/>
                <w:szCs w:val="21"/>
                <w:highlight w:val="none"/>
                <w:lang w:val="en-US" w:eastAsia="zh-CN"/>
              </w:rPr>
              <w:t>位置</w:t>
            </w:r>
          </w:p>
        </w:tc>
        <w:tc>
          <w:tcPr>
            <w:tcW w:w="913" w:type="pct"/>
            <w:noWrap w:val="0"/>
            <w:vAlign w:val="center"/>
          </w:tcPr>
          <w:p w14:paraId="4702A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lang w:val="en-US" w:eastAsia="zh-CN" w:bidi="ar-SA"/>
              </w:rPr>
            </w:pPr>
            <w:r>
              <w:rPr>
                <w:rFonts w:hint="eastAsia"/>
                <w:b/>
                <w:bCs/>
                <w:sz w:val="21"/>
                <w:szCs w:val="21"/>
                <w:highlight w:val="none"/>
                <w:lang w:val="en-US" w:eastAsia="zh-CN"/>
              </w:rPr>
              <w:t>功能</w:t>
            </w:r>
          </w:p>
        </w:tc>
        <w:tc>
          <w:tcPr>
            <w:tcW w:w="654" w:type="pct"/>
            <w:noWrap w:val="0"/>
            <w:vAlign w:val="center"/>
          </w:tcPr>
          <w:p w14:paraId="08AA3A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lang w:val="en-US" w:eastAsia="zh-CN" w:bidi="ar-SA"/>
              </w:rPr>
            </w:pPr>
            <w:r>
              <w:rPr>
                <w:rFonts w:hint="eastAsia"/>
                <w:b/>
                <w:bCs/>
                <w:sz w:val="21"/>
                <w:szCs w:val="21"/>
                <w:highlight w:val="none"/>
                <w:lang w:val="en-US" w:eastAsia="zh-CN"/>
              </w:rPr>
              <w:t>监测层位</w:t>
            </w:r>
          </w:p>
        </w:tc>
        <w:tc>
          <w:tcPr>
            <w:tcW w:w="1196" w:type="pct"/>
            <w:noWrap w:val="0"/>
            <w:vAlign w:val="center"/>
          </w:tcPr>
          <w:p w14:paraId="5B18A6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kern w:val="2"/>
                <w:sz w:val="21"/>
                <w:szCs w:val="21"/>
                <w:highlight w:val="none"/>
                <w:lang w:val="en-US" w:eastAsia="zh-CN" w:bidi="ar-SA"/>
              </w:rPr>
            </w:pPr>
            <w:r>
              <w:rPr>
                <w:rFonts w:hint="eastAsia"/>
                <w:b/>
                <w:bCs/>
                <w:sz w:val="21"/>
                <w:szCs w:val="21"/>
                <w:highlight w:val="none"/>
                <w:lang w:val="en-US" w:eastAsia="zh-CN"/>
              </w:rPr>
              <w:t>备注</w:t>
            </w:r>
          </w:p>
        </w:tc>
      </w:tr>
      <w:tr w14:paraId="7C322A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31C312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D1</w:t>
            </w:r>
          </w:p>
        </w:tc>
        <w:tc>
          <w:tcPr>
            <w:tcW w:w="1461" w:type="pct"/>
            <w:noWrap w:val="0"/>
            <w:vAlign w:val="center"/>
          </w:tcPr>
          <w:p w14:paraId="60C73B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填埋场上游</w:t>
            </w:r>
          </w:p>
        </w:tc>
        <w:tc>
          <w:tcPr>
            <w:tcW w:w="913" w:type="pct"/>
            <w:noWrap w:val="0"/>
            <w:vAlign w:val="center"/>
          </w:tcPr>
          <w:p w14:paraId="22BDF2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对照井</w:t>
            </w:r>
          </w:p>
        </w:tc>
        <w:tc>
          <w:tcPr>
            <w:tcW w:w="654" w:type="pct"/>
            <w:vMerge w:val="restart"/>
            <w:noWrap w:val="0"/>
            <w:vAlign w:val="center"/>
          </w:tcPr>
          <w:p w14:paraId="2A74F9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潜水层</w:t>
            </w:r>
          </w:p>
        </w:tc>
        <w:tc>
          <w:tcPr>
            <w:tcW w:w="1196" w:type="pct"/>
            <w:vMerge w:val="restart"/>
            <w:noWrap w:val="0"/>
            <w:vAlign w:val="center"/>
          </w:tcPr>
          <w:p w14:paraId="000CC1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废渣填埋场</w:t>
            </w:r>
          </w:p>
        </w:tc>
      </w:tr>
      <w:tr w14:paraId="2D816D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08AB0E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D2</w:t>
            </w:r>
          </w:p>
        </w:tc>
        <w:tc>
          <w:tcPr>
            <w:tcW w:w="1461" w:type="pct"/>
            <w:noWrap w:val="0"/>
            <w:vAlign w:val="center"/>
          </w:tcPr>
          <w:p w14:paraId="7F6EF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填埋场西侧</w:t>
            </w:r>
          </w:p>
        </w:tc>
        <w:tc>
          <w:tcPr>
            <w:tcW w:w="913" w:type="pct"/>
            <w:noWrap w:val="0"/>
            <w:vAlign w:val="center"/>
          </w:tcPr>
          <w:p w14:paraId="7C2E6E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污染扩散井</w:t>
            </w:r>
          </w:p>
        </w:tc>
        <w:tc>
          <w:tcPr>
            <w:tcW w:w="654" w:type="pct"/>
            <w:vMerge w:val="continue"/>
            <w:noWrap w:val="0"/>
            <w:vAlign w:val="center"/>
          </w:tcPr>
          <w:p w14:paraId="633745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vMerge w:val="continue"/>
            <w:noWrap w:val="0"/>
            <w:vAlign w:val="center"/>
          </w:tcPr>
          <w:p w14:paraId="327D1F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r>
      <w:tr w14:paraId="7DCC63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3ACEF2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D3</w:t>
            </w:r>
          </w:p>
        </w:tc>
        <w:tc>
          <w:tcPr>
            <w:tcW w:w="1461" w:type="pct"/>
            <w:noWrap w:val="0"/>
            <w:vAlign w:val="center"/>
          </w:tcPr>
          <w:p w14:paraId="3D78B2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填埋场西侧</w:t>
            </w:r>
          </w:p>
        </w:tc>
        <w:tc>
          <w:tcPr>
            <w:tcW w:w="913" w:type="pct"/>
            <w:noWrap w:val="0"/>
            <w:vAlign w:val="center"/>
          </w:tcPr>
          <w:p w14:paraId="0A100C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污染扩散井</w:t>
            </w:r>
          </w:p>
        </w:tc>
        <w:tc>
          <w:tcPr>
            <w:tcW w:w="654" w:type="pct"/>
            <w:vMerge w:val="continue"/>
            <w:noWrap w:val="0"/>
            <w:vAlign w:val="center"/>
          </w:tcPr>
          <w:p w14:paraId="376342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vMerge w:val="continue"/>
            <w:noWrap w:val="0"/>
            <w:vAlign w:val="center"/>
          </w:tcPr>
          <w:p w14:paraId="12A7E9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r>
      <w:tr w14:paraId="4D28E8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5FBC04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D4</w:t>
            </w:r>
          </w:p>
        </w:tc>
        <w:tc>
          <w:tcPr>
            <w:tcW w:w="1461" w:type="pct"/>
            <w:noWrap w:val="0"/>
            <w:vAlign w:val="center"/>
          </w:tcPr>
          <w:p w14:paraId="6B7A7C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填埋场南侧</w:t>
            </w:r>
          </w:p>
        </w:tc>
        <w:tc>
          <w:tcPr>
            <w:tcW w:w="913" w:type="pct"/>
            <w:noWrap w:val="0"/>
            <w:vAlign w:val="center"/>
          </w:tcPr>
          <w:p w14:paraId="50A21F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污染扩散井</w:t>
            </w:r>
          </w:p>
        </w:tc>
        <w:tc>
          <w:tcPr>
            <w:tcW w:w="654" w:type="pct"/>
            <w:vMerge w:val="continue"/>
            <w:noWrap w:val="0"/>
            <w:vAlign w:val="center"/>
          </w:tcPr>
          <w:p w14:paraId="533C55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vMerge w:val="continue"/>
            <w:noWrap w:val="0"/>
            <w:vAlign w:val="center"/>
          </w:tcPr>
          <w:p w14:paraId="762F67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r>
      <w:tr w14:paraId="052B2D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5686D7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D5</w:t>
            </w:r>
          </w:p>
        </w:tc>
        <w:tc>
          <w:tcPr>
            <w:tcW w:w="1461" w:type="pct"/>
            <w:noWrap w:val="0"/>
            <w:vAlign w:val="center"/>
          </w:tcPr>
          <w:p w14:paraId="430B78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万古村1#渣堆区域下游</w:t>
            </w:r>
          </w:p>
        </w:tc>
        <w:tc>
          <w:tcPr>
            <w:tcW w:w="913" w:type="pct"/>
            <w:noWrap w:val="0"/>
            <w:vAlign w:val="center"/>
          </w:tcPr>
          <w:p w14:paraId="23D879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污染监视监测井</w:t>
            </w:r>
          </w:p>
        </w:tc>
        <w:tc>
          <w:tcPr>
            <w:tcW w:w="654" w:type="pct"/>
            <w:vMerge w:val="continue"/>
            <w:noWrap w:val="0"/>
            <w:vAlign w:val="center"/>
          </w:tcPr>
          <w:p w14:paraId="46AEF9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noWrap w:val="0"/>
            <w:vAlign w:val="center"/>
          </w:tcPr>
          <w:p w14:paraId="592EBA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万古村1#渣堆区域</w:t>
            </w:r>
          </w:p>
        </w:tc>
      </w:tr>
      <w:tr w14:paraId="6C1BC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6B0A7E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D6</w:t>
            </w:r>
          </w:p>
        </w:tc>
        <w:tc>
          <w:tcPr>
            <w:tcW w:w="1461" w:type="pct"/>
            <w:noWrap w:val="0"/>
            <w:vAlign w:val="center"/>
          </w:tcPr>
          <w:p w14:paraId="031F98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万古村2#渣堆区域下游</w:t>
            </w:r>
          </w:p>
        </w:tc>
        <w:tc>
          <w:tcPr>
            <w:tcW w:w="913" w:type="pct"/>
            <w:noWrap w:val="0"/>
            <w:vAlign w:val="center"/>
          </w:tcPr>
          <w:p w14:paraId="3C750C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污染监视监测井</w:t>
            </w:r>
          </w:p>
        </w:tc>
        <w:tc>
          <w:tcPr>
            <w:tcW w:w="654" w:type="pct"/>
            <w:vMerge w:val="continue"/>
            <w:noWrap w:val="0"/>
            <w:vAlign w:val="center"/>
          </w:tcPr>
          <w:p w14:paraId="512BB8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noWrap w:val="0"/>
            <w:vAlign w:val="center"/>
          </w:tcPr>
          <w:p w14:paraId="33D03E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万古村2#渣堆区域</w:t>
            </w:r>
          </w:p>
        </w:tc>
      </w:tr>
      <w:tr w14:paraId="6CF298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2A7C69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D7</w:t>
            </w:r>
          </w:p>
        </w:tc>
        <w:tc>
          <w:tcPr>
            <w:tcW w:w="1461" w:type="pct"/>
            <w:noWrap w:val="0"/>
            <w:vAlign w:val="center"/>
          </w:tcPr>
          <w:p w14:paraId="54E170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万古水库3A渣堆区域下游</w:t>
            </w:r>
          </w:p>
        </w:tc>
        <w:tc>
          <w:tcPr>
            <w:tcW w:w="913" w:type="pct"/>
            <w:noWrap w:val="0"/>
            <w:vAlign w:val="center"/>
          </w:tcPr>
          <w:p w14:paraId="5847F0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污染监视监测井</w:t>
            </w:r>
          </w:p>
        </w:tc>
        <w:tc>
          <w:tcPr>
            <w:tcW w:w="654" w:type="pct"/>
            <w:vMerge w:val="continue"/>
            <w:noWrap w:val="0"/>
            <w:vAlign w:val="center"/>
          </w:tcPr>
          <w:p w14:paraId="6AD524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noWrap w:val="0"/>
            <w:vAlign w:val="center"/>
          </w:tcPr>
          <w:p w14:paraId="136EB1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万古水库3A渣堆区域</w:t>
            </w:r>
          </w:p>
        </w:tc>
      </w:tr>
      <w:tr w14:paraId="7F0D3F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4" w:type="pct"/>
            <w:noWrap w:val="0"/>
            <w:vAlign w:val="center"/>
          </w:tcPr>
          <w:p w14:paraId="3F7758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D8</w:t>
            </w:r>
          </w:p>
        </w:tc>
        <w:tc>
          <w:tcPr>
            <w:tcW w:w="1461" w:type="pct"/>
            <w:noWrap w:val="0"/>
            <w:vAlign w:val="center"/>
          </w:tcPr>
          <w:p w14:paraId="72F67E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万古水库3B渣堆区域下游</w:t>
            </w:r>
          </w:p>
        </w:tc>
        <w:tc>
          <w:tcPr>
            <w:tcW w:w="913" w:type="pct"/>
            <w:noWrap w:val="0"/>
            <w:vAlign w:val="center"/>
          </w:tcPr>
          <w:p w14:paraId="5AB052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污染监视监测井</w:t>
            </w:r>
          </w:p>
        </w:tc>
        <w:tc>
          <w:tcPr>
            <w:tcW w:w="654" w:type="pct"/>
            <w:vMerge w:val="continue"/>
            <w:noWrap w:val="0"/>
            <w:vAlign w:val="center"/>
          </w:tcPr>
          <w:p w14:paraId="42A7E8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p>
        </w:tc>
        <w:tc>
          <w:tcPr>
            <w:tcW w:w="1196" w:type="pct"/>
            <w:noWrap w:val="0"/>
            <w:vAlign w:val="center"/>
          </w:tcPr>
          <w:p w14:paraId="028589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万古水库3B渣堆区域</w:t>
            </w:r>
          </w:p>
        </w:tc>
      </w:tr>
    </w:tbl>
    <w:p w14:paraId="6ADB4FB1">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3）监测频率</w:t>
      </w:r>
    </w:p>
    <w:p w14:paraId="2D60970E">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监测频率和监测时间参照《一般工业固体废物贮存和填埋污染控制标准》（GB18599-2020）10.3.3贮存场、填埋场地下水监测频次应符合以下要求：</w:t>
      </w:r>
    </w:p>
    <w:p w14:paraId="0844EBBF">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a）运行期间，企业自行监测频次至少每季度1次，每两次监测之间间隔不少于1个月，国家另有规定的除外；如周边有环境敏感区应增加监测频次，具体监测点位和频次依据环境影响评价结论确定。当发现地下水水质有被污染的迹象时，应及时查找原因并采取补救措施，防止污染进一步扩散；</w:t>
      </w:r>
    </w:p>
    <w:p w14:paraId="70A5F1C2">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b）封场后，地下水监测系统应继续正常运行，监测频次至少每半年1次，直到地下水水质连续2年不超出地下水本底水平。</w:t>
      </w:r>
    </w:p>
    <w:p w14:paraId="4A9F3304">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因此确定本项目封场后地下水监测频次：封场后监测频次至少每半年1次，直到地下水水质连续2年不超出地下水本底水平。</w:t>
      </w:r>
    </w:p>
    <w:p w14:paraId="76CC7F25">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4）监测项目</w:t>
      </w:r>
    </w:p>
    <w:p w14:paraId="12FD691C">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参照《一般工业固体废物贮存和填埋污染控制标准》（GB18599-2020）中10.3.4地下水监测因子由企业根据贮存及填埋废物的特性提出，必须具有代表性且能表征固体废物特性。常规测定项目应至少包括：浑浊度、pH、溶解性总固体、氯化物、硝酸盐（以N计）、亚硝酸盐（以N计）。地下水监测因子分析方法按照GB/T14848执行。</w:t>
      </w:r>
    </w:p>
    <w:p w14:paraId="6E4C5A3D">
      <w:pPr>
        <w:bidi w:val="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因此本项目封场后地下水监测项目为：水位、pH、铬、镍、铜、锌、砷、镉、铅、汞、六价铬、氰化物、浑浊度、溶解性总固体、氯化物、硝酸盐、亚硝酸盐等。</w:t>
      </w:r>
    </w:p>
    <w:p w14:paraId="71D66464">
      <w:pPr>
        <w:bidi w:val="0"/>
        <w:spacing w:line="240" w:lineRule="auto"/>
        <w:ind w:left="0" w:leftChars="0" w:firstLine="0" w:firstLineChars="0"/>
        <w:jc w:val="center"/>
        <w:rPr>
          <w:rFonts w:hint="default" w:ascii="Times New Roman" w:hAnsi="Times New Roman" w:cs="Times New Roman"/>
          <w:b/>
          <w:bCs/>
          <w:sz w:val="21"/>
          <w:szCs w:val="21"/>
          <w:highlight w:val="none"/>
          <w:u w:val="none"/>
          <w:lang w:val="en-US" w:eastAsia="zh-CN"/>
        </w:rPr>
      </w:pPr>
      <w:r>
        <w:rPr>
          <w:rFonts w:hint="default" w:ascii="Times New Roman" w:hAnsi="Times New Roman" w:cs="Times New Roman"/>
          <w:b/>
          <w:bCs/>
          <w:sz w:val="21"/>
          <w:szCs w:val="21"/>
          <w:highlight w:val="none"/>
          <w:u w:val="none"/>
          <w:lang w:val="en-US" w:eastAsia="zh-CN"/>
        </w:rPr>
        <w:t>表7.2-2  监测井分布一览表</w:t>
      </w:r>
    </w:p>
    <w:tbl>
      <w:tblPr>
        <w:tblStyle w:val="46"/>
        <w:tblW w:w="501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503"/>
        <w:gridCol w:w="2179"/>
        <w:gridCol w:w="1329"/>
        <w:gridCol w:w="1239"/>
        <w:gridCol w:w="1239"/>
        <w:gridCol w:w="1555"/>
        <w:gridCol w:w="1086"/>
      </w:tblGrid>
      <w:tr w14:paraId="5C312E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23" w:hRule="atLeast"/>
          <w:tblHeader/>
          <w:jc w:val="center"/>
        </w:trPr>
        <w:tc>
          <w:tcPr>
            <w:tcW w:w="275" w:type="pct"/>
            <w:noWrap w:val="0"/>
            <w:vAlign w:val="center"/>
          </w:tcPr>
          <w:p w14:paraId="48EDF4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序号</w:t>
            </w:r>
          </w:p>
        </w:tc>
        <w:tc>
          <w:tcPr>
            <w:tcW w:w="1192" w:type="pct"/>
            <w:noWrap w:val="0"/>
            <w:vAlign w:val="center"/>
          </w:tcPr>
          <w:p w14:paraId="04B1E4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监控井</w:t>
            </w:r>
          </w:p>
        </w:tc>
        <w:tc>
          <w:tcPr>
            <w:tcW w:w="727" w:type="pct"/>
            <w:noWrap w:val="0"/>
            <w:vAlign w:val="center"/>
          </w:tcPr>
          <w:p w14:paraId="5A5E77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lang w:val="en-US" w:eastAsia="zh-CN"/>
              </w:rPr>
            </w:pPr>
            <w:r>
              <w:rPr>
                <w:rFonts w:hint="eastAsia"/>
                <w:b/>
                <w:bCs/>
                <w:sz w:val="21"/>
                <w:szCs w:val="21"/>
                <w:highlight w:val="none"/>
                <w:u w:val="none"/>
                <w:lang w:val="en-US" w:eastAsia="zh-CN"/>
              </w:rPr>
              <w:t>经度</w:t>
            </w:r>
          </w:p>
        </w:tc>
        <w:tc>
          <w:tcPr>
            <w:tcW w:w="678" w:type="pct"/>
            <w:noWrap w:val="0"/>
            <w:vAlign w:val="center"/>
          </w:tcPr>
          <w:p w14:paraId="2B0215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b/>
                <w:bCs/>
                <w:sz w:val="21"/>
                <w:szCs w:val="21"/>
                <w:highlight w:val="none"/>
                <w:u w:val="none"/>
                <w:lang w:val="en-US" w:eastAsia="zh-CN"/>
              </w:rPr>
            </w:pPr>
            <w:r>
              <w:rPr>
                <w:rFonts w:hint="eastAsia"/>
                <w:b/>
                <w:bCs/>
                <w:sz w:val="21"/>
                <w:szCs w:val="21"/>
                <w:highlight w:val="none"/>
                <w:u w:val="none"/>
                <w:lang w:val="en-US" w:eastAsia="zh-CN"/>
              </w:rPr>
              <w:t>纬度</w:t>
            </w:r>
          </w:p>
        </w:tc>
        <w:tc>
          <w:tcPr>
            <w:tcW w:w="678" w:type="pct"/>
            <w:noWrap w:val="0"/>
            <w:vAlign w:val="center"/>
          </w:tcPr>
          <w:p w14:paraId="76D0A1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要求</w:t>
            </w:r>
          </w:p>
        </w:tc>
        <w:tc>
          <w:tcPr>
            <w:tcW w:w="851" w:type="pct"/>
            <w:noWrap w:val="0"/>
            <w:vAlign w:val="center"/>
          </w:tcPr>
          <w:p w14:paraId="202BAB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监测因子</w:t>
            </w:r>
          </w:p>
        </w:tc>
        <w:tc>
          <w:tcPr>
            <w:tcW w:w="594" w:type="pct"/>
            <w:noWrap w:val="0"/>
            <w:vAlign w:val="center"/>
          </w:tcPr>
          <w:p w14:paraId="4842AA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highlight w:val="none"/>
                <w:u w:val="none"/>
                <w:lang w:val="en-US" w:eastAsia="zh-CN"/>
              </w:rPr>
            </w:pPr>
            <w:r>
              <w:rPr>
                <w:rFonts w:hint="eastAsia"/>
                <w:b/>
                <w:bCs/>
                <w:sz w:val="21"/>
                <w:szCs w:val="21"/>
                <w:highlight w:val="none"/>
                <w:u w:val="none"/>
                <w:lang w:val="en-US" w:eastAsia="zh-CN"/>
              </w:rPr>
              <w:t>备注</w:t>
            </w:r>
          </w:p>
        </w:tc>
      </w:tr>
      <w:tr w14:paraId="411157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4BCFA6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1</w:t>
            </w:r>
          </w:p>
        </w:tc>
        <w:tc>
          <w:tcPr>
            <w:tcW w:w="1192" w:type="pct"/>
            <w:noWrap w:val="0"/>
            <w:vAlign w:val="center"/>
          </w:tcPr>
          <w:p w14:paraId="3F9C79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填埋场上游</w:t>
            </w:r>
          </w:p>
        </w:tc>
        <w:tc>
          <w:tcPr>
            <w:tcW w:w="727" w:type="pct"/>
            <w:noWrap w:val="0"/>
            <w:vAlign w:val="center"/>
          </w:tcPr>
          <w:p w14:paraId="49D1F9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113°34′15.478″</w:t>
            </w:r>
          </w:p>
        </w:tc>
        <w:tc>
          <w:tcPr>
            <w:tcW w:w="678" w:type="pct"/>
            <w:noWrap w:val="0"/>
            <w:vAlign w:val="center"/>
          </w:tcPr>
          <w:p w14:paraId="741F12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28°37′53.963″</w:t>
            </w:r>
          </w:p>
        </w:tc>
        <w:tc>
          <w:tcPr>
            <w:tcW w:w="678" w:type="pct"/>
            <w:vMerge w:val="restart"/>
            <w:noWrap w:val="0"/>
            <w:vAlign w:val="center"/>
          </w:tcPr>
          <w:p w14:paraId="11D29C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封场后监测频次至少每半年1次，直到地下水水质连续2年不超出地下水本底水平</w:t>
            </w:r>
          </w:p>
        </w:tc>
        <w:tc>
          <w:tcPr>
            <w:tcW w:w="851" w:type="pct"/>
            <w:vMerge w:val="restart"/>
            <w:noWrap w:val="0"/>
            <w:vAlign w:val="center"/>
          </w:tcPr>
          <w:p w14:paraId="241800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水位、pH、铬、镍、铜、锌、砷、镉、铅、汞、六价铬、氰化物、浑浊度、溶解性总固体、氯化物、硝酸盐、亚硝酸盐等</w:t>
            </w:r>
          </w:p>
        </w:tc>
        <w:tc>
          <w:tcPr>
            <w:tcW w:w="594" w:type="pct"/>
            <w:vMerge w:val="restart"/>
            <w:noWrap w:val="0"/>
            <w:vAlign w:val="center"/>
          </w:tcPr>
          <w:p w14:paraId="0A744B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如发生污水泄漏事故或发现地下水污染现象时，应随时增加采样频次。</w:t>
            </w:r>
          </w:p>
        </w:tc>
      </w:tr>
      <w:tr w14:paraId="335A57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58E7D7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2</w:t>
            </w:r>
          </w:p>
        </w:tc>
        <w:tc>
          <w:tcPr>
            <w:tcW w:w="1192" w:type="pct"/>
            <w:noWrap w:val="0"/>
            <w:vAlign w:val="center"/>
          </w:tcPr>
          <w:p w14:paraId="2FEA76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填埋场西侧</w:t>
            </w:r>
          </w:p>
        </w:tc>
        <w:tc>
          <w:tcPr>
            <w:tcW w:w="727" w:type="pct"/>
            <w:noWrap w:val="0"/>
            <w:vAlign w:val="center"/>
          </w:tcPr>
          <w:p w14:paraId="1946AA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113°34′12.881″</w:t>
            </w:r>
          </w:p>
        </w:tc>
        <w:tc>
          <w:tcPr>
            <w:tcW w:w="678" w:type="pct"/>
            <w:noWrap w:val="0"/>
            <w:vAlign w:val="center"/>
          </w:tcPr>
          <w:p w14:paraId="141457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28°37′51.993″</w:t>
            </w:r>
          </w:p>
        </w:tc>
        <w:tc>
          <w:tcPr>
            <w:tcW w:w="678" w:type="pct"/>
            <w:vMerge w:val="continue"/>
            <w:noWrap w:val="0"/>
            <w:vAlign w:val="center"/>
          </w:tcPr>
          <w:p w14:paraId="75142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2EB26B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673649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1A5D39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3A65A1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3</w:t>
            </w:r>
          </w:p>
        </w:tc>
        <w:tc>
          <w:tcPr>
            <w:tcW w:w="1192" w:type="pct"/>
            <w:noWrap w:val="0"/>
            <w:vAlign w:val="center"/>
          </w:tcPr>
          <w:p w14:paraId="0E91CC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填埋场西侧</w:t>
            </w:r>
          </w:p>
        </w:tc>
        <w:tc>
          <w:tcPr>
            <w:tcW w:w="727" w:type="pct"/>
            <w:noWrap w:val="0"/>
            <w:vAlign w:val="center"/>
          </w:tcPr>
          <w:p w14:paraId="4A6595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113°34′17.255″</w:t>
            </w:r>
          </w:p>
        </w:tc>
        <w:tc>
          <w:tcPr>
            <w:tcW w:w="678" w:type="pct"/>
            <w:noWrap w:val="0"/>
            <w:vAlign w:val="center"/>
          </w:tcPr>
          <w:p w14:paraId="4E693A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28°37′52.833″</w:t>
            </w:r>
          </w:p>
        </w:tc>
        <w:tc>
          <w:tcPr>
            <w:tcW w:w="678" w:type="pct"/>
            <w:vMerge w:val="continue"/>
            <w:noWrap w:val="0"/>
            <w:vAlign w:val="center"/>
          </w:tcPr>
          <w:p w14:paraId="5CC252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4F42A5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734DCD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7B4095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5FE04A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r>
              <w:rPr>
                <w:rFonts w:hint="eastAsia"/>
                <w:sz w:val="21"/>
                <w:szCs w:val="21"/>
                <w:highlight w:val="none"/>
                <w:u w:val="none"/>
                <w:lang w:val="en-US" w:eastAsia="zh-CN"/>
              </w:rPr>
              <w:t>4</w:t>
            </w:r>
          </w:p>
        </w:tc>
        <w:tc>
          <w:tcPr>
            <w:tcW w:w="1192" w:type="pct"/>
            <w:noWrap w:val="0"/>
            <w:vAlign w:val="center"/>
          </w:tcPr>
          <w:p w14:paraId="117053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填埋场南侧</w:t>
            </w:r>
          </w:p>
        </w:tc>
        <w:tc>
          <w:tcPr>
            <w:tcW w:w="727" w:type="pct"/>
            <w:noWrap w:val="0"/>
            <w:vAlign w:val="center"/>
          </w:tcPr>
          <w:p w14:paraId="31949D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default" w:ascii="Times New Roman" w:hAnsi="Times New Roman" w:cs="Times New Roman"/>
                <w:sz w:val="21"/>
                <w:szCs w:val="21"/>
                <w:highlight w:val="none"/>
                <w:u w:val="none"/>
                <w:lang w:val="en-US" w:eastAsia="zh-CN"/>
              </w:rPr>
              <w:t>113°34′14.126″</w:t>
            </w:r>
          </w:p>
        </w:tc>
        <w:tc>
          <w:tcPr>
            <w:tcW w:w="678" w:type="pct"/>
            <w:noWrap w:val="0"/>
            <w:vAlign w:val="center"/>
          </w:tcPr>
          <w:p w14:paraId="6C84ED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u w:val="none"/>
                <w:lang w:val="en-US" w:eastAsia="zh-CN" w:bidi="ar-SA"/>
              </w:rPr>
            </w:pPr>
            <w:r>
              <w:rPr>
                <w:rFonts w:hint="default" w:ascii="Times New Roman" w:hAnsi="Times New Roman" w:cs="Times New Roman"/>
                <w:sz w:val="21"/>
                <w:szCs w:val="21"/>
                <w:highlight w:val="none"/>
                <w:u w:val="none"/>
                <w:lang w:val="en-US" w:eastAsia="zh-CN"/>
              </w:rPr>
              <w:t>28°37′50.168″</w:t>
            </w:r>
          </w:p>
        </w:tc>
        <w:tc>
          <w:tcPr>
            <w:tcW w:w="678" w:type="pct"/>
            <w:vMerge w:val="continue"/>
            <w:noWrap w:val="0"/>
            <w:vAlign w:val="center"/>
          </w:tcPr>
          <w:p w14:paraId="69168D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508339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2EFC0E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30ACE0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21EB8B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5</w:t>
            </w:r>
          </w:p>
        </w:tc>
        <w:tc>
          <w:tcPr>
            <w:tcW w:w="1192" w:type="pct"/>
            <w:noWrap w:val="0"/>
            <w:vAlign w:val="center"/>
          </w:tcPr>
          <w:p w14:paraId="18C7BE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万古村1#渣堆区域下游</w:t>
            </w:r>
          </w:p>
        </w:tc>
        <w:tc>
          <w:tcPr>
            <w:tcW w:w="727" w:type="pct"/>
            <w:noWrap w:val="0"/>
            <w:vAlign w:val="center"/>
          </w:tcPr>
          <w:p w14:paraId="540471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113°34′24.617″</w:t>
            </w:r>
          </w:p>
        </w:tc>
        <w:tc>
          <w:tcPr>
            <w:tcW w:w="678" w:type="pct"/>
            <w:noWrap w:val="0"/>
            <w:vAlign w:val="center"/>
          </w:tcPr>
          <w:p w14:paraId="686C3E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28°37′45.403″</w:t>
            </w:r>
          </w:p>
        </w:tc>
        <w:tc>
          <w:tcPr>
            <w:tcW w:w="678" w:type="pct"/>
            <w:vMerge w:val="continue"/>
            <w:noWrap w:val="0"/>
            <w:vAlign w:val="center"/>
          </w:tcPr>
          <w:p w14:paraId="5970DF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6548F6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5E082A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5455AD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44117F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6</w:t>
            </w:r>
          </w:p>
        </w:tc>
        <w:tc>
          <w:tcPr>
            <w:tcW w:w="1192" w:type="pct"/>
            <w:noWrap w:val="0"/>
            <w:vAlign w:val="center"/>
          </w:tcPr>
          <w:p w14:paraId="4DE65D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万古村2#渣堆区域下游</w:t>
            </w:r>
          </w:p>
        </w:tc>
        <w:tc>
          <w:tcPr>
            <w:tcW w:w="727" w:type="pct"/>
            <w:noWrap w:val="0"/>
            <w:vAlign w:val="center"/>
          </w:tcPr>
          <w:p w14:paraId="4CD2B6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113°34′20.412″</w:t>
            </w:r>
          </w:p>
        </w:tc>
        <w:tc>
          <w:tcPr>
            <w:tcW w:w="678" w:type="pct"/>
            <w:noWrap w:val="0"/>
            <w:vAlign w:val="center"/>
          </w:tcPr>
          <w:p w14:paraId="25F3CC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28°37′39.889″</w:t>
            </w:r>
          </w:p>
        </w:tc>
        <w:tc>
          <w:tcPr>
            <w:tcW w:w="678" w:type="pct"/>
            <w:vMerge w:val="continue"/>
            <w:noWrap w:val="0"/>
            <w:vAlign w:val="center"/>
          </w:tcPr>
          <w:p w14:paraId="6E8A86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4C70AE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141304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74EB4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36EB43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7</w:t>
            </w:r>
          </w:p>
        </w:tc>
        <w:tc>
          <w:tcPr>
            <w:tcW w:w="1192" w:type="pct"/>
            <w:noWrap w:val="0"/>
            <w:vAlign w:val="center"/>
          </w:tcPr>
          <w:p w14:paraId="7B2730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万古水库3A渣堆区域下游</w:t>
            </w:r>
          </w:p>
        </w:tc>
        <w:tc>
          <w:tcPr>
            <w:tcW w:w="727" w:type="pct"/>
            <w:noWrap w:val="0"/>
            <w:vAlign w:val="center"/>
          </w:tcPr>
          <w:p w14:paraId="5BFA64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113°34′3.799″</w:t>
            </w:r>
          </w:p>
        </w:tc>
        <w:tc>
          <w:tcPr>
            <w:tcW w:w="678" w:type="pct"/>
            <w:noWrap w:val="0"/>
            <w:vAlign w:val="center"/>
          </w:tcPr>
          <w:p w14:paraId="016C82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28°37′57.202″</w:t>
            </w:r>
          </w:p>
        </w:tc>
        <w:tc>
          <w:tcPr>
            <w:tcW w:w="678" w:type="pct"/>
            <w:vMerge w:val="continue"/>
            <w:noWrap w:val="0"/>
            <w:vAlign w:val="center"/>
          </w:tcPr>
          <w:p w14:paraId="44AF99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347EDD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271F86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r w14:paraId="506963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75" w:type="pct"/>
            <w:noWrap w:val="0"/>
            <w:vAlign w:val="center"/>
          </w:tcPr>
          <w:p w14:paraId="24A97F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highlight w:val="none"/>
                <w:u w:val="none"/>
                <w:lang w:val="en-US" w:eastAsia="zh-CN"/>
              </w:rPr>
            </w:pPr>
            <w:r>
              <w:rPr>
                <w:rFonts w:hint="eastAsia"/>
                <w:sz w:val="21"/>
                <w:szCs w:val="21"/>
                <w:highlight w:val="none"/>
                <w:u w:val="none"/>
                <w:lang w:val="en-US" w:eastAsia="zh-CN"/>
              </w:rPr>
              <w:t>8</w:t>
            </w:r>
          </w:p>
        </w:tc>
        <w:tc>
          <w:tcPr>
            <w:tcW w:w="1192" w:type="pct"/>
            <w:noWrap w:val="0"/>
            <w:vAlign w:val="center"/>
          </w:tcPr>
          <w:p w14:paraId="50A2B8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 w:val="21"/>
                <w:szCs w:val="21"/>
                <w:highlight w:val="none"/>
                <w:lang w:val="en-US" w:eastAsia="zh-CN"/>
              </w:rPr>
              <w:t>万古水库3B渣堆区域下游</w:t>
            </w:r>
          </w:p>
        </w:tc>
        <w:tc>
          <w:tcPr>
            <w:tcW w:w="727" w:type="pct"/>
            <w:noWrap w:val="0"/>
            <w:vAlign w:val="center"/>
          </w:tcPr>
          <w:p w14:paraId="788971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113°34′2.211″</w:t>
            </w:r>
          </w:p>
        </w:tc>
        <w:tc>
          <w:tcPr>
            <w:tcW w:w="678" w:type="pct"/>
            <w:noWrap w:val="0"/>
            <w:vAlign w:val="center"/>
          </w:tcPr>
          <w:p w14:paraId="7BF9FC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highlight w:val="none"/>
                <w:u w:val="none"/>
                <w:lang w:val="en-US" w:eastAsia="zh-CN"/>
              </w:rPr>
            </w:pPr>
            <w:r>
              <w:rPr>
                <w:rFonts w:hint="default" w:ascii="Times New Roman" w:hAnsi="Times New Roman" w:cs="Times New Roman"/>
                <w:sz w:val="21"/>
                <w:szCs w:val="21"/>
                <w:highlight w:val="none"/>
                <w:u w:val="none"/>
                <w:lang w:val="en-US" w:eastAsia="zh-CN"/>
              </w:rPr>
              <w:t>28°37′57.922″</w:t>
            </w:r>
          </w:p>
        </w:tc>
        <w:tc>
          <w:tcPr>
            <w:tcW w:w="678" w:type="pct"/>
            <w:vMerge w:val="continue"/>
            <w:noWrap w:val="0"/>
            <w:vAlign w:val="center"/>
          </w:tcPr>
          <w:p w14:paraId="1784A1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851" w:type="pct"/>
            <w:vMerge w:val="continue"/>
            <w:noWrap w:val="0"/>
            <w:vAlign w:val="center"/>
          </w:tcPr>
          <w:p w14:paraId="2DF167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c>
          <w:tcPr>
            <w:tcW w:w="594" w:type="pct"/>
            <w:vMerge w:val="continue"/>
            <w:noWrap w:val="0"/>
            <w:vAlign w:val="center"/>
          </w:tcPr>
          <w:p w14:paraId="21FB91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highlight w:val="none"/>
                <w:u w:val="none"/>
                <w:lang w:val="en-US" w:eastAsia="zh-CN"/>
              </w:rPr>
            </w:pPr>
          </w:p>
        </w:tc>
      </w:tr>
    </w:tbl>
    <w:p w14:paraId="6ADA19E5">
      <w:pPr>
        <w:bidi w:val="0"/>
        <w:rPr>
          <w:rFonts w:hint="eastAsia"/>
          <w:b/>
          <w:bCs/>
          <w:sz w:val="24"/>
          <w:szCs w:val="24"/>
          <w:highlight w:val="none"/>
          <w:lang w:val="en-US" w:eastAsia="zh-CN"/>
        </w:rPr>
      </w:pPr>
      <w:r>
        <w:rPr>
          <w:rFonts w:hint="eastAsia"/>
          <w:b/>
          <w:bCs/>
          <w:sz w:val="24"/>
          <w:szCs w:val="24"/>
          <w:highlight w:val="none"/>
          <w:lang w:val="en-US" w:eastAsia="zh-CN"/>
        </w:rPr>
        <w:t>（3）监测数据管理</w:t>
      </w:r>
    </w:p>
    <w:p w14:paraId="453F12BF">
      <w:pPr>
        <w:bidi w:val="0"/>
        <w:rPr>
          <w:rFonts w:hint="eastAsia"/>
          <w:sz w:val="24"/>
          <w:szCs w:val="24"/>
          <w:highlight w:val="none"/>
          <w:lang w:val="en-US" w:eastAsia="zh-CN"/>
        </w:rPr>
      </w:pPr>
      <w:r>
        <w:rPr>
          <w:rFonts w:hint="eastAsia"/>
          <w:sz w:val="24"/>
          <w:szCs w:val="24"/>
          <w:highlight w:val="none"/>
          <w:lang w:val="en-US" w:eastAsia="zh-CN"/>
        </w:rPr>
        <w:t>项目建成后，应重视生态环境保护工作，从事环境管理的机构应配备专职环保人员，负责环境监督管理工作，同时要加强对管理人员的环保培训，不断提高管理水平。</w:t>
      </w:r>
    </w:p>
    <w:p w14:paraId="5978B6DE">
      <w:pPr>
        <w:bidi w:val="0"/>
        <w:rPr>
          <w:rFonts w:hint="eastAsia"/>
          <w:sz w:val="24"/>
          <w:szCs w:val="24"/>
          <w:highlight w:val="none"/>
          <w:lang w:val="en-US" w:eastAsia="zh-CN"/>
        </w:rPr>
      </w:pPr>
      <w:r>
        <w:rPr>
          <w:rFonts w:hint="eastAsia"/>
          <w:sz w:val="24"/>
          <w:szCs w:val="24"/>
          <w:highlight w:val="none"/>
          <w:lang w:val="en-US" w:eastAsia="zh-CN"/>
        </w:rPr>
        <w:t>对监测结果应按一般固废填埋场有关规定及时建立档案，并抄送生态环境行政主管部门，对于常规检测数据应该进行公开，特别是对填埋场所在区域的居民公开，满足法律中关于知情权的要求。发现污染和水质恶化时，要及时进行处理，开展系统调查，并上报有关部门。</w:t>
      </w:r>
    </w:p>
    <w:p w14:paraId="0552D11E">
      <w:pPr>
        <w:bidi w:val="0"/>
        <w:rPr>
          <w:rFonts w:hint="eastAsia"/>
          <w:b/>
          <w:bCs/>
          <w:sz w:val="24"/>
          <w:szCs w:val="24"/>
          <w:highlight w:val="none"/>
          <w:lang w:val="en-US" w:eastAsia="zh-CN"/>
        </w:rPr>
      </w:pPr>
      <w:r>
        <w:rPr>
          <w:rFonts w:hint="eastAsia"/>
          <w:b/>
          <w:bCs/>
          <w:sz w:val="24"/>
          <w:szCs w:val="24"/>
          <w:highlight w:val="none"/>
          <w:lang w:val="en-US" w:eastAsia="zh-CN"/>
        </w:rPr>
        <w:t>（4）跟踪监测与信息公开计划</w:t>
      </w:r>
    </w:p>
    <w:p w14:paraId="39333D0A">
      <w:pPr>
        <w:bidi w:val="0"/>
        <w:rPr>
          <w:rFonts w:hint="eastAsia"/>
          <w:sz w:val="24"/>
          <w:szCs w:val="24"/>
          <w:highlight w:val="none"/>
          <w:lang w:val="en-US" w:eastAsia="zh-CN"/>
        </w:rPr>
      </w:pPr>
      <w:r>
        <w:rPr>
          <w:rFonts w:hint="eastAsia"/>
          <w:sz w:val="24"/>
          <w:szCs w:val="24"/>
          <w:highlight w:val="none"/>
          <w:lang w:val="en-US" w:eastAsia="zh-CN"/>
        </w:rPr>
        <w:t>落实跟踪监测报告编制的责任主体，明确地下水环境跟踪监测报告的内容，包括：</w:t>
      </w:r>
    </w:p>
    <w:p w14:paraId="78E6DA12">
      <w:pPr>
        <w:bidi w:val="0"/>
        <w:rPr>
          <w:rFonts w:hint="eastAsia"/>
          <w:sz w:val="24"/>
          <w:szCs w:val="24"/>
          <w:highlight w:val="none"/>
          <w:lang w:val="en-US" w:eastAsia="zh-CN"/>
        </w:rPr>
      </w:pPr>
      <w:r>
        <w:rPr>
          <w:rFonts w:hint="eastAsia"/>
          <w:sz w:val="24"/>
          <w:szCs w:val="24"/>
          <w:highlight w:val="none"/>
          <w:lang w:val="en-US" w:eastAsia="zh-CN"/>
        </w:rPr>
        <w:t>①厂区所在场地及其影响区地下水环境跟踪监测数据，排放污染物的种类、数量、浓度。</w:t>
      </w:r>
    </w:p>
    <w:p w14:paraId="7D0724AE">
      <w:pPr>
        <w:bidi w:val="0"/>
        <w:rPr>
          <w:rFonts w:hint="eastAsia"/>
          <w:sz w:val="24"/>
          <w:szCs w:val="24"/>
          <w:highlight w:val="none"/>
          <w:lang w:val="en-US" w:eastAsia="zh-CN"/>
        </w:rPr>
      </w:pPr>
      <w:r>
        <w:rPr>
          <w:rFonts w:hint="eastAsia"/>
          <w:sz w:val="24"/>
          <w:szCs w:val="24"/>
          <w:highlight w:val="none"/>
          <w:lang w:val="en-US" w:eastAsia="zh-CN"/>
        </w:rPr>
        <w:t>②生产设备、管廊或管线、贮存与运输装置、污染物贮存与处理装置、事故应急装置等设施的运行状况、跑冒滴漏记录、维护记录。</w:t>
      </w:r>
    </w:p>
    <w:p w14:paraId="1277D742">
      <w:pPr>
        <w:bidi w:val="0"/>
        <w:rPr>
          <w:rFonts w:hint="eastAsia"/>
          <w:sz w:val="24"/>
          <w:szCs w:val="24"/>
          <w:highlight w:val="none"/>
          <w:lang w:val="en-US" w:eastAsia="zh-CN"/>
        </w:rPr>
      </w:pPr>
      <w:r>
        <w:rPr>
          <w:rFonts w:hint="eastAsia"/>
          <w:sz w:val="24"/>
          <w:szCs w:val="24"/>
          <w:highlight w:val="none"/>
          <w:lang w:val="en-US" w:eastAsia="zh-CN"/>
        </w:rPr>
        <w:t>③信息公开计划应至少包括特征因子的地下水环境检测值。</w:t>
      </w:r>
    </w:p>
    <w:p w14:paraId="23017E00">
      <w:pPr>
        <w:pStyle w:val="5"/>
        <w:numPr>
          <w:ilvl w:val="3"/>
          <w:numId w:val="0"/>
        </w:numPr>
        <w:tabs>
          <w:tab w:val="left" w:pos="964"/>
        </w:tabs>
        <w:bidi w:val="0"/>
        <w:ind w:leftChars="0"/>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7.2.3.4</w:t>
      </w:r>
      <w:r>
        <w:rPr>
          <w:rFonts w:hint="default" w:ascii="Times New Roman" w:hAnsi="Times New Roman" w:eastAsia="宋体" w:cs="Times New Roman"/>
          <w:sz w:val="24"/>
          <w:szCs w:val="24"/>
          <w:highlight w:val="none"/>
          <w:lang w:val="en-US" w:eastAsia="zh-CN"/>
        </w:rPr>
        <w:t>应急响应</w:t>
      </w:r>
    </w:p>
    <w:p w14:paraId="65211759">
      <w:pPr>
        <w:bidi w:val="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（1）污染应急预案</w:t>
      </w:r>
    </w:p>
    <w:p w14:paraId="20E51F0E">
      <w:pPr>
        <w:bidi w:val="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项目应制定地下水污染应急预案，并在发现废渣填埋场地下水受到污染时立刻启动应急预案，采取应急措施阻止污染进一步扩散，防止周边居民人体健康及生态环境受到影响。</w:t>
      </w:r>
    </w:p>
    <w:p w14:paraId="2EDC3376">
      <w:pPr>
        <w:bidi w:val="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地下水污染应急预案应包括下列要点：</w:t>
      </w:r>
    </w:p>
    <w:p w14:paraId="37AFE9EB">
      <w:pPr>
        <w:bidi w:val="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如发现地下水污染事故，应立即向生态环境部门及行政管理部门报告，调查并确认污染源位置；采取有效措施及时阻断确认的污染源，防止污染物继续渗漏到地下，导致土壤和地下水污染范围扩大；立即对重污染区域采取有效的修复措施，包括开挖并移走重污染土壤作危险废物处置，对重污染区的地下水抽出并送到事故应急池中，防止污染物在地下继续扩散；对厂区及周边区域的地下水敏感点进行取样监测，确定水质是否受到影响。如果水质受到影响，应及时通知相关方并立即停用受影响的地下水。</w:t>
      </w:r>
    </w:p>
    <w:p w14:paraId="16DC9875">
      <w:pPr>
        <w:bidi w:val="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（2）污染应急措施</w:t>
      </w:r>
    </w:p>
    <w:p w14:paraId="7D87D219">
      <w:pPr>
        <w:bidi w:val="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如发现渗漏应立即将污水转移到事故应急池或其他备用水池，将该水池清空后找出泄漏点并尽快修复。待渗漏点修补好后再将污水转移回污水处理池进行处理。项目区具体地下水污染应急预案可参考下表</w:t>
      </w:r>
      <w:r>
        <w:rPr>
          <w:rFonts w:hint="eastAsia" w:cs="Times New Roman"/>
          <w:sz w:val="24"/>
          <w:szCs w:val="24"/>
          <w:highlight w:val="none"/>
          <w:lang w:val="en-US" w:eastAsia="zh-CN"/>
        </w:rPr>
        <w:t>。</w:t>
      </w:r>
    </w:p>
    <w:p w14:paraId="6F511217">
      <w:pPr>
        <w:bidi w:val="0"/>
        <w:spacing w:line="240" w:lineRule="auto"/>
        <w:ind w:left="0" w:leftChars="0" w:firstLine="0" w:firstLineChars="0"/>
        <w:jc w:val="center"/>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表7.2-3  地下水污染应急预案内容</w:t>
      </w:r>
    </w:p>
    <w:tbl>
      <w:tblPr>
        <w:tblStyle w:val="46"/>
        <w:tblW w:w="5046"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688"/>
        <w:gridCol w:w="3259"/>
        <w:gridCol w:w="5243"/>
      </w:tblGrid>
      <w:tr w14:paraId="7278D11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tblHeader/>
          <w:jc w:val="center"/>
        </w:trPr>
        <w:tc>
          <w:tcPr>
            <w:tcW w:w="374" w:type="pct"/>
            <w:noWrap w:val="0"/>
            <w:vAlign w:val="center"/>
          </w:tcPr>
          <w:p w14:paraId="1644A53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序号</w:t>
            </w:r>
          </w:p>
        </w:tc>
        <w:tc>
          <w:tcPr>
            <w:tcW w:w="1773" w:type="pct"/>
            <w:noWrap w:val="0"/>
            <w:vAlign w:val="center"/>
          </w:tcPr>
          <w:p w14:paraId="5342AB9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项目</w:t>
            </w:r>
          </w:p>
        </w:tc>
        <w:tc>
          <w:tcPr>
            <w:tcW w:w="2852" w:type="pct"/>
            <w:noWrap w:val="0"/>
            <w:vAlign w:val="center"/>
          </w:tcPr>
          <w:p w14:paraId="0EEAB9D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b/>
                <w:bCs/>
                <w:sz w:val="21"/>
                <w:szCs w:val="21"/>
                <w:highlight w:val="none"/>
                <w:lang w:val="en-US" w:eastAsia="zh-CN"/>
              </w:rPr>
            </w:pPr>
            <w:r>
              <w:rPr>
                <w:rFonts w:hint="eastAsia"/>
                <w:b/>
                <w:bCs/>
                <w:sz w:val="21"/>
                <w:szCs w:val="21"/>
                <w:highlight w:val="none"/>
                <w:lang w:val="en-US" w:eastAsia="zh-CN"/>
              </w:rPr>
              <w:t>内容及要求</w:t>
            </w:r>
          </w:p>
        </w:tc>
      </w:tr>
      <w:tr w14:paraId="3E6FB044">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7CC966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w:t>
            </w:r>
          </w:p>
        </w:tc>
        <w:tc>
          <w:tcPr>
            <w:tcW w:w="1773" w:type="pct"/>
            <w:noWrap w:val="0"/>
            <w:vAlign w:val="center"/>
          </w:tcPr>
          <w:p w14:paraId="1733E5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总则</w:t>
            </w:r>
          </w:p>
        </w:tc>
        <w:tc>
          <w:tcPr>
            <w:tcW w:w="2852" w:type="pct"/>
            <w:noWrap w:val="0"/>
            <w:vAlign w:val="center"/>
          </w:tcPr>
          <w:p w14:paraId="5548B5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《环境影响评价技术导则  地下水环境》（HJ610-2016）</w:t>
            </w:r>
          </w:p>
        </w:tc>
      </w:tr>
      <w:tr w14:paraId="651087E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3E3CAC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2</w:t>
            </w:r>
          </w:p>
        </w:tc>
        <w:tc>
          <w:tcPr>
            <w:tcW w:w="1773" w:type="pct"/>
            <w:noWrap w:val="0"/>
            <w:vAlign w:val="center"/>
          </w:tcPr>
          <w:p w14:paraId="29B7BA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污染源概况</w:t>
            </w:r>
          </w:p>
        </w:tc>
        <w:tc>
          <w:tcPr>
            <w:tcW w:w="2852" w:type="pct"/>
            <w:noWrap w:val="0"/>
            <w:vAlign w:val="center"/>
          </w:tcPr>
          <w:p w14:paraId="509DBED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详述污染源类型、数量及其分布</w:t>
            </w:r>
          </w:p>
        </w:tc>
      </w:tr>
      <w:tr w14:paraId="448694C8">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58601E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3</w:t>
            </w:r>
          </w:p>
        </w:tc>
        <w:tc>
          <w:tcPr>
            <w:tcW w:w="1773" w:type="pct"/>
            <w:noWrap w:val="0"/>
            <w:vAlign w:val="center"/>
          </w:tcPr>
          <w:p w14:paraId="697E87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应急计划区</w:t>
            </w:r>
          </w:p>
        </w:tc>
        <w:tc>
          <w:tcPr>
            <w:tcW w:w="2852" w:type="pct"/>
            <w:noWrap w:val="0"/>
            <w:vAlign w:val="center"/>
          </w:tcPr>
          <w:p w14:paraId="3F050D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列出危险目标，环境保护目标，在总图中标明位置</w:t>
            </w:r>
          </w:p>
        </w:tc>
      </w:tr>
      <w:tr w14:paraId="42F185B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6D68693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4</w:t>
            </w:r>
          </w:p>
        </w:tc>
        <w:tc>
          <w:tcPr>
            <w:tcW w:w="1773" w:type="pct"/>
            <w:noWrap w:val="0"/>
            <w:vAlign w:val="center"/>
          </w:tcPr>
          <w:p w14:paraId="618099B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应急组织</w:t>
            </w:r>
          </w:p>
        </w:tc>
        <w:tc>
          <w:tcPr>
            <w:tcW w:w="2852" w:type="pct"/>
            <w:noWrap w:val="0"/>
            <w:vAlign w:val="center"/>
          </w:tcPr>
          <w:p w14:paraId="2D1AC23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应急指挥部：负责现场全面指挥；</w:t>
            </w:r>
          </w:p>
          <w:p w14:paraId="4CFE70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专业救援队伍：负责事故控制、救援、善后处理。</w:t>
            </w:r>
          </w:p>
        </w:tc>
      </w:tr>
      <w:tr w14:paraId="2C3DAA1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6EE49EF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5</w:t>
            </w:r>
          </w:p>
        </w:tc>
        <w:tc>
          <w:tcPr>
            <w:tcW w:w="1773" w:type="pct"/>
            <w:noWrap w:val="0"/>
            <w:vAlign w:val="center"/>
          </w:tcPr>
          <w:p w14:paraId="2875D87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应急状态分类及应急响应程序</w:t>
            </w:r>
          </w:p>
        </w:tc>
        <w:tc>
          <w:tcPr>
            <w:tcW w:w="2852" w:type="pct"/>
            <w:noWrap w:val="0"/>
            <w:vAlign w:val="center"/>
          </w:tcPr>
          <w:p w14:paraId="634FA2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规定地下水污染事故的级别及相应的应急分类响应程序</w:t>
            </w:r>
          </w:p>
        </w:tc>
      </w:tr>
      <w:tr w14:paraId="07B4C60F">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6FEB40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6</w:t>
            </w:r>
          </w:p>
        </w:tc>
        <w:tc>
          <w:tcPr>
            <w:tcW w:w="1773" w:type="pct"/>
            <w:noWrap w:val="0"/>
            <w:vAlign w:val="center"/>
          </w:tcPr>
          <w:p w14:paraId="37D104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应急设施、设备与材料</w:t>
            </w:r>
          </w:p>
        </w:tc>
        <w:tc>
          <w:tcPr>
            <w:tcW w:w="2852" w:type="pct"/>
            <w:noWrap w:val="0"/>
            <w:vAlign w:val="center"/>
          </w:tcPr>
          <w:p w14:paraId="214CB6F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防止有毒有害物质外溢、扩散的应急设施、设备与材料</w:t>
            </w:r>
          </w:p>
        </w:tc>
      </w:tr>
      <w:tr w14:paraId="759224B9">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28C4D5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7</w:t>
            </w:r>
          </w:p>
        </w:tc>
        <w:tc>
          <w:tcPr>
            <w:tcW w:w="1773" w:type="pct"/>
            <w:noWrap w:val="0"/>
            <w:vAlign w:val="center"/>
          </w:tcPr>
          <w:p w14:paraId="0E38F6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应急通讯、通讯和交通</w:t>
            </w:r>
          </w:p>
        </w:tc>
        <w:tc>
          <w:tcPr>
            <w:tcW w:w="2852" w:type="pct"/>
            <w:noWrap w:val="0"/>
            <w:vAlign w:val="center"/>
          </w:tcPr>
          <w:p w14:paraId="305EDE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规定应急状态下的通讯方式、通知方式和交通保障、管制</w:t>
            </w:r>
          </w:p>
        </w:tc>
      </w:tr>
      <w:tr w14:paraId="1240BFF2">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4EDE26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8</w:t>
            </w:r>
          </w:p>
        </w:tc>
        <w:tc>
          <w:tcPr>
            <w:tcW w:w="1773" w:type="pct"/>
            <w:noWrap w:val="0"/>
            <w:vAlign w:val="center"/>
          </w:tcPr>
          <w:p w14:paraId="2D01CFA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应急环境监测及事故后评估</w:t>
            </w:r>
          </w:p>
        </w:tc>
        <w:tc>
          <w:tcPr>
            <w:tcW w:w="2852" w:type="pct"/>
            <w:noWrap w:val="0"/>
            <w:vAlign w:val="center"/>
          </w:tcPr>
          <w:p w14:paraId="195AC3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由环境监测站进行对现场地下水环境进行监测；对事故性质与后果进行评估，为指挥部门提供决策依据。</w:t>
            </w:r>
          </w:p>
        </w:tc>
      </w:tr>
      <w:tr w14:paraId="495E10C7">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7F240F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9</w:t>
            </w:r>
          </w:p>
        </w:tc>
        <w:tc>
          <w:tcPr>
            <w:tcW w:w="1773" w:type="pct"/>
            <w:noWrap w:val="0"/>
            <w:vAlign w:val="center"/>
          </w:tcPr>
          <w:p w14:paraId="441C32A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应急防护措施、清除泄漏措施方法和器材</w:t>
            </w:r>
          </w:p>
        </w:tc>
        <w:tc>
          <w:tcPr>
            <w:tcW w:w="2852" w:type="pct"/>
            <w:noWrap w:val="0"/>
            <w:vAlign w:val="center"/>
          </w:tcPr>
          <w:p w14:paraId="4BA5802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事故现场：控制事故、防止扩大、蔓延及连锁反应，清除现场泄漏物，降低危害，相应的设施器材配备；</w:t>
            </w:r>
          </w:p>
          <w:p w14:paraId="1966313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邻近区域：控制污染区域，控制和清除污染措施及相应设备配备。</w:t>
            </w:r>
          </w:p>
        </w:tc>
      </w:tr>
      <w:tr w14:paraId="0E2B6880">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673E81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10</w:t>
            </w:r>
          </w:p>
        </w:tc>
        <w:tc>
          <w:tcPr>
            <w:tcW w:w="1773" w:type="pct"/>
            <w:noWrap w:val="0"/>
            <w:vAlign w:val="center"/>
          </w:tcPr>
          <w:p w14:paraId="369951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应急浓度、排放量控制、撤离组织计划、医疗救护与公众健康</w:t>
            </w:r>
          </w:p>
        </w:tc>
        <w:tc>
          <w:tcPr>
            <w:tcW w:w="2852" w:type="pct"/>
            <w:noWrap w:val="0"/>
            <w:vAlign w:val="center"/>
          </w:tcPr>
          <w:p w14:paraId="2456AA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事故现场：事故处理人员制定污染物的应急控制浓度、排放量，现场及邻近装置人员撤离组织计划及救护；</w:t>
            </w:r>
          </w:p>
          <w:p w14:paraId="2C7E66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环境敏感目标：受事故影响的邻近区域人员及公众对污染物应急控制浓度、排放量规定，撤离组织计划及救护。</w:t>
            </w:r>
          </w:p>
        </w:tc>
      </w:tr>
      <w:tr w14:paraId="50AB9FCD">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453311A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11</w:t>
            </w:r>
          </w:p>
        </w:tc>
        <w:tc>
          <w:tcPr>
            <w:tcW w:w="1773" w:type="pct"/>
            <w:noWrap w:val="0"/>
            <w:vAlign w:val="center"/>
          </w:tcPr>
          <w:p w14:paraId="0E3A1E0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应急状态终止与恢复措施</w:t>
            </w:r>
          </w:p>
        </w:tc>
        <w:tc>
          <w:tcPr>
            <w:tcW w:w="2852" w:type="pct"/>
            <w:noWrap w:val="0"/>
            <w:vAlign w:val="center"/>
          </w:tcPr>
          <w:p w14:paraId="6EAC34E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规定应急状态终止程序；事故现场善后处理，恢复措施；邻近区域解除事故警戒及善后恢复措施。</w:t>
            </w:r>
          </w:p>
        </w:tc>
      </w:tr>
      <w:tr w14:paraId="7D79E7AA">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59067A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12</w:t>
            </w:r>
          </w:p>
        </w:tc>
        <w:tc>
          <w:tcPr>
            <w:tcW w:w="1773" w:type="pct"/>
            <w:noWrap w:val="0"/>
            <w:vAlign w:val="center"/>
          </w:tcPr>
          <w:p w14:paraId="14FF9C4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人员培训与演练</w:t>
            </w:r>
          </w:p>
        </w:tc>
        <w:tc>
          <w:tcPr>
            <w:tcW w:w="2852" w:type="pct"/>
            <w:noWrap w:val="0"/>
            <w:vAlign w:val="center"/>
          </w:tcPr>
          <w:p w14:paraId="6BB6ED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应急计划制定后，平时安排人员培训与演练。</w:t>
            </w:r>
          </w:p>
        </w:tc>
      </w:tr>
      <w:tr w14:paraId="5BD79E85">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62BFCC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13</w:t>
            </w:r>
          </w:p>
        </w:tc>
        <w:tc>
          <w:tcPr>
            <w:tcW w:w="1773" w:type="pct"/>
            <w:noWrap w:val="0"/>
            <w:vAlign w:val="center"/>
          </w:tcPr>
          <w:p w14:paraId="479E59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公众教育和信息</w:t>
            </w:r>
          </w:p>
        </w:tc>
        <w:tc>
          <w:tcPr>
            <w:tcW w:w="2852" w:type="pct"/>
            <w:noWrap w:val="0"/>
            <w:vAlign w:val="center"/>
          </w:tcPr>
          <w:p w14:paraId="671AAB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对邻近地区开展公众教育、培训和发布有关信息</w:t>
            </w:r>
          </w:p>
        </w:tc>
      </w:tr>
      <w:tr w14:paraId="501F0DE1">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13762C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14</w:t>
            </w:r>
          </w:p>
        </w:tc>
        <w:tc>
          <w:tcPr>
            <w:tcW w:w="1773" w:type="pct"/>
            <w:noWrap w:val="0"/>
            <w:vAlign w:val="center"/>
          </w:tcPr>
          <w:p w14:paraId="1D1322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记录和报告</w:t>
            </w:r>
          </w:p>
        </w:tc>
        <w:tc>
          <w:tcPr>
            <w:tcW w:w="2852" w:type="pct"/>
            <w:noWrap w:val="0"/>
            <w:vAlign w:val="center"/>
          </w:tcPr>
          <w:p w14:paraId="162108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设置应急事故专门记录，建立档案和专门报告制度，设立专门部门负责管理。</w:t>
            </w:r>
          </w:p>
        </w:tc>
      </w:tr>
      <w:tr w14:paraId="3A88780C">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74" w:type="pct"/>
            <w:noWrap w:val="0"/>
            <w:vAlign w:val="center"/>
          </w:tcPr>
          <w:p w14:paraId="42E033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15</w:t>
            </w:r>
          </w:p>
        </w:tc>
        <w:tc>
          <w:tcPr>
            <w:tcW w:w="1773" w:type="pct"/>
            <w:noWrap w:val="0"/>
            <w:vAlign w:val="center"/>
          </w:tcPr>
          <w:p w14:paraId="22D7AA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附件</w:t>
            </w:r>
          </w:p>
        </w:tc>
        <w:tc>
          <w:tcPr>
            <w:tcW w:w="2852" w:type="pct"/>
            <w:noWrap w:val="0"/>
            <w:vAlign w:val="center"/>
          </w:tcPr>
          <w:p w14:paraId="77D1ABF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与应急事故有关的多种附件材料的准备和形成</w:t>
            </w:r>
          </w:p>
        </w:tc>
      </w:tr>
    </w:tbl>
    <w:p w14:paraId="3C94EDEB">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7.2.4土壤污染防治措施</w:t>
      </w:r>
    </w:p>
    <w:p w14:paraId="672AB5CC">
      <w:pPr>
        <w:bidi w:val="0"/>
        <w:rPr>
          <w:rFonts w:hint="eastAsia"/>
          <w:sz w:val="24"/>
          <w:szCs w:val="24"/>
          <w:highlight w:val="none"/>
          <w:lang w:val="en-US" w:eastAsia="zh-CN"/>
        </w:rPr>
      </w:pPr>
      <w:r>
        <w:rPr>
          <w:rFonts w:hint="eastAsia"/>
          <w:sz w:val="24"/>
          <w:szCs w:val="24"/>
          <w:highlight w:val="none"/>
          <w:lang w:val="en-US" w:eastAsia="zh-CN"/>
        </w:rPr>
        <w:t>本项目设填埋场对历史遗留的废渣进行收集填埋处理，填埋场按照《一般工业固体废物贮存和填埋污染控制标准》（GB18599-2020）设计，将采用双层土工布夹HDPE土工膜的复合衬垫层防渗处理；渗滤液收集池池体采用防渗水泥构筑钢筋混凝土结构，池内部采用防腐处理；填埋场产生的渗滤液经渗滤液收集池收集，经重金属一体化污水处理设备处理后，采用防腐、防漏的罐车集中清运至湖南黄金天岳矿业有限公司垂拱洞尾矿库废水处理站进行处理。项目为重金属治理项目，将废渣清理后进行填埋处置，可降低废渣重金属析出，控制污染扩散途径，可减少对周边土壤重金属的污染。</w:t>
      </w:r>
    </w:p>
    <w:p w14:paraId="60E79DC5">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7.2.5噪声污染防治措施</w:t>
      </w:r>
    </w:p>
    <w:p w14:paraId="0E9D7C84">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项目封场后仅有重金属一体化污水处理装置水泵和渗滤液槽罐车运输车辆间歇性短时间产生噪声，对周围声环境影响较小，因此封场后对周边噪声基本无影响。</w:t>
      </w:r>
    </w:p>
    <w:p w14:paraId="669059DB">
      <w:pPr>
        <w:pStyle w:val="4"/>
        <w:keepNext w:val="0"/>
        <w:keepLines w:val="0"/>
        <w:numPr>
          <w:ilvl w:val="0"/>
          <w:numId w:val="0"/>
        </w:numPr>
        <w:topLinePunct w:val="0"/>
        <w:spacing w:before="0" w:beforeLines="0" w:after="0" w:afterLines="0" w:line="240" w:lineRule="auto"/>
        <w:rPr>
          <w:rFonts w:hint="default"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7.2.6固体废物污染防治措施</w:t>
      </w:r>
    </w:p>
    <w:p w14:paraId="68F0D470">
      <w:pPr>
        <w:bidi w:val="0"/>
        <w:rPr>
          <w:rFonts w:hint="default" w:ascii="Times New Roman" w:hAnsi="Times New Roman" w:cs="Times New Roman"/>
          <w:color w:val="auto"/>
          <w:sz w:val="24"/>
          <w:szCs w:val="24"/>
          <w:highlight w:val="none"/>
          <w:u w:val="none" w:color="auto"/>
          <w:lang w:val="zh-CN"/>
        </w:rPr>
      </w:pPr>
      <w:r>
        <w:rPr>
          <w:rFonts w:hint="default" w:ascii="Times New Roman" w:hAnsi="Times New Roman" w:cs="Times New Roman"/>
          <w:color w:val="auto"/>
          <w:sz w:val="24"/>
          <w:szCs w:val="24"/>
          <w:highlight w:val="none"/>
          <w:u w:val="none" w:color="auto"/>
          <w:lang w:val="zh-CN"/>
        </w:rPr>
        <w:t>本项目废渣填埋场渗滤液采用</w:t>
      </w:r>
      <w:r>
        <w:rPr>
          <w:rFonts w:hint="eastAsia" w:cs="Times New Roman"/>
          <w:color w:val="auto"/>
          <w:sz w:val="24"/>
          <w:szCs w:val="24"/>
          <w:highlight w:val="none"/>
          <w:u w:val="none" w:color="auto"/>
          <w:lang w:val="en-US" w:eastAsia="zh-CN"/>
        </w:rPr>
        <w:t>重金属</w:t>
      </w:r>
      <w:r>
        <w:rPr>
          <w:rFonts w:hint="default" w:ascii="Times New Roman" w:hAnsi="Times New Roman" w:cs="Times New Roman"/>
          <w:color w:val="auto"/>
          <w:sz w:val="24"/>
          <w:szCs w:val="24"/>
          <w:highlight w:val="none"/>
          <w:u w:val="none" w:color="auto"/>
          <w:lang w:val="zh-CN"/>
        </w:rPr>
        <w:t>一体化废水处理设备处理，治理过程中会产生少量污泥，预计污泥量约</w:t>
      </w:r>
      <w:r>
        <w:rPr>
          <w:rFonts w:hint="eastAsia" w:cs="Times New Roman"/>
          <w:color w:val="auto"/>
          <w:sz w:val="24"/>
          <w:szCs w:val="24"/>
          <w:highlight w:val="none"/>
          <w:u w:val="none" w:color="auto"/>
          <w:lang w:val="en-US" w:eastAsia="zh-CN"/>
        </w:rPr>
        <w:t>1.5</w:t>
      </w:r>
      <w:r>
        <w:rPr>
          <w:rFonts w:hint="default" w:ascii="Times New Roman" w:hAnsi="Times New Roman" w:cs="Times New Roman"/>
          <w:color w:val="auto"/>
          <w:sz w:val="24"/>
          <w:szCs w:val="24"/>
          <w:highlight w:val="none"/>
          <w:u w:val="none" w:color="auto"/>
          <w:lang w:val="zh-CN"/>
        </w:rPr>
        <w:t>t/a，污泥</w:t>
      </w:r>
      <w:r>
        <w:rPr>
          <w:rFonts w:hint="eastAsia" w:cs="Times New Roman"/>
          <w:color w:val="auto"/>
          <w:sz w:val="24"/>
          <w:szCs w:val="24"/>
          <w:highlight w:val="none"/>
          <w:u w:val="none" w:color="auto"/>
          <w:lang w:val="en-US" w:eastAsia="zh-CN"/>
        </w:rPr>
        <w:t>为危险废物</w:t>
      </w:r>
      <w:r>
        <w:rPr>
          <w:rFonts w:hint="eastAsia" w:cs="Times New Roman"/>
          <w:color w:val="auto"/>
          <w:sz w:val="24"/>
          <w:szCs w:val="24"/>
          <w:highlight w:val="none"/>
          <w:u w:val="none" w:color="auto"/>
          <w:lang w:val="zh-CN"/>
        </w:rPr>
        <w:t>，</w:t>
      </w:r>
      <w:r>
        <w:rPr>
          <w:rFonts w:hint="eastAsia" w:cs="Times New Roman"/>
          <w:color w:val="auto"/>
          <w:sz w:val="24"/>
          <w:szCs w:val="24"/>
          <w:highlight w:val="none"/>
          <w:u w:val="none" w:color="auto"/>
          <w:lang w:val="en-US" w:eastAsia="zh-CN"/>
        </w:rPr>
        <w:t>定期由有资质单位清运处置，不在填埋场内暂存</w:t>
      </w:r>
      <w:r>
        <w:rPr>
          <w:rFonts w:hint="default" w:ascii="Times New Roman" w:hAnsi="Times New Roman" w:cs="Times New Roman"/>
          <w:color w:val="auto"/>
          <w:sz w:val="24"/>
          <w:szCs w:val="24"/>
          <w:highlight w:val="none"/>
          <w:u w:val="none" w:color="auto"/>
          <w:lang w:val="zh-CN"/>
        </w:rPr>
        <w:t>。封场后固废可得到合理处理，固废污染防治措施可行。</w:t>
      </w:r>
    </w:p>
    <w:p w14:paraId="7DAC5FE2">
      <w:pPr>
        <w:pStyle w:val="4"/>
        <w:keepNext w:val="0"/>
        <w:keepLines w:val="0"/>
        <w:numPr>
          <w:ilvl w:val="0"/>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val="en-US" w:eastAsia="zh-CN"/>
        </w:rPr>
      </w:pPr>
      <w:r>
        <w:rPr>
          <w:rFonts w:hint="eastAsia" w:ascii="Times New Roman" w:hAnsi="Times New Roman" w:eastAsia="宋体" w:cs="Times New Roman"/>
          <w:color w:val="auto"/>
          <w:sz w:val="28"/>
          <w:szCs w:val="28"/>
          <w:highlight w:val="none"/>
          <w:u w:val="none" w:color="auto"/>
          <w:lang w:val="en-US" w:eastAsia="zh-CN"/>
        </w:rPr>
        <w:t>7.2.7生态环境保护措施</w:t>
      </w:r>
    </w:p>
    <w:p w14:paraId="6305A63B">
      <w:pPr>
        <w:keepNext w:val="0"/>
        <w:keepLines w:val="0"/>
        <w:pageBreakBefore w:val="0"/>
        <w:widowControl w:val="0"/>
        <w:kinsoku/>
        <w:wordWrap/>
        <w:overflowPunct/>
        <w:topLinePunct w:val="0"/>
        <w:autoSpaceDE/>
        <w:autoSpaceDN/>
        <w:bidi w:val="0"/>
        <w:adjustRightInd/>
        <w:snapToGrid/>
        <w:textAlignment w:val="auto"/>
        <w:rPr>
          <w:rFonts w:hint="eastAsia"/>
          <w:sz w:val="24"/>
          <w:szCs w:val="24"/>
          <w:u w:val="none" w:color="auto"/>
          <w:lang w:val="en-US" w:eastAsia="zh-CN"/>
        </w:rPr>
      </w:pPr>
      <w:r>
        <w:rPr>
          <w:rFonts w:hint="eastAsia"/>
          <w:sz w:val="24"/>
          <w:szCs w:val="24"/>
          <w:u w:val="none" w:color="auto"/>
          <w:lang w:val="en-US" w:eastAsia="zh-CN"/>
        </w:rPr>
        <w:t>本项目填埋场封场后生态恢复主要内容为土壤恢复和植被恢复、地面沉降监测、场地维护，相关要求如下：</w:t>
      </w:r>
    </w:p>
    <w:p w14:paraId="1F07FF80">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（1）土壤恢复和植被恢复</w:t>
      </w:r>
    </w:p>
    <w:p w14:paraId="7A6A36D0">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①表面覆土</w:t>
      </w:r>
    </w:p>
    <w:p w14:paraId="17CC252C">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封场时表面应进行覆土，覆天然土壤，以利植物生长，其厚度视栽种植物种类而定。</w:t>
      </w:r>
    </w:p>
    <w:p w14:paraId="26968BA8">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②植被结构选择</w:t>
      </w:r>
    </w:p>
    <w:p w14:paraId="389EBC25">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本项目植被恢复考虑草本-乔木结合的方式，有利于区域植被群落的建成。</w:t>
      </w:r>
    </w:p>
    <w:p w14:paraId="02445DAF">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③物种选择</w:t>
      </w:r>
    </w:p>
    <w:p w14:paraId="73E8EFE8">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植物物种选择本土物种，选择耐旱的植物物种，填埋场内及周边近距离禁止种植根系发达的高大乔木。严禁在填埋场场地内进行乱采、滥挖、违章建筑和违章作业。</w:t>
      </w:r>
    </w:p>
    <w:p w14:paraId="08E77B3D">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（2）地面沉降监测</w:t>
      </w:r>
    </w:p>
    <w:p w14:paraId="3A97935C">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封场后，每年监测一次地面沉降以检测填埋场的地面沉降程度。</w:t>
      </w:r>
    </w:p>
    <w:p w14:paraId="55602902">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（3）场地维护</w:t>
      </w:r>
    </w:p>
    <w:p w14:paraId="6A0E755D">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场地维护包括表面排水沟及封场绿化等填埋场基础设施的维护。</w:t>
      </w:r>
    </w:p>
    <w:p w14:paraId="34E9217A">
      <w:pPr>
        <w:bidi w:val="0"/>
        <w:rPr>
          <w:rFonts w:hint="eastAsia"/>
          <w:sz w:val="24"/>
          <w:szCs w:val="24"/>
          <w:u w:val="none" w:color="auto"/>
          <w:lang w:val="en-US" w:eastAsia="zh-CN"/>
        </w:rPr>
      </w:pPr>
      <w:r>
        <w:rPr>
          <w:rFonts w:hint="eastAsia"/>
          <w:sz w:val="24"/>
          <w:szCs w:val="24"/>
          <w:u w:val="none" w:color="auto"/>
          <w:lang w:val="en-US" w:eastAsia="zh-CN"/>
        </w:rPr>
        <w:t>①封场后，仍需继续维护管理，直到稳定为止。以防止覆土层下沉、开裂，致使渗滤液量增加，防止一般工业固体废物堆体失稳而造成滑坡等事故。</w:t>
      </w:r>
    </w:p>
    <w:p w14:paraId="6E66266F">
      <w:pPr>
        <w:numPr>
          <w:ilvl w:val="0"/>
          <w:numId w:val="0"/>
        </w:numPr>
        <w:bidi w:val="0"/>
        <w:ind w:leftChars="200"/>
        <w:rPr>
          <w:rFonts w:hint="eastAsia"/>
          <w:sz w:val="24"/>
          <w:szCs w:val="24"/>
          <w:highlight w:val="none"/>
          <w:u w:val="none" w:color="auto"/>
          <w:lang w:val="en-US" w:eastAsia="zh-CN"/>
        </w:rPr>
      </w:pPr>
      <w:r>
        <w:rPr>
          <w:rFonts w:hint="eastAsia"/>
          <w:sz w:val="24"/>
          <w:szCs w:val="24"/>
          <w:highlight w:val="none"/>
          <w:u w:val="none" w:color="auto"/>
          <w:lang w:val="en-US" w:eastAsia="zh-CN"/>
        </w:rPr>
        <w:t>②封场后，应设置标志物，注明关闭或封场时间，以及使用该土地时应注意的事项。</w:t>
      </w:r>
    </w:p>
    <w:p w14:paraId="2F26D2BB">
      <w:pPr>
        <w:ind w:left="0" w:leftChars="0" w:firstLine="0" w:firstLineChars="0"/>
        <w:rPr>
          <w:sz w:val="24"/>
          <w:szCs w:val="24"/>
        </w:rPr>
      </w:pPr>
      <w:r>
        <w:rPr>
          <w:rFonts w:hint="eastAsia"/>
          <w:sz w:val="24"/>
          <w:szCs w:val="24"/>
          <w:highlight w:val="none"/>
          <w:u w:val="none" w:color="auto"/>
          <w:lang w:val="en-US" w:eastAsia="zh-CN"/>
        </w:rPr>
        <w:t>本项目封场后生态恢复绿化面积合计24023.59m</w:t>
      </w:r>
      <w:r>
        <w:rPr>
          <w:rFonts w:hint="eastAsia"/>
          <w:sz w:val="24"/>
          <w:szCs w:val="24"/>
          <w:highlight w:val="none"/>
          <w:u w:val="none" w:color="auto"/>
          <w:vertAlign w:val="superscript"/>
          <w:lang w:val="en-US" w:eastAsia="zh-CN"/>
        </w:rPr>
        <w:t>2</w:t>
      </w:r>
      <w:r>
        <w:rPr>
          <w:rFonts w:hint="eastAsia"/>
          <w:sz w:val="24"/>
          <w:szCs w:val="24"/>
          <w:highlight w:val="none"/>
        </w:rPr>
        <w:t>（废渣治理区</w:t>
      </w:r>
      <w:r>
        <w:rPr>
          <w:rFonts w:hint="eastAsia"/>
          <w:sz w:val="24"/>
          <w:szCs w:val="24"/>
          <w:highlight w:val="none"/>
          <w:lang w:val="en-US" w:eastAsia="zh-CN"/>
        </w:rPr>
        <w:t>13047m</w:t>
      </w:r>
      <w:r>
        <w:rPr>
          <w:rFonts w:hint="eastAsia"/>
          <w:sz w:val="24"/>
          <w:szCs w:val="24"/>
          <w:highlight w:val="none"/>
          <w:vertAlign w:val="superscript"/>
          <w:lang w:val="en-US" w:eastAsia="zh-CN"/>
        </w:rPr>
        <w:t>2</w:t>
      </w:r>
      <w:r>
        <w:rPr>
          <w:rFonts w:hint="eastAsia"/>
          <w:sz w:val="24"/>
          <w:szCs w:val="24"/>
          <w:highlight w:val="none"/>
          <w:lang w:val="en-US" w:eastAsia="zh-CN"/>
        </w:rPr>
        <w:t>、</w:t>
      </w:r>
      <w:r>
        <w:rPr>
          <w:rFonts w:hint="eastAsia"/>
          <w:sz w:val="24"/>
          <w:szCs w:val="24"/>
          <w:highlight w:val="none"/>
        </w:rPr>
        <w:t>废渣填埋场</w:t>
      </w:r>
      <w:r>
        <w:rPr>
          <w:rFonts w:hint="eastAsia"/>
          <w:sz w:val="24"/>
          <w:szCs w:val="24"/>
          <w:highlight w:val="none"/>
          <w:lang w:val="en-US" w:eastAsia="zh-CN"/>
        </w:rPr>
        <w:t>8517.35</w:t>
      </w:r>
      <w:r>
        <w:rPr>
          <w:rFonts w:hint="eastAsia"/>
          <w:sz w:val="24"/>
          <w:szCs w:val="24"/>
          <w:highlight w:val="none"/>
        </w:rPr>
        <w:t>m</w:t>
      </w:r>
      <w:r>
        <w:rPr>
          <w:rFonts w:hint="eastAsia"/>
          <w:sz w:val="24"/>
          <w:szCs w:val="24"/>
          <w:highlight w:val="none"/>
          <w:vertAlign w:val="superscript"/>
        </w:rPr>
        <w:t>2</w:t>
      </w:r>
      <w:r>
        <w:rPr>
          <w:rFonts w:hint="eastAsia"/>
          <w:sz w:val="24"/>
          <w:szCs w:val="24"/>
          <w:highlight w:val="none"/>
        </w:rPr>
        <w:t>、取土场</w:t>
      </w:r>
      <w:r>
        <w:rPr>
          <w:rFonts w:hint="eastAsia"/>
          <w:sz w:val="24"/>
          <w:szCs w:val="24"/>
          <w:highlight w:val="none"/>
          <w:lang w:val="en-US" w:eastAsia="zh-CN"/>
        </w:rPr>
        <w:t>2459.24</w:t>
      </w:r>
      <w:r>
        <w:rPr>
          <w:rFonts w:hint="eastAsia"/>
          <w:sz w:val="24"/>
          <w:szCs w:val="24"/>
          <w:highlight w:val="none"/>
        </w:rPr>
        <w:t>m</w:t>
      </w:r>
      <w:r>
        <w:rPr>
          <w:rFonts w:hint="eastAsia"/>
          <w:sz w:val="24"/>
          <w:szCs w:val="24"/>
          <w:highlight w:val="none"/>
          <w:vertAlign w:val="superscript"/>
        </w:rPr>
        <w:t>2</w:t>
      </w:r>
      <w:r>
        <w:rPr>
          <w:rFonts w:hint="eastAsia"/>
          <w:sz w:val="24"/>
          <w:szCs w:val="24"/>
          <w:highlight w:val="none"/>
        </w:rPr>
        <w:t>）</w:t>
      </w:r>
      <w:r>
        <w:rPr>
          <w:rFonts w:hint="eastAsia"/>
          <w:sz w:val="24"/>
          <w:szCs w:val="24"/>
          <w:highlight w:val="none"/>
          <w:u w:val="none" w:color="auto"/>
          <w:lang w:val="en-US" w:eastAsia="zh-CN"/>
        </w:rPr>
        <w:t>，4处废渣堆场采取撒播草籽进行植被修复。草籽应选择耐重金属及干旱的草籽品种，如狗牙根草、黑麦草等。草籽发芽后应及时浇水施肥养护，保证草皮正常生长；取土场拟采用种植马尾松恢复为林地，废渣填埋场选择耐重金属及干旱的草皮品种，如狗牙根草、马尼拉草、黑麦草等，植被逐渐恢复，植被覆盖率将明显增加，可在一定程度上增加该区域的植物多样性、种群结构的层次性，区域生态系统更加多样性和稳定性。</w:t>
      </w:r>
    </w:p>
    <w:p w14:paraId="4307314D">
      <w:pPr>
        <w:rPr>
          <w:rFonts w:hint="default" w:ascii="Times New Roman" w:hAnsi="Times New Roman" w:eastAsia="宋体" w:cs="Times New Roman"/>
          <w:color w:val="auto"/>
          <w:sz w:val="36"/>
          <w:szCs w:val="36"/>
          <w:highlight w:val="none"/>
          <w:u w:val="none" w:color="auto"/>
        </w:rPr>
      </w:pPr>
    </w:p>
    <w:p w14:paraId="3B14D655">
      <w:pPr>
        <w:pageBreakBefore w:val="0"/>
        <w:widowControl w:val="0"/>
        <w:kinsoku/>
        <w:topLinePunct w:val="0"/>
        <w:bidi w:val="0"/>
        <w:snapToGrid w:val="0"/>
        <w:ind w:firstLine="480"/>
        <w:rPr>
          <w:rFonts w:hint="default" w:ascii="Times New Roman" w:hAnsi="Times New Roman" w:eastAsia="宋体" w:cs="Times New Roman"/>
          <w:color w:val="auto"/>
          <w:sz w:val="24"/>
          <w:szCs w:val="24"/>
          <w:highlight w:val="none"/>
          <w:u w:val="none" w:color="auto"/>
          <w:lang w:val="en-US" w:eastAsia="zh-CN"/>
        </w:rPr>
        <w:sectPr>
          <w:footerReference r:id="rId16" w:type="default"/>
          <w:pgSz w:w="11910" w:h="16840"/>
          <w:pgMar w:top="1417" w:right="1417" w:bottom="1417" w:left="1417" w:header="898" w:footer="974" w:gutter="0"/>
          <w:pgBorders>
            <w:top w:val="none" w:sz="0" w:space="0"/>
            <w:left w:val="none" w:sz="0" w:space="0"/>
            <w:bottom w:val="none" w:sz="0" w:space="0"/>
            <w:right w:val="none" w:sz="0" w:space="0"/>
          </w:pgBorders>
          <w:pgNumType w:fmt="decimal"/>
          <w:cols w:space="720" w:num="1"/>
          <w:docGrid w:type="lines" w:linePitch="333" w:charSpace="0"/>
        </w:sectPr>
      </w:pPr>
    </w:p>
    <w:bookmarkEnd w:id="529"/>
    <w:p w14:paraId="7085C583">
      <w:pPr>
        <w:pStyle w:val="2"/>
        <w:keepNext w:val="0"/>
        <w:keepLines w:val="0"/>
        <w:pageBreakBefore w:val="0"/>
        <w:widowControl w:val="0"/>
        <w:numPr>
          <w:ilvl w:val="0"/>
          <w:numId w:val="0"/>
        </w:numPr>
        <w:kinsoku/>
        <w:topLinePunct w:val="0"/>
        <w:bidi w:val="0"/>
        <w:snapToGrid w:val="0"/>
        <w:spacing w:before="0" w:after="0"/>
        <w:rPr>
          <w:rFonts w:hint="default" w:ascii="Times New Roman" w:hAnsi="Times New Roman" w:eastAsia="宋体" w:cs="Times New Roman"/>
          <w:color w:val="auto"/>
          <w:sz w:val="36"/>
          <w:szCs w:val="36"/>
          <w:highlight w:val="none"/>
          <w:u w:val="none" w:color="auto"/>
        </w:rPr>
      </w:pPr>
      <w:bookmarkStart w:id="538" w:name="_Toc23326"/>
      <w:bookmarkStart w:id="539" w:name="_Toc9730"/>
      <w:bookmarkStart w:id="540" w:name="_Toc13021"/>
      <w:bookmarkStart w:id="541" w:name="_Toc19267"/>
      <w:bookmarkStart w:id="542" w:name="_Toc15074"/>
      <w:bookmarkStart w:id="543" w:name="_Toc24076"/>
      <w:bookmarkStart w:id="544" w:name="_Toc4163"/>
      <w:bookmarkStart w:id="545" w:name="_Toc24299"/>
      <w:bookmarkStart w:id="546" w:name="_Toc3513"/>
      <w:bookmarkStart w:id="547" w:name="_Toc11992"/>
      <w:bookmarkStart w:id="548" w:name="_Toc14281"/>
      <w:bookmarkStart w:id="549" w:name="_Toc1419"/>
      <w:bookmarkStart w:id="550" w:name="_Toc18252"/>
      <w:bookmarkStart w:id="551" w:name="_Toc17901"/>
      <w:bookmarkStart w:id="552" w:name="_Toc27226"/>
      <w:bookmarkStart w:id="553" w:name="_Toc6213"/>
      <w:bookmarkStart w:id="554" w:name="_Toc27124788"/>
      <w:r>
        <w:rPr>
          <w:rFonts w:hint="eastAsia" w:cs="Times New Roman"/>
          <w:color w:val="auto"/>
          <w:sz w:val="36"/>
          <w:szCs w:val="36"/>
          <w:highlight w:val="none"/>
          <w:u w:val="none" w:color="auto"/>
          <w:lang w:val="en-US" w:eastAsia="zh-CN"/>
        </w:rPr>
        <w:t>8</w:t>
      </w:r>
      <w:r>
        <w:rPr>
          <w:rFonts w:hint="default" w:ascii="Times New Roman" w:hAnsi="Times New Roman" w:eastAsia="宋体" w:cs="Times New Roman"/>
          <w:color w:val="auto"/>
          <w:sz w:val="36"/>
          <w:szCs w:val="36"/>
          <w:highlight w:val="none"/>
          <w:u w:val="none" w:color="auto"/>
        </w:rPr>
        <w:t xml:space="preserve"> 环境影响经济损益分析</w:t>
      </w:r>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p w14:paraId="4680D9B5">
      <w:pPr>
        <w:keepNext w:val="0"/>
        <w:keepLines w:val="0"/>
        <w:pageBreakBefore w:val="0"/>
        <w:widowControl w:val="0"/>
        <w:kinsoku/>
        <w:wordWrap/>
        <w:overflowPunct/>
        <w:autoSpaceDE/>
        <w:autoSpaceDN/>
        <w:bidi w:val="0"/>
        <w:adjustRightInd/>
        <w:snapToGrid w:val="0"/>
        <w:spacing w:line="360" w:lineRule="auto"/>
        <w:ind w:firstLine="480"/>
        <w:jc w:val="left"/>
        <w:textAlignment w:val="auto"/>
        <w:rPr>
          <w:rFonts w:hint="default" w:ascii="Times New Roman" w:hAnsi="Times New Roman" w:eastAsia="宋体" w:cs="Times New Roman"/>
          <w:color w:val="auto"/>
          <w:kern w:val="0"/>
          <w:sz w:val="24"/>
          <w:szCs w:val="24"/>
          <w:highlight w:val="none"/>
          <w:u w:val="none" w:color="auto"/>
          <w:lang w:bidi="ar"/>
        </w:rPr>
      </w:pPr>
      <w:r>
        <w:rPr>
          <w:rFonts w:hint="default" w:ascii="Times New Roman" w:hAnsi="Times New Roman" w:eastAsia="宋体" w:cs="Times New Roman"/>
          <w:color w:val="auto"/>
          <w:kern w:val="0"/>
          <w:sz w:val="24"/>
          <w:szCs w:val="24"/>
          <w:highlight w:val="none"/>
          <w:u w:val="none" w:color="auto"/>
          <w:lang w:bidi="ar"/>
        </w:rPr>
        <w:t>环境经济损益分析是要对项目的经济效益、社会效益和环境效益进行分析，揭示三效益之间的依存关系，分析本项目既可发展经济又能实现环境保护的双重目的，使三效益协调统一，走可持续发展道路，即在发展经济的同时保护好环境，从而促进社会的稳定。环境经济损益分析的目的，就是要通过经济分析的方法来评价该工程的实施可能使周围环境受到污染所引起的经济损失，以及环境工程投资情况和采取相应的污染防治对策后，使被污染的环境得到改善所带来的经济效益等综合评估。</w:t>
      </w:r>
    </w:p>
    <w:p w14:paraId="4BC425E4">
      <w:pPr>
        <w:keepNext w:val="0"/>
        <w:keepLines w:val="0"/>
        <w:pageBreakBefore w:val="0"/>
        <w:widowControl w:val="0"/>
        <w:kinsoku/>
        <w:wordWrap/>
        <w:overflowPunct/>
        <w:autoSpaceDE/>
        <w:autoSpaceDN/>
        <w:bidi w:val="0"/>
        <w:adjustRightInd/>
        <w:snapToGrid w:val="0"/>
        <w:spacing w:line="360" w:lineRule="auto"/>
        <w:ind w:firstLine="480"/>
        <w:jc w:val="left"/>
        <w:textAlignment w:val="auto"/>
        <w:rPr>
          <w:rFonts w:hint="default" w:ascii="Times New Roman" w:hAnsi="Times New Roman" w:eastAsia="宋体" w:cs="Times New Roman"/>
          <w:color w:val="auto"/>
          <w:kern w:val="0"/>
          <w:sz w:val="24"/>
          <w:szCs w:val="24"/>
          <w:highlight w:val="none"/>
          <w:u w:val="none" w:color="auto"/>
          <w:lang w:bidi="ar"/>
        </w:rPr>
      </w:pPr>
      <w:r>
        <w:rPr>
          <w:rFonts w:hint="default" w:ascii="Times New Roman" w:hAnsi="Times New Roman" w:eastAsia="宋体" w:cs="Times New Roman"/>
          <w:color w:val="auto"/>
          <w:kern w:val="0"/>
          <w:sz w:val="24"/>
          <w:szCs w:val="24"/>
          <w:highlight w:val="none"/>
          <w:u w:val="none" w:color="auto"/>
          <w:lang w:bidi="ar"/>
        </w:rPr>
        <w:t>拟建项目的建设，必将</w:t>
      </w:r>
      <w:r>
        <w:rPr>
          <w:rFonts w:hint="eastAsia" w:cs="Times New Roman"/>
          <w:color w:val="auto"/>
          <w:kern w:val="0"/>
          <w:sz w:val="24"/>
          <w:szCs w:val="24"/>
          <w:highlight w:val="none"/>
          <w:u w:val="none" w:color="auto"/>
          <w:lang w:val="en-US" w:eastAsia="zh-CN" w:bidi="ar"/>
        </w:rPr>
        <w:t>改善区域生态环境</w:t>
      </w:r>
      <w:r>
        <w:rPr>
          <w:rFonts w:hint="default" w:ascii="Times New Roman" w:hAnsi="Times New Roman" w:eastAsia="宋体" w:cs="Times New Roman"/>
          <w:color w:val="auto"/>
          <w:kern w:val="0"/>
          <w:sz w:val="24"/>
          <w:szCs w:val="24"/>
          <w:highlight w:val="none"/>
          <w:u w:val="none" w:color="auto"/>
          <w:lang w:bidi="ar"/>
        </w:rPr>
        <w:t>，但工程建设也必然会对建设地及周围环境产生一定的不利影响。在开发建设中采取必要的环境保护措施可以减轻工程建设对当地环境造成的不利影响和经济损失。本章通过对该项目的社会、经济、环境效益以及环境损失的分析，对该项目的环境经济损益进行分析。</w:t>
      </w:r>
    </w:p>
    <w:p w14:paraId="54B42BDB">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afterLines="0" w:line="360" w:lineRule="auto"/>
        <w:textAlignment w:val="auto"/>
        <w:rPr>
          <w:rFonts w:hint="default" w:ascii="Times New Roman" w:hAnsi="Times New Roman" w:eastAsia="宋体" w:cs="Times New Roman"/>
          <w:color w:val="auto"/>
          <w:sz w:val="30"/>
          <w:szCs w:val="30"/>
          <w:highlight w:val="none"/>
          <w:u w:val="none" w:color="auto"/>
          <w:lang w:val="en-US" w:eastAsia="zh-CN"/>
        </w:rPr>
      </w:pPr>
      <w:bookmarkStart w:id="555" w:name="_Toc20405"/>
      <w:bookmarkStart w:id="556" w:name="_Toc18795"/>
      <w:bookmarkStart w:id="557" w:name="_Toc19858"/>
      <w:bookmarkStart w:id="558" w:name="_Toc6509"/>
      <w:bookmarkStart w:id="559" w:name="_Toc5361"/>
      <w:bookmarkStart w:id="560" w:name="_Toc2274"/>
      <w:bookmarkStart w:id="561" w:name="_Toc17042"/>
      <w:bookmarkStart w:id="562" w:name="_Toc23196"/>
      <w:bookmarkStart w:id="563" w:name="_Toc27054"/>
      <w:bookmarkStart w:id="564" w:name="_Toc26940"/>
      <w:bookmarkStart w:id="565" w:name="_Toc3207"/>
      <w:bookmarkStart w:id="566" w:name="_Toc8731"/>
      <w:bookmarkStart w:id="567" w:name="_Toc2012"/>
      <w:r>
        <w:rPr>
          <w:rFonts w:hint="eastAsia" w:ascii="Times New Roman" w:hAnsi="Times New Roman" w:eastAsia="宋体" w:cs="Times New Roman"/>
          <w:color w:val="auto"/>
          <w:sz w:val="30"/>
          <w:szCs w:val="30"/>
          <w:highlight w:val="none"/>
          <w:u w:val="none" w:color="auto"/>
          <w:lang w:val="en-US" w:eastAsia="zh-CN"/>
        </w:rPr>
        <w:t>8</w:t>
      </w:r>
      <w:r>
        <w:rPr>
          <w:rFonts w:hint="default" w:ascii="Times New Roman" w:hAnsi="Times New Roman" w:eastAsia="宋体" w:cs="Times New Roman"/>
          <w:color w:val="auto"/>
          <w:sz w:val="30"/>
          <w:szCs w:val="30"/>
          <w:highlight w:val="none"/>
          <w:u w:val="none" w:color="auto"/>
          <w:lang w:val="en-US"/>
        </w:rPr>
        <w:t>.1</w:t>
      </w:r>
      <w:bookmarkEnd w:id="555"/>
      <w:bookmarkEnd w:id="556"/>
      <w:bookmarkEnd w:id="557"/>
      <w:bookmarkEnd w:id="558"/>
      <w:bookmarkEnd w:id="559"/>
      <w:bookmarkEnd w:id="560"/>
      <w:bookmarkEnd w:id="561"/>
      <w:r>
        <w:rPr>
          <w:rFonts w:hint="default" w:ascii="Times New Roman" w:hAnsi="Times New Roman" w:eastAsia="宋体" w:cs="Times New Roman"/>
          <w:color w:val="auto"/>
          <w:sz w:val="30"/>
          <w:szCs w:val="30"/>
          <w:highlight w:val="none"/>
          <w:u w:val="none" w:color="auto"/>
          <w:lang w:val="en-US" w:eastAsia="zh-CN"/>
        </w:rPr>
        <w:t>项目环保投资情况</w:t>
      </w:r>
      <w:bookmarkEnd w:id="562"/>
      <w:bookmarkEnd w:id="563"/>
      <w:bookmarkEnd w:id="564"/>
      <w:bookmarkEnd w:id="565"/>
      <w:bookmarkEnd w:id="566"/>
      <w:bookmarkEnd w:id="567"/>
    </w:p>
    <w:p w14:paraId="70B67413">
      <w:pPr>
        <w:keepNext w:val="0"/>
        <w:keepLines w:val="0"/>
        <w:pageBreakBefore w:val="0"/>
        <w:widowControl w:val="0"/>
        <w:kinsoku/>
        <w:wordWrap/>
        <w:overflowPunct/>
        <w:topLinePunct w:val="0"/>
        <w:autoSpaceDE/>
        <w:autoSpaceDN/>
        <w:bidi w:val="0"/>
        <w:adjustRightInd/>
        <w:snapToGrid w:val="0"/>
        <w:spacing w:line="360" w:lineRule="auto"/>
        <w:ind w:firstLine="480"/>
        <w:jc w:val="left"/>
        <w:textAlignment w:val="auto"/>
        <w:rPr>
          <w:rFonts w:hint="default" w:ascii="Times New Roman" w:hAnsi="Times New Roman" w:eastAsia="宋体" w:cs="Times New Roman"/>
          <w:color w:val="auto"/>
          <w:sz w:val="24"/>
          <w:szCs w:val="24"/>
          <w:highlight w:val="none"/>
          <w:u w:val="none" w:color="auto"/>
        </w:rPr>
      </w:pPr>
      <w:r>
        <w:rPr>
          <w:rFonts w:hint="eastAsia" w:cs="Times New Roman"/>
          <w:color w:val="auto"/>
          <w:kern w:val="0"/>
          <w:sz w:val="24"/>
          <w:szCs w:val="24"/>
          <w:highlight w:val="none"/>
          <w:u w:val="none" w:color="auto"/>
          <w:lang w:eastAsia="zh-CN" w:bidi="ar"/>
        </w:rPr>
        <w:t>本项目</w:t>
      </w:r>
      <w:r>
        <w:rPr>
          <w:rFonts w:hint="default" w:ascii="Times New Roman" w:hAnsi="Times New Roman" w:eastAsia="宋体" w:cs="Times New Roman"/>
          <w:color w:val="auto"/>
          <w:kern w:val="0"/>
          <w:sz w:val="24"/>
          <w:szCs w:val="24"/>
          <w:highlight w:val="none"/>
          <w:u w:val="none" w:color="auto"/>
          <w:lang w:bidi="ar"/>
        </w:rPr>
        <w:t>总投资</w:t>
      </w:r>
      <w:r>
        <w:rPr>
          <w:rFonts w:hint="eastAsia" w:cs="Times New Roman"/>
          <w:color w:val="auto"/>
          <w:kern w:val="0"/>
          <w:sz w:val="24"/>
          <w:szCs w:val="24"/>
          <w:highlight w:val="none"/>
          <w:u w:val="none" w:color="auto"/>
          <w:lang w:val="en-US" w:eastAsia="zh-CN" w:bidi="ar"/>
        </w:rPr>
        <w:t>1568.28万</w:t>
      </w:r>
      <w:r>
        <w:rPr>
          <w:rFonts w:hint="default" w:ascii="Times New Roman" w:hAnsi="Times New Roman" w:eastAsia="宋体" w:cs="Times New Roman"/>
          <w:color w:val="auto"/>
          <w:kern w:val="0"/>
          <w:sz w:val="24"/>
          <w:szCs w:val="24"/>
          <w:highlight w:val="none"/>
          <w:u w:val="none" w:color="auto"/>
          <w:lang w:bidi="ar"/>
        </w:rPr>
        <w:t>元，</w:t>
      </w:r>
      <w:r>
        <w:rPr>
          <w:rFonts w:hint="default" w:ascii="Times New Roman" w:hAnsi="Times New Roman" w:eastAsia="宋体" w:cs="Times New Roman"/>
          <w:color w:val="auto"/>
          <w:sz w:val="24"/>
          <w:szCs w:val="24"/>
          <w:highlight w:val="none"/>
          <w:u w:val="none" w:color="auto"/>
        </w:rPr>
        <w:t>环保投资</w:t>
      </w:r>
      <w:r>
        <w:rPr>
          <w:rFonts w:hint="eastAsia" w:cs="Times New Roman"/>
          <w:color w:val="auto"/>
          <w:sz w:val="24"/>
          <w:szCs w:val="24"/>
          <w:highlight w:val="none"/>
          <w:u w:val="none" w:color="auto"/>
          <w:lang w:val="en-US" w:eastAsia="zh-CN"/>
        </w:rPr>
        <w:t>379.83</w:t>
      </w:r>
      <w:r>
        <w:rPr>
          <w:rFonts w:hint="default" w:ascii="Times New Roman" w:hAnsi="Times New Roman" w:eastAsia="宋体" w:cs="Times New Roman"/>
          <w:color w:val="auto"/>
          <w:sz w:val="24"/>
          <w:szCs w:val="24"/>
          <w:highlight w:val="none"/>
          <w:u w:val="none" w:color="auto"/>
        </w:rPr>
        <w:t>万元，约占本项目总投资的</w:t>
      </w:r>
      <w:r>
        <w:rPr>
          <w:rFonts w:hint="eastAsia" w:cs="Times New Roman"/>
          <w:color w:val="auto"/>
          <w:sz w:val="24"/>
          <w:szCs w:val="24"/>
          <w:highlight w:val="none"/>
          <w:u w:val="none" w:color="auto"/>
          <w:lang w:val="en-US" w:eastAsia="zh-CN"/>
        </w:rPr>
        <w:t>24.2</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eastAsia="zh-CN"/>
        </w:rPr>
        <w:t>本</w:t>
      </w:r>
      <w:r>
        <w:rPr>
          <w:rFonts w:hint="default" w:ascii="Times New Roman" w:hAnsi="Times New Roman" w:cs="Times New Roman"/>
          <w:color w:val="auto"/>
          <w:sz w:val="24"/>
          <w:szCs w:val="24"/>
          <w:highlight w:val="none"/>
          <w:u w:val="none" w:color="auto"/>
          <w:lang w:eastAsia="zh-CN"/>
        </w:rPr>
        <w:t>项目</w:t>
      </w:r>
      <w:r>
        <w:rPr>
          <w:rFonts w:hint="default" w:ascii="Times New Roman" w:hAnsi="Times New Roman" w:eastAsia="宋体" w:cs="Times New Roman"/>
          <w:color w:val="auto"/>
          <w:sz w:val="24"/>
          <w:szCs w:val="24"/>
          <w:highlight w:val="none"/>
          <w:u w:val="none" w:color="auto"/>
        </w:rPr>
        <w:t>环保投资估算详见表</w:t>
      </w:r>
      <w:r>
        <w:rPr>
          <w:rFonts w:hint="eastAsia" w:cs="Times New Roman"/>
          <w:color w:val="auto"/>
          <w:sz w:val="24"/>
          <w:szCs w:val="24"/>
          <w:highlight w:val="none"/>
          <w:u w:val="none" w:color="auto"/>
          <w:lang w:val="en-US" w:eastAsia="zh-CN"/>
        </w:rPr>
        <w:t>8</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rPr>
        <w:t>-1。</w:t>
      </w:r>
    </w:p>
    <w:p w14:paraId="679F7C48">
      <w:pPr>
        <w:pageBreakBefore w:val="0"/>
        <w:widowControl w:val="0"/>
        <w:kinsoku/>
        <w:topLinePunct w:val="0"/>
        <w:bidi w:val="0"/>
        <w:snapToGrid w:val="0"/>
        <w:spacing w:line="240" w:lineRule="auto"/>
        <w:ind w:firstLine="422"/>
        <w:jc w:val="center"/>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bCs/>
          <w:color w:val="auto"/>
          <w:sz w:val="21"/>
          <w:szCs w:val="21"/>
          <w:highlight w:val="none"/>
          <w:u w:val="none" w:color="auto"/>
        </w:rPr>
        <w:t>表</w:t>
      </w:r>
      <w:r>
        <w:rPr>
          <w:rFonts w:hint="eastAsia" w:cs="Times New Roman"/>
          <w:b/>
          <w:bCs/>
          <w:color w:val="auto"/>
          <w:sz w:val="21"/>
          <w:szCs w:val="21"/>
          <w:highlight w:val="none"/>
          <w:u w:val="none" w:color="auto"/>
          <w:lang w:val="en-US" w:eastAsia="zh-CN"/>
        </w:rPr>
        <w:t>8</w:t>
      </w:r>
      <w:r>
        <w:rPr>
          <w:rFonts w:hint="default" w:ascii="Times New Roman" w:hAnsi="Times New Roman" w:eastAsia="宋体" w:cs="Times New Roman"/>
          <w:b/>
          <w:bCs/>
          <w:color w:val="auto"/>
          <w:sz w:val="21"/>
          <w:szCs w:val="21"/>
          <w:highlight w:val="none"/>
          <w:u w:val="none" w:color="auto"/>
        </w:rPr>
        <w:t>.</w:t>
      </w:r>
      <w:r>
        <w:rPr>
          <w:rFonts w:hint="default" w:ascii="Times New Roman" w:hAnsi="Times New Roman" w:eastAsia="宋体" w:cs="Times New Roman"/>
          <w:b/>
          <w:bCs/>
          <w:color w:val="auto"/>
          <w:sz w:val="21"/>
          <w:szCs w:val="21"/>
          <w:highlight w:val="none"/>
          <w:u w:val="none" w:color="auto"/>
          <w:lang w:val="en-US" w:eastAsia="zh-CN"/>
        </w:rPr>
        <w:t>1</w:t>
      </w:r>
      <w:r>
        <w:rPr>
          <w:rFonts w:hint="default" w:ascii="Times New Roman" w:hAnsi="Times New Roman" w:eastAsia="宋体" w:cs="Times New Roman"/>
          <w:b/>
          <w:bCs/>
          <w:color w:val="auto"/>
          <w:sz w:val="21"/>
          <w:szCs w:val="21"/>
          <w:highlight w:val="none"/>
          <w:u w:val="none" w:color="auto"/>
        </w:rPr>
        <w:t>-1  工程环保投资估算表</w:t>
      </w:r>
    </w:p>
    <w:tbl>
      <w:tblPr>
        <w:tblStyle w:val="46"/>
        <w:tblW w:w="515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07"/>
        <w:gridCol w:w="691"/>
        <w:gridCol w:w="2024"/>
        <w:gridCol w:w="4214"/>
        <w:gridCol w:w="1554"/>
      </w:tblGrid>
      <w:tr w14:paraId="0F4A05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tblHeader/>
          <w:jc w:val="center"/>
        </w:trPr>
        <w:tc>
          <w:tcPr>
            <w:tcW w:w="483" w:type="pct"/>
            <w:noWrap w:val="0"/>
            <w:vAlign w:val="center"/>
          </w:tcPr>
          <w:p w14:paraId="2CF05C5E">
            <w:pPr>
              <w:bidi w:val="0"/>
              <w:spacing w:line="240" w:lineRule="auto"/>
              <w:ind w:left="0" w:leftChars="0" w:firstLine="0" w:firstLineChars="0"/>
              <w:jc w:val="center"/>
              <w:rPr>
                <w:rFonts w:hint="eastAsia"/>
                <w:b/>
                <w:bCs/>
                <w:sz w:val="21"/>
                <w:szCs w:val="21"/>
                <w:lang w:val="en-US" w:eastAsia="zh-CN"/>
              </w:rPr>
            </w:pPr>
            <w:bookmarkStart w:id="568" w:name="_Toc3035"/>
            <w:bookmarkStart w:id="569" w:name="_Toc28639"/>
            <w:bookmarkStart w:id="570" w:name="_Toc11769"/>
            <w:bookmarkStart w:id="571" w:name="_Toc18851"/>
            <w:bookmarkStart w:id="572" w:name="_Toc18464"/>
            <w:bookmarkStart w:id="573" w:name="_Toc29358"/>
            <w:bookmarkStart w:id="574" w:name="_Toc880"/>
            <w:bookmarkStart w:id="575" w:name="_Toc25131"/>
            <w:bookmarkStart w:id="576" w:name="_Toc22864"/>
            <w:bookmarkStart w:id="577" w:name="_Toc19007"/>
            <w:bookmarkStart w:id="578" w:name="_Toc25482"/>
            <w:bookmarkStart w:id="579" w:name="_Toc17287"/>
            <w:r>
              <w:rPr>
                <w:rFonts w:hint="eastAsia"/>
                <w:b/>
                <w:bCs/>
                <w:sz w:val="21"/>
                <w:szCs w:val="21"/>
                <w:lang w:val="en-US" w:eastAsia="zh-CN"/>
              </w:rPr>
              <w:t>序号</w:t>
            </w:r>
          </w:p>
        </w:tc>
        <w:tc>
          <w:tcPr>
            <w:tcW w:w="1446" w:type="pct"/>
            <w:gridSpan w:val="2"/>
            <w:noWrap w:val="0"/>
            <w:vAlign w:val="center"/>
          </w:tcPr>
          <w:p w14:paraId="74E1FEC1">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项目</w:t>
            </w:r>
          </w:p>
        </w:tc>
        <w:tc>
          <w:tcPr>
            <w:tcW w:w="2241" w:type="pct"/>
            <w:noWrap w:val="0"/>
            <w:vAlign w:val="center"/>
          </w:tcPr>
          <w:p w14:paraId="51FF1774">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主要环保措施</w:t>
            </w:r>
          </w:p>
        </w:tc>
        <w:tc>
          <w:tcPr>
            <w:tcW w:w="827" w:type="pct"/>
            <w:noWrap w:val="0"/>
            <w:vAlign w:val="center"/>
          </w:tcPr>
          <w:p w14:paraId="6B099093">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投资估算（万元）</w:t>
            </w:r>
          </w:p>
        </w:tc>
      </w:tr>
      <w:tr w14:paraId="73BE5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noWrap w:val="0"/>
            <w:vAlign w:val="center"/>
          </w:tcPr>
          <w:p w14:paraId="40C4DD36">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1</w:t>
            </w:r>
          </w:p>
        </w:tc>
        <w:tc>
          <w:tcPr>
            <w:tcW w:w="1446" w:type="pct"/>
            <w:gridSpan w:val="2"/>
            <w:noWrap w:val="0"/>
            <w:vAlign w:val="center"/>
          </w:tcPr>
          <w:p w14:paraId="6BA11D8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扬尘、废气</w:t>
            </w:r>
          </w:p>
        </w:tc>
        <w:tc>
          <w:tcPr>
            <w:tcW w:w="2241" w:type="pct"/>
            <w:noWrap w:val="0"/>
            <w:vAlign w:val="center"/>
          </w:tcPr>
          <w:p w14:paraId="6067B84E">
            <w:pPr>
              <w:bidi w:val="0"/>
              <w:spacing w:line="240" w:lineRule="auto"/>
              <w:ind w:left="0" w:leftChars="0" w:firstLine="0" w:firstLineChars="0"/>
              <w:jc w:val="center"/>
              <w:rPr>
                <w:rStyle w:val="49"/>
                <w:rFonts w:hint="eastAsia"/>
                <w:lang w:val="en-US" w:eastAsia="zh-CN"/>
                <w:woUserID w:val="0"/>
              </w:rPr>
            </w:pPr>
            <w:r>
              <w:rPr>
                <w:rFonts w:hint="eastAsia"/>
                <w:sz w:val="21"/>
                <w:szCs w:val="21"/>
                <w:lang w:val="en-US" w:eastAsia="zh-CN"/>
              </w:rPr>
              <w:t>遮盖、洒水设施、车辆冲洗</w:t>
            </w:r>
          </w:p>
        </w:tc>
        <w:tc>
          <w:tcPr>
            <w:tcW w:w="827" w:type="pct"/>
            <w:noWrap w:val="0"/>
            <w:vAlign w:val="center"/>
          </w:tcPr>
          <w:p w14:paraId="44F6B34A">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10</w:t>
            </w:r>
          </w:p>
        </w:tc>
      </w:tr>
      <w:tr w14:paraId="701730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83" w:type="pct"/>
            <w:vMerge w:val="restart"/>
            <w:noWrap w:val="0"/>
            <w:vAlign w:val="center"/>
          </w:tcPr>
          <w:p w14:paraId="2C0E291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2</w:t>
            </w:r>
          </w:p>
        </w:tc>
        <w:tc>
          <w:tcPr>
            <w:tcW w:w="368" w:type="pct"/>
            <w:vMerge w:val="restart"/>
            <w:noWrap w:val="0"/>
            <w:vAlign w:val="center"/>
          </w:tcPr>
          <w:p w14:paraId="7480168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废水</w:t>
            </w:r>
          </w:p>
        </w:tc>
        <w:tc>
          <w:tcPr>
            <w:tcW w:w="1077" w:type="pct"/>
            <w:noWrap w:val="0"/>
            <w:vAlign w:val="center"/>
          </w:tcPr>
          <w:p w14:paraId="6F8A425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生活污水</w:t>
            </w:r>
          </w:p>
        </w:tc>
        <w:tc>
          <w:tcPr>
            <w:tcW w:w="2241" w:type="pct"/>
            <w:noWrap w:val="0"/>
            <w:vAlign w:val="center"/>
          </w:tcPr>
          <w:p w14:paraId="3D5DDA28">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依托周边村庄居民污水处理设施，经化粪池处理后用于农肥，不外排</w:t>
            </w:r>
          </w:p>
        </w:tc>
        <w:tc>
          <w:tcPr>
            <w:tcW w:w="827" w:type="pct"/>
            <w:noWrap w:val="0"/>
            <w:vAlign w:val="center"/>
          </w:tcPr>
          <w:p w14:paraId="4270F0D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w:t>
            </w:r>
          </w:p>
        </w:tc>
      </w:tr>
      <w:tr w14:paraId="4FC876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83" w:type="pct"/>
            <w:vMerge w:val="continue"/>
            <w:noWrap w:val="0"/>
            <w:vAlign w:val="center"/>
          </w:tcPr>
          <w:p w14:paraId="702E3BCE">
            <w:pPr>
              <w:bidi w:val="0"/>
              <w:spacing w:line="240" w:lineRule="auto"/>
              <w:ind w:left="0" w:leftChars="0" w:firstLine="0" w:firstLineChars="0"/>
              <w:jc w:val="center"/>
              <w:rPr>
                <w:rFonts w:hint="eastAsia"/>
                <w:sz w:val="21"/>
                <w:szCs w:val="21"/>
                <w:lang w:val="en-US" w:eastAsia="zh-CN"/>
              </w:rPr>
            </w:pPr>
          </w:p>
        </w:tc>
        <w:tc>
          <w:tcPr>
            <w:tcW w:w="368" w:type="pct"/>
            <w:vMerge w:val="continue"/>
            <w:noWrap w:val="0"/>
            <w:vAlign w:val="center"/>
          </w:tcPr>
          <w:p w14:paraId="1EBA141B">
            <w:pPr>
              <w:bidi w:val="0"/>
              <w:spacing w:line="240" w:lineRule="auto"/>
              <w:ind w:left="0" w:leftChars="0" w:firstLine="0" w:firstLineChars="0"/>
              <w:jc w:val="center"/>
              <w:rPr>
                <w:rFonts w:hint="eastAsia"/>
                <w:sz w:val="21"/>
                <w:szCs w:val="21"/>
                <w:lang w:val="en-US" w:eastAsia="zh-CN"/>
              </w:rPr>
            </w:pPr>
          </w:p>
        </w:tc>
        <w:tc>
          <w:tcPr>
            <w:tcW w:w="1077" w:type="pct"/>
            <w:noWrap w:val="0"/>
            <w:vAlign w:val="center"/>
          </w:tcPr>
          <w:p w14:paraId="5DEA380B">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车辆冲洗水</w:t>
            </w:r>
          </w:p>
        </w:tc>
        <w:tc>
          <w:tcPr>
            <w:tcW w:w="2241" w:type="pct"/>
            <w:noWrap w:val="0"/>
            <w:vAlign w:val="center"/>
          </w:tcPr>
          <w:p w14:paraId="6BB7E2EE">
            <w:pPr>
              <w:bidi w:val="0"/>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沉淀池</w:t>
            </w:r>
          </w:p>
        </w:tc>
        <w:tc>
          <w:tcPr>
            <w:tcW w:w="827" w:type="pct"/>
            <w:vMerge w:val="restart"/>
            <w:noWrap w:val="0"/>
            <w:vAlign w:val="center"/>
          </w:tcPr>
          <w:p w14:paraId="6103D1E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59.1</w:t>
            </w:r>
          </w:p>
        </w:tc>
      </w:tr>
      <w:tr w14:paraId="66DD1F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14:paraId="271704A4">
            <w:pPr>
              <w:bidi w:val="0"/>
              <w:spacing w:line="240" w:lineRule="auto"/>
              <w:ind w:left="0" w:leftChars="0" w:firstLine="0" w:firstLineChars="0"/>
              <w:jc w:val="center"/>
              <w:rPr>
                <w:rFonts w:hint="eastAsia"/>
                <w:sz w:val="21"/>
                <w:szCs w:val="21"/>
                <w:lang w:val="en-US" w:eastAsia="zh-CN"/>
              </w:rPr>
            </w:pPr>
          </w:p>
        </w:tc>
        <w:tc>
          <w:tcPr>
            <w:tcW w:w="368" w:type="pct"/>
            <w:vMerge w:val="continue"/>
            <w:noWrap w:val="0"/>
            <w:vAlign w:val="center"/>
          </w:tcPr>
          <w:p w14:paraId="0B4C7B9F">
            <w:pPr>
              <w:bidi w:val="0"/>
              <w:spacing w:line="240" w:lineRule="auto"/>
              <w:ind w:left="0" w:leftChars="0" w:firstLine="0" w:firstLineChars="0"/>
              <w:jc w:val="center"/>
              <w:rPr>
                <w:rFonts w:hint="eastAsia"/>
                <w:sz w:val="21"/>
                <w:szCs w:val="21"/>
                <w:lang w:val="en-US" w:eastAsia="zh-CN"/>
              </w:rPr>
            </w:pPr>
          </w:p>
        </w:tc>
        <w:tc>
          <w:tcPr>
            <w:tcW w:w="1077" w:type="pct"/>
            <w:noWrap w:val="0"/>
            <w:vAlign w:val="center"/>
          </w:tcPr>
          <w:p w14:paraId="54AA45C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清挖过程中雨季产生的淋溶水、渗滤液</w:t>
            </w:r>
          </w:p>
        </w:tc>
        <w:tc>
          <w:tcPr>
            <w:tcW w:w="2241" w:type="pct"/>
            <w:noWrap w:val="0"/>
            <w:vAlign w:val="center"/>
          </w:tcPr>
          <w:p w14:paraId="3BB6287F">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一体化设备（生物制剂+絮凝沉淀）处理后由槽罐车托运至湖南黄金天岳矿业有限公司垂拱洞尾矿库废水处理站进行处理</w:t>
            </w:r>
          </w:p>
        </w:tc>
        <w:tc>
          <w:tcPr>
            <w:tcW w:w="827" w:type="pct"/>
            <w:vMerge w:val="continue"/>
            <w:noWrap w:val="0"/>
            <w:vAlign w:val="center"/>
          </w:tcPr>
          <w:p w14:paraId="661E7A7F">
            <w:pPr>
              <w:bidi w:val="0"/>
              <w:spacing w:line="240" w:lineRule="auto"/>
              <w:ind w:left="0" w:leftChars="0" w:firstLine="0" w:firstLineChars="0"/>
              <w:jc w:val="center"/>
              <w:rPr>
                <w:rFonts w:hint="eastAsia"/>
                <w:sz w:val="21"/>
                <w:szCs w:val="21"/>
                <w:lang w:val="en-US" w:eastAsia="zh-CN"/>
              </w:rPr>
            </w:pPr>
          </w:p>
        </w:tc>
      </w:tr>
      <w:tr w14:paraId="3576C9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14:paraId="60BA6EB7">
            <w:pPr>
              <w:bidi w:val="0"/>
              <w:spacing w:line="240" w:lineRule="auto"/>
              <w:ind w:left="0" w:leftChars="0" w:firstLine="0" w:firstLineChars="0"/>
              <w:jc w:val="center"/>
              <w:rPr>
                <w:rFonts w:hint="eastAsia"/>
                <w:sz w:val="21"/>
                <w:szCs w:val="21"/>
                <w:lang w:val="en-US" w:eastAsia="zh-CN"/>
              </w:rPr>
            </w:pPr>
          </w:p>
        </w:tc>
        <w:tc>
          <w:tcPr>
            <w:tcW w:w="368" w:type="pct"/>
            <w:vMerge w:val="continue"/>
            <w:noWrap w:val="0"/>
            <w:vAlign w:val="center"/>
          </w:tcPr>
          <w:p w14:paraId="2B6EF41D">
            <w:pPr>
              <w:bidi w:val="0"/>
              <w:spacing w:line="240" w:lineRule="auto"/>
              <w:ind w:left="0" w:leftChars="0" w:firstLine="0" w:firstLineChars="0"/>
              <w:jc w:val="center"/>
              <w:rPr>
                <w:rFonts w:hint="eastAsia"/>
                <w:sz w:val="21"/>
                <w:szCs w:val="21"/>
                <w:lang w:val="en-US" w:eastAsia="zh-CN"/>
              </w:rPr>
            </w:pPr>
          </w:p>
        </w:tc>
        <w:tc>
          <w:tcPr>
            <w:tcW w:w="3319" w:type="pct"/>
            <w:gridSpan w:val="2"/>
            <w:noWrap w:val="0"/>
            <w:vAlign w:val="center"/>
          </w:tcPr>
          <w:p w14:paraId="59799122">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防渗工程</w:t>
            </w:r>
          </w:p>
        </w:tc>
        <w:tc>
          <w:tcPr>
            <w:tcW w:w="827" w:type="pct"/>
            <w:noWrap w:val="0"/>
            <w:vAlign w:val="center"/>
          </w:tcPr>
          <w:p w14:paraId="06372E91">
            <w:pPr>
              <w:bidi w:val="0"/>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132.18</w:t>
            </w:r>
          </w:p>
        </w:tc>
      </w:tr>
      <w:tr w14:paraId="6D8947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vMerge w:val="continue"/>
            <w:noWrap w:val="0"/>
            <w:vAlign w:val="center"/>
          </w:tcPr>
          <w:p w14:paraId="721DC722">
            <w:pPr>
              <w:bidi w:val="0"/>
              <w:spacing w:line="240" w:lineRule="auto"/>
              <w:ind w:left="0" w:leftChars="0" w:firstLine="0" w:firstLineChars="0"/>
              <w:jc w:val="center"/>
              <w:rPr>
                <w:rFonts w:hint="eastAsia"/>
                <w:sz w:val="21"/>
                <w:szCs w:val="21"/>
                <w:lang w:val="en-US" w:eastAsia="zh-CN"/>
              </w:rPr>
            </w:pPr>
          </w:p>
        </w:tc>
        <w:tc>
          <w:tcPr>
            <w:tcW w:w="368" w:type="pct"/>
            <w:vMerge w:val="continue"/>
            <w:noWrap w:val="0"/>
            <w:vAlign w:val="center"/>
          </w:tcPr>
          <w:p w14:paraId="5BAA06F7">
            <w:pPr>
              <w:bidi w:val="0"/>
              <w:spacing w:line="240" w:lineRule="auto"/>
              <w:ind w:left="0" w:leftChars="0" w:firstLine="0" w:firstLineChars="0"/>
              <w:jc w:val="center"/>
              <w:rPr>
                <w:rFonts w:hint="eastAsia"/>
                <w:sz w:val="21"/>
                <w:szCs w:val="21"/>
                <w:lang w:val="en-US" w:eastAsia="zh-CN"/>
              </w:rPr>
            </w:pPr>
          </w:p>
        </w:tc>
        <w:tc>
          <w:tcPr>
            <w:tcW w:w="3319" w:type="pct"/>
            <w:gridSpan w:val="2"/>
            <w:noWrap w:val="0"/>
            <w:vAlign w:val="center"/>
          </w:tcPr>
          <w:p w14:paraId="2A1EE357">
            <w:pPr>
              <w:bidi w:val="0"/>
              <w:spacing w:line="240" w:lineRule="auto"/>
              <w:ind w:left="0" w:leftChars="0" w:firstLine="0" w:firstLineChars="0"/>
              <w:jc w:val="center"/>
              <w:rPr>
                <w:rFonts w:hint="eastAsia"/>
                <w:sz w:val="21"/>
                <w:szCs w:val="21"/>
                <w:lang w:val="en-US" w:eastAsia="zh-CN"/>
              </w:rPr>
            </w:pPr>
            <w:r>
              <w:rPr>
                <w:spacing w:val="-11"/>
                <w:sz w:val="20"/>
              </w:rPr>
              <w:t>截排水工程</w:t>
            </w:r>
          </w:p>
        </w:tc>
        <w:tc>
          <w:tcPr>
            <w:tcW w:w="827" w:type="pct"/>
            <w:noWrap w:val="0"/>
            <w:vAlign w:val="center"/>
          </w:tcPr>
          <w:p w14:paraId="2571AD7E">
            <w:pPr>
              <w:bidi w:val="0"/>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120.18</w:t>
            </w:r>
          </w:p>
        </w:tc>
      </w:tr>
      <w:tr w14:paraId="0A9E42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noWrap w:val="0"/>
            <w:vAlign w:val="center"/>
          </w:tcPr>
          <w:p w14:paraId="4D919ABB">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3</w:t>
            </w:r>
          </w:p>
        </w:tc>
        <w:tc>
          <w:tcPr>
            <w:tcW w:w="1446" w:type="pct"/>
            <w:gridSpan w:val="2"/>
            <w:noWrap w:val="0"/>
            <w:vAlign w:val="center"/>
          </w:tcPr>
          <w:p w14:paraId="084B213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施工期噪声</w:t>
            </w:r>
          </w:p>
        </w:tc>
        <w:tc>
          <w:tcPr>
            <w:tcW w:w="2241" w:type="pct"/>
            <w:noWrap w:val="0"/>
            <w:vAlign w:val="center"/>
          </w:tcPr>
          <w:p w14:paraId="7E80511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基础减振、隔声</w:t>
            </w:r>
          </w:p>
        </w:tc>
        <w:tc>
          <w:tcPr>
            <w:tcW w:w="827" w:type="pct"/>
            <w:noWrap w:val="0"/>
            <w:vAlign w:val="center"/>
          </w:tcPr>
          <w:p w14:paraId="18CA814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4</w:t>
            </w:r>
          </w:p>
        </w:tc>
      </w:tr>
      <w:tr w14:paraId="60760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noWrap w:val="0"/>
            <w:vAlign w:val="center"/>
          </w:tcPr>
          <w:p w14:paraId="4D6A3BC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4</w:t>
            </w:r>
          </w:p>
        </w:tc>
        <w:tc>
          <w:tcPr>
            <w:tcW w:w="1446" w:type="pct"/>
            <w:gridSpan w:val="2"/>
            <w:noWrap w:val="0"/>
            <w:vAlign w:val="center"/>
          </w:tcPr>
          <w:p w14:paraId="5CA2074C">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施工期固体废物</w:t>
            </w:r>
          </w:p>
        </w:tc>
        <w:tc>
          <w:tcPr>
            <w:tcW w:w="2241" w:type="pct"/>
            <w:noWrap w:val="0"/>
            <w:vAlign w:val="center"/>
          </w:tcPr>
          <w:p w14:paraId="64E1F8B3">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垃圾收集器、分类储存</w:t>
            </w:r>
          </w:p>
        </w:tc>
        <w:tc>
          <w:tcPr>
            <w:tcW w:w="827" w:type="pct"/>
            <w:noWrap w:val="0"/>
            <w:vAlign w:val="center"/>
          </w:tcPr>
          <w:p w14:paraId="3007FF19">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1</w:t>
            </w:r>
          </w:p>
        </w:tc>
      </w:tr>
      <w:tr w14:paraId="49A2F3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83" w:type="pct"/>
            <w:noWrap w:val="0"/>
            <w:vAlign w:val="center"/>
          </w:tcPr>
          <w:p w14:paraId="20062145">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5</w:t>
            </w:r>
          </w:p>
        </w:tc>
        <w:tc>
          <w:tcPr>
            <w:tcW w:w="1446" w:type="pct"/>
            <w:gridSpan w:val="2"/>
            <w:noWrap w:val="0"/>
            <w:vAlign w:val="center"/>
          </w:tcPr>
          <w:p w14:paraId="42329A2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生态保护措施</w:t>
            </w:r>
          </w:p>
        </w:tc>
        <w:tc>
          <w:tcPr>
            <w:tcW w:w="2241" w:type="pct"/>
            <w:noWrap w:val="0"/>
            <w:vAlign w:val="center"/>
          </w:tcPr>
          <w:p w14:paraId="1335EE8E">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生态恢复工程</w:t>
            </w:r>
          </w:p>
        </w:tc>
        <w:tc>
          <w:tcPr>
            <w:tcW w:w="827" w:type="pct"/>
            <w:noWrap w:val="0"/>
            <w:vAlign w:val="center"/>
          </w:tcPr>
          <w:p w14:paraId="54B8702C">
            <w:pPr>
              <w:bidi w:val="0"/>
              <w:spacing w:line="240" w:lineRule="auto"/>
              <w:ind w:left="0" w:leftChars="0" w:firstLine="0" w:firstLineChars="0"/>
              <w:jc w:val="center"/>
              <w:rPr>
                <w:rFonts w:hint="default"/>
                <w:sz w:val="21"/>
                <w:szCs w:val="21"/>
                <w:lang w:val="en-US" w:eastAsia="zh-CN"/>
              </w:rPr>
            </w:pPr>
            <w:r>
              <w:rPr>
                <w:rFonts w:hint="eastAsia"/>
                <w:sz w:val="21"/>
                <w:szCs w:val="21"/>
                <w:lang w:val="en-US" w:eastAsia="zh-CN"/>
              </w:rPr>
              <w:t>53.37</w:t>
            </w:r>
          </w:p>
        </w:tc>
      </w:tr>
      <w:tr w14:paraId="4AACF6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172" w:type="pct"/>
            <w:gridSpan w:val="4"/>
            <w:noWrap w:val="0"/>
            <w:vAlign w:val="center"/>
          </w:tcPr>
          <w:p w14:paraId="6554D83E">
            <w:pPr>
              <w:bidi w:val="0"/>
              <w:spacing w:line="36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合计</w:t>
            </w:r>
          </w:p>
        </w:tc>
        <w:tc>
          <w:tcPr>
            <w:tcW w:w="827" w:type="pct"/>
            <w:noWrap w:val="0"/>
            <w:vAlign w:val="center"/>
          </w:tcPr>
          <w:p w14:paraId="07A13BDC">
            <w:pPr>
              <w:bidi w:val="0"/>
              <w:spacing w:line="360" w:lineRule="auto"/>
              <w:ind w:left="0" w:leftChars="0" w:firstLine="0" w:firstLineChars="0"/>
              <w:jc w:val="center"/>
              <w:rPr>
                <w:rFonts w:hint="default"/>
                <w:b/>
                <w:bCs/>
                <w:sz w:val="21"/>
                <w:szCs w:val="21"/>
                <w:lang w:val="en-US" w:eastAsia="zh-CN"/>
              </w:rPr>
            </w:pPr>
            <w:r>
              <w:rPr>
                <w:rFonts w:hint="default"/>
                <w:b/>
                <w:bCs/>
                <w:sz w:val="21"/>
                <w:szCs w:val="21"/>
                <w:lang w:val="en-US" w:eastAsia="zh-CN"/>
              </w:rPr>
              <w:t>379.83</w:t>
            </w:r>
          </w:p>
        </w:tc>
      </w:tr>
    </w:tbl>
    <w:p w14:paraId="34171CF9">
      <w:pPr>
        <w:pStyle w:val="3"/>
        <w:keepNext w:val="0"/>
        <w:keepLines w:val="0"/>
        <w:pageBreakBefore w:val="0"/>
        <w:widowControl w:val="0"/>
        <w:numPr>
          <w:ilvl w:val="0"/>
          <w:numId w:val="0"/>
        </w:numPr>
        <w:kinsoku/>
        <w:wordWrap/>
        <w:overflowPunct/>
        <w:topLinePunct w:val="0"/>
        <w:autoSpaceDE/>
        <w:autoSpaceDN/>
        <w:bidi w:val="0"/>
        <w:snapToGrid w:val="0"/>
        <w:spacing w:before="0" w:beforeLines="0" w:after="0" w:afterLines="0" w:line="360" w:lineRule="auto"/>
        <w:textAlignment w:val="auto"/>
        <w:rPr>
          <w:rFonts w:hint="default" w:ascii="Times New Roman" w:hAnsi="Times New Roman" w:eastAsia="宋体" w:cs="Times New Roman"/>
          <w:color w:val="auto"/>
          <w:sz w:val="30"/>
          <w:szCs w:val="30"/>
          <w:highlight w:val="none"/>
          <w:u w:val="none" w:color="auto"/>
          <w:lang w:val="en-US" w:eastAsia="zh-CN"/>
        </w:rPr>
      </w:pPr>
      <w:bookmarkStart w:id="580" w:name="_Toc7706"/>
      <w:r>
        <w:rPr>
          <w:rFonts w:hint="eastAsia" w:ascii="Times New Roman" w:hAnsi="Times New Roman" w:eastAsia="宋体" w:cs="Times New Roman"/>
          <w:color w:val="auto"/>
          <w:sz w:val="30"/>
          <w:szCs w:val="30"/>
          <w:highlight w:val="none"/>
          <w:u w:val="none" w:color="auto"/>
          <w:lang w:val="en-US" w:eastAsia="zh-CN"/>
        </w:rPr>
        <w:t>8</w:t>
      </w:r>
      <w:r>
        <w:rPr>
          <w:rFonts w:hint="default" w:ascii="Times New Roman" w:hAnsi="Times New Roman" w:eastAsia="宋体" w:cs="Times New Roman"/>
          <w:color w:val="auto"/>
          <w:sz w:val="30"/>
          <w:szCs w:val="30"/>
          <w:highlight w:val="none"/>
          <w:u w:val="none" w:color="auto"/>
          <w:lang w:val="en-US"/>
        </w:rPr>
        <w:t>.</w:t>
      </w:r>
      <w:bookmarkEnd w:id="568"/>
      <w:bookmarkEnd w:id="569"/>
      <w:bookmarkEnd w:id="570"/>
      <w:bookmarkEnd w:id="571"/>
      <w:bookmarkEnd w:id="572"/>
      <w:bookmarkEnd w:id="573"/>
      <w:bookmarkEnd w:id="574"/>
      <w:r>
        <w:rPr>
          <w:rFonts w:hint="default" w:ascii="Times New Roman" w:hAnsi="Times New Roman" w:eastAsia="宋体" w:cs="Times New Roman"/>
          <w:color w:val="auto"/>
          <w:sz w:val="30"/>
          <w:szCs w:val="30"/>
          <w:highlight w:val="none"/>
          <w:u w:val="none" w:color="auto"/>
          <w:lang w:val="en-US" w:eastAsia="zh-CN"/>
        </w:rPr>
        <w:t>2环境影响经济损益分析</w:t>
      </w:r>
      <w:bookmarkEnd w:id="575"/>
      <w:bookmarkEnd w:id="576"/>
      <w:bookmarkEnd w:id="577"/>
      <w:bookmarkEnd w:id="578"/>
      <w:bookmarkEnd w:id="579"/>
      <w:bookmarkEnd w:id="580"/>
    </w:p>
    <w:p w14:paraId="15CA5793">
      <w:pPr>
        <w:pStyle w:val="4"/>
        <w:keepNext w:val="0"/>
        <w:keepLines w:val="0"/>
        <w:pageBreakBefore w:val="0"/>
        <w:widowControl w:val="0"/>
        <w:numPr>
          <w:ilvl w:val="2"/>
          <w:numId w:val="0"/>
        </w:numPr>
        <w:kinsoku/>
        <w:wordWrap/>
        <w:overflowPunct/>
        <w:topLinePunct w:val="0"/>
        <w:autoSpaceDE/>
        <w:autoSpaceDN/>
        <w:bidi w:val="0"/>
        <w:snapToGrid w:val="0"/>
        <w:spacing w:before="0" w:beforeLines="0" w:after="0" w:afterLines="0" w:line="360" w:lineRule="auto"/>
        <w:textAlignment w:val="auto"/>
        <w:rPr>
          <w:rFonts w:hint="default" w:ascii="Times New Roman" w:hAnsi="Times New Roman" w:eastAsia="宋体" w:cs="Times New Roman"/>
          <w:color w:val="auto"/>
          <w:sz w:val="28"/>
          <w:szCs w:val="28"/>
          <w:highlight w:val="none"/>
          <w:u w:val="none" w:color="auto"/>
        </w:rPr>
      </w:pPr>
      <w:bookmarkStart w:id="581" w:name="_Toc16941"/>
      <w:bookmarkStart w:id="582" w:name="_Toc11604"/>
      <w:bookmarkStart w:id="583" w:name="_Toc30523"/>
      <w:r>
        <w:rPr>
          <w:rFonts w:hint="eastAsia" w:cs="Times New Roman"/>
          <w:color w:val="auto"/>
          <w:sz w:val="28"/>
          <w:szCs w:val="28"/>
          <w:highlight w:val="none"/>
          <w:u w:val="none" w:color="auto"/>
          <w:lang w:val="en-US" w:eastAsia="zh-CN"/>
        </w:rPr>
        <w:t>8.</w:t>
      </w:r>
      <w:r>
        <w:rPr>
          <w:rFonts w:hint="default" w:ascii="Times New Roman" w:hAnsi="Times New Roman" w:eastAsia="宋体" w:cs="Times New Roman"/>
          <w:color w:val="auto"/>
          <w:sz w:val="28"/>
          <w:szCs w:val="28"/>
          <w:highlight w:val="none"/>
          <w:u w:val="none" w:color="auto"/>
        </w:rPr>
        <w:t>2.</w:t>
      </w:r>
      <w:r>
        <w:rPr>
          <w:rFonts w:hint="default" w:ascii="Times New Roman" w:hAnsi="Times New Roman" w:eastAsia="宋体" w:cs="Times New Roman"/>
          <w:color w:val="auto"/>
          <w:sz w:val="28"/>
          <w:szCs w:val="28"/>
          <w:highlight w:val="none"/>
          <w:u w:val="none" w:color="auto"/>
          <w:lang w:val="en-US" w:eastAsia="zh-CN"/>
        </w:rPr>
        <w:t>1</w:t>
      </w:r>
      <w:r>
        <w:rPr>
          <w:rFonts w:hint="default" w:ascii="Times New Roman" w:hAnsi="Times New Roman" w:eastAsia="宋体" w:cs="Times New Roman"/>
          <w:color w:val="auto"/>
          <w:sz w:val="28"/>
          <w:szCs w:val="28"/>
          <w:highlight w:val="none"/>
          <w:u w:val="none" w:color="auto"/>
        </w:rPr>
        <w:t>环境效益</w:t>
      </w:r>
      <w:bookmarkEnd w:id="581"/>
      <w:bookmarkEnd w:id="582"/>
      <w:bookmarkEnd w:id="583"/>
    </w:p>
    <w:p w14:paraId="132054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本项目在设计、建造与运行中对可能排放各种污染物或可能对环境造成危害的环节均采取了预防与治理措施，在采用先进设备创造经济效益的同时也避免了可能产生的环境影响。</w:t>
      </w:r>
    </w:p>
    <w:p w14:paraId="274D375A">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本项目渗滤液及淋溶水经一体化废水处理装置处理后委托湖南黄金天岳矿业有限公司垂拱洞尾矿库废水处理站处理后排放，生活污水经化粪池处理后，用于农肥，不外排。</w:t>
      </w:r>
    </w:p>
    <w:p w14:paraId="78F7228E">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项目选用低噪声设备，经采用适当的噪声控制措施以后，项目场界昼夜噪声影响可达到《工业企业厂界环境噪声排放标准》（GB12348-2008）中2类标准。</w:t>
      </w:r>
    </w:p>
    <w:p w14:paraId="548456DF">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项目一般工业固废外售或综合利用；生活垃圾交由环卫部门统一清运，各类工业固废均得到了有效</w:t>
      </w:r>
      <w:r>
        <w:rPr>
          <w:rFonts w:hint="eastAsia" w:cs="Times New Roman"/>
          <w:color w:val="auto"/>
          <w:sz w:val="24"/>
          <w:szCs w:val="24"/>
          <w:lang w:eastAsia="zh-CN"/>
        </w:rPr>
        <w:t>地</w:t>
      </w:r>
      <w:r>
        <w:rPr>
          <w:rFonts w:hint="default" w:ascii="Times New Roman" w:hAnsi="Times New Roman" w:eastAsia="宋体" w:cs="Times New Roman"/>
          <w:color w:val="auto"/>
          <w:sz w:val="24"/>
          <w:szCs w:val="24"/>
        </w:rPr>
        <w:t>处置，不会产生二次污染。</w:t>
      </w:r>
    </w:p>
    <w:p w14:paraId="60460567">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此外，企业还将建立完善的环保管理制度对员工采取有效的培训，使有关环保要求得到切实</w:t>
      </w:r>
      <w:r>
        <w:rPr>
          <w:rFonts w:hint="eastAsia" w:cs="Times New Roman"/>
          <w:color w:val="auto"/>
          <w:sz w:val="24"/>
          <w:szCs w:val="24"/>
          <w:lang w:eastAsia="zh-CN"/>
        </w:rPr>
        <w:t>地</w:t>
      </w:r>
      <w:r>
        <w:rPr>
          <w:rFonts w:hint="default" w:ascii="Times New Roman" w:hAnsi="Times New Roman" w:eastAsia="宋体" w:cs="Times New Roman"/>
          <w:color w:val="auto"/>
          <w:sz w:val="24"/>
          <w:szCs w:val="24"/>
        </w:rPr>
        <w:t>落实。</w:t>
      </w:r>
    </w:p>
    <w:p w14:paraId="76645679">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通过实施这些环保措施，可以避免周围环境受到污染，避免员工及附近人群身体健康受到影响，因此具有较大的环境效益，避免了污染可能带来的巨大健康与经济损失。</w:t>
      </w:r>
    </w:p>
    <w:p w14:paraId="68872333">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虽然施工期建设产生的生态破坏、噪声、粉尘、固废等会给当地环境带来一些不利影响，但通过场区复绿后，对当地的生态恢复与水土保持工作具有一定的积极作用。</w:t>
      </w:r>
    </w:p>
    <w:p w14:paraId="15266E79">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rPr>
        <w:t>本项目竣工后可减少由于区域废渣渗出重金属排入周边水环境，对重金属的削减具有较为明显的环境效益。既改善了该治理区域土壤，同时缓</w:t>
      </w:r>
      <w:r>
        <w:rPr>
          <w:rFonts w:hint="eastAsia" w:cs="Times New Roman"/>
          <w:color w:val="auto"/>
          <w:sz w:val="24"/>
          <w:szCs w:val="24"/>
          <w:lang w:eastAsia="zh-CN"/>
        </w:rPr>
        <w:t>解了</w:t>
      </w:r>
      <w:r>
        <w:rPr>
          <w:rFonts w:hint="default" w:ascii="Times New Roman" w:hAnsi="Times New Roman" w:eastAsia="宋体" w:cs="Times New Roman"/>
          <w:color w:val="auto"/>
          <w:sz w:val="24"/>
          <w:szCs w:val="24"/>
        </w:rPr>
        <w:t>周边水环境污染状况。</w:t>
      </w:r>
    </w:p>
    <w:p w14:paraId="31694AF4">
      <w:pPr>
        <w:pStyle w:val="4"/>
        <w:keepNext w:val="0"/>
        <w:keepLines w:val="0"/>
        <w:pageBreakBefore w:val="0"/>
        <w:widowControl w:val="0"/>
        <w:numPr>
          <w:ilvl w:val="2"/>
          <w:numId w:val="0"/>
        </w:numPr>
        <w:kinsoku/>
        <w:wordWrap/>
        <w:overflowPunct/>
        <w:topLinePunct w:val="0"/>
        <w:autoSpaceDE/>
        <w:autoSpaceDN/>
        <w:bidi w:val="0"/>
        <w:snapToGrid w:val="0"/>
        <w:spacing w:before="0" w:beforeLines="0" w:after="0" w:afterLines="0" w:line="360" w:lineRule="auto"/>
        <w:textAlignment w:val="auto"/>
        <w:rPr>
          <w:rFonts w:hint="default" w:ascii="Times New Roman" w:hAnsi="Times New Roman" w:eastAsia="宋体" w:cs="Times New Roman"/>
          <w:color w:val="auto"/>
          <w:sz w:val="28"/>
          <w:szCs w:val="28"/>
          <w:highlight w:val="none"/>
          <w:u w:val="none" w:color="auto"/>
        </w:rPr>
      </w:pPr>
      <w:bookmarkStart w:id="584" w:name="_Toc353"/>
      <w:bookmarkStart w:id="585" w:name="_Toc21612"/>
      <w:bookmarkStart w:id="586" w:name="_Toc9466"/>
      <w:r>
        <w:rPr>
          <w:rFonts w:hint="eastAsia" w:cs="Times New Roman"/>
          <w:color w:val="auto"/>
          <w:sz w:val="28"/>
          <w:szCs w:val="28"/>
          <w:highlight w:val="none"/>
          <w:u w:val="none" w:color="auto"/>
          <w:lang w:val="en-US" w:eastAsia="zh-CN"/>
        </w:rPr>
        <w:t>8</w:t>
      </w:r>
      <w:r>
        <w:rPr>
          <w:rFonts w:hint="default" w:ascii="Times New Roman" w:hAnsi="Times New Roman" w:eastAsia="宋体" w:cs="Times New Roman"/>
          <w:color w:val="auto"/>
          <w:sz w:val="28"/>
          <w:szCs w:val="28"/>
          <w:highlight w:val="none"/>
          <w:u w:val="none" w:color="auto"/>
        </w:rPr>
        <w:t>.2.</w:t>
      </w:r>
      <w:r>
        <w:rPr>
          <w:rFonts w:hint="default" w:ascii="Times New Roman" w:hAnsi="Times New Roman" w:eastAsia="宋体" w:cs="Times New Roman"/>
          <w:color w:val="auto"/>
          <w:sz w:val="28"/>
          <w:szCs w:val="28"/>
          <w:highlight w:val="none"/>
          <w:u w:val="none" w:color="auto"/>
          <w:lang w:val="en-US" w:eastAsia="zh-CN"/>
        </w:rPr>
        <w:t>2</w:t>
      </w:r>
      <w:r>
        <w:rPr>
          <w:rFonts w:hint="default" w:ascii="Times New Roman" w:hAnsi="Times New Roman" w:eastAsia="宋体" w:cs="Times New Roman"/>
          <w:color w:val="auto"/>
          <w:sz w:val="28"/>
          <w:szCs w:val="28"/>
          <w:highlight w:val="none"/>
          <w:u w:val="none" w:color="auto"/>
          <w:lang w:eastAsia="zh-CN"/>
        </w:rPr>
        <w:t>经济</w:t>
      </w:r>
      <w:r>
        <w:rPr>
          <w:rFonts w:hint="default" w:ascii="Times New Roman" w:hAnsi="Times New Roman" w:eastAsia="宋体" w:cs="Times New Roman"/>
          <w:color w:val="auto"/>
          <w:sz w:val="28"/>
          <w:szCs w:val="28"/>
          <w:highlight w:val="none"/>
          <w:u w:val="none" w:color="auto"/>
        </w:rPr>
        <w:t>效益</w:t>
      </w:r>
      <w:bookmarkEnd w:id="584"/>
      <w:bookmarkEnd w:id="585"/>
      <w:bookmarkEnd w:id="586"/>
    </w:p>
    <w:p w14:paraId="2BE3CB6F">
      <w:pPr>
        <w:keepNext w:val="0"/>
        <w:keepLines w:val="0"/>
        <w:pageBreakBefore w:val="0"/>
        <w:widowControl w:val="0"/>
        <w:kinsoku/>
        <w:wordWrap/>
        <w:overflowPunct/>
        <w:autoSpaceDE/>
        <w:autoSpaceDN/>
        <w:bidi w:val="0"/>
        <w:snapToGrid w:val="0"/>
        <w:spacing w:line="360" w:lineRule="auto"/>
        <w:ind w:firstLine="480"/>
        <w:jc w:val="left"/>
        <w:textAlignment w:val="auto"/>
        <w:rPr>
          <w:rFonts w:hint="default" w:ascii="Times New Roman" w:hAnsi="Times New Roman" w:eastAsia="宋体" w:cs="Times New Roman"/>
          <w:color w:val="auto"/>
          <w:kern w:val="0"/>
          <w:sz w:val="24"/>
          <w:szCs w:val="24"/>
          <w:highlight w:val="none"/>
          <w:u w:val="none" w:color="auto"/>
          <w:lang w:bidi="ar"/>
        </w:rPr>
      </w:pPr>
      <w:r>
        <w:rPr>
          <w:rFonts w:hint="default" w:ascii="Times New Roman" w:hAnsi="Times New Roman" w:eastAsia="宋体" w:cs="Times New Roman"/>
          <w:color w:val="auto"/>
          <w:kern w:val="0"/>
          <w:sz w:val="24"/>
          <w:szCs w:val="24"/>
          <w:highlight w:val="none"/>
          <w:u w:val="none" w:color="auto"/>
          <w:lang w:bidi="ar"/>
        </w:rPr>
        <w:t>本项目建成后产生的效益，包括各种投资所产生的直接效益和间接效益（或者</w:t>
      </w:r>
      <w:r>
        <w:rPr>
          <w:rFonts w:hint="eastAsia" w:cs="Times New Roman"/>
          <w:color w:val="auto"/>
          <w:kern w:val="0"/>
          <w:sz w:val="24"/>
          <w:szCs w:val="24"/>
          <w:highlight w:val="none"/>
          <w:u w:val="none" w:color="auto"/>
          <w:lang w:eastAsia="zh-CN" w:bidi="ar"/>
        </w:rPr>
        <w:t>叫作</w:t>
      </w:r>
      <w:r>
        <w:rPr>
          <w:rFonts w:hint="default" w:ascii="Times New Roman" w:hAnsi="Times New Roman" w:eastAsia="宋体" w:cs="Times New Roman"/>
          <w:color w:val="auto"/>
          <w:kern w:val="0"/>
          <w:sz w:val="24"/>
          <w:szCs w:val="24"/>
          <w:highlight w:val="none"/>
          <w:u w:val="none" w:color="auto"/>
          <w:lang w:bidi="ar"/>
        </w:rPr>
        <w:t>一级效益，二级效益），项目实施后，可减少流域重金属污染程度，改善当地的生态环境和农业生产条件，推动农村经济的可持续发展。</w:t>
      </w:r>
    </w:p>
    <w:p w14:paraId="40580EC4">
      <w:pPr>
        <w:pStyle w:val="4"/>
        <w:keepNext w:val="0"/>
        <w:keepLines w:val="0"/>
        <w:pageBreakBefore w:val="0"/>
        <w:widowControl w:val="0"/>
        <w:numPr>
          <w:ilvl w:val="2"/>
          <w:numId w:val="0"/>
        </w:numPr>
        <w:kinsoku/>
        <w:wordWrap/>
        <w:overflowPunct/>
        <w:topLinePunct w:val="0"/>
        <w:autoSpaceDE/>
        <w:autoSpaceDN/>
        <w:bidi w:val="0"/>
        <w:snapToGrid w:val="0"/>
        <w:spacing w:before="0" w:beforeLines="0" w:after="0" w:afterLines="0" w:line="360" w:lineRule="auto"/>
        <w:textAlignment w:val="auto"/>
        <w:rPr>
          <w:rFonts w:hint="default" w:ascii="Times New Roman" w:hAnsi="Times New Roman" w:eastAsia="宋体" w:cs="Times New Roman"/>
          <w:color w:val="auto"/>
          <w:sz w:val="28"/>
          <w:szCs w:val="28"/>
          <w:highlight w:val="none"/>
          <w:u w:val="none" w:color="auto"/>
        </w:rPr>
      </w:pPr>
      <w:bookmarkStart w:id="587" w:name="_Toc4619"/>
      <w:bookmarkStart w:id="588" w:name="_Toc27672"/>
      <w:bookmarkStart w:id="589" w:name="_Toc32648"/>
      <w:r>
        <w:rPr>
          <w:rFonts w:hint="eastAsia" w:cs="Times New Roman"/>
          <w:color w:val="auto"/>
          <w:sz w:val="28"/>
          <w:szCs w:val="28"/>
          <w:highlight w:val="none"/>
          <w:u w:val="none" w:color="auto"/>
          <w:lang w:val="en-US" w:eastAsia="zh-CN"/>
        </w:rPr>
        <w:t>8</w:t>
      </w:r>
      <w:r>
        <w:rPr>
          <w:rFonts w:hint="default" w:ascii="Times New Roman" w:hAnsi="Times New Roman" w:eastAsia="宋体" w:cs="Times New Roman"/>
          <w:color w:val="auto"/>
          <w:sz w:val="28"/>
          <w:szCs w:val="28"/>
          <w:highlight w:val="none"/>
          <w:u w:val="none" w:color="auto"/>
        </w:rPr>
        <w:t>.2.</w:t>
      </w:r>
      <w:r>
        <w:rPr>
          <w:rFonts w:hint="default" w:ascii="Times New Roman" w:hAnsi="Times New Roman" w:eastAsia="宋体" w:cs="Times New Roman"/>
          <w:color w:val="auto"/>
          <w:sz w:val="28"/>
          <w:szCs w:val="28"/>
          <w:highlight w:val="none"/>
          <w:u w:val="none" w:color="auto"/>
          <w:lang w:val="en-US" w:eastAsia="zh-CN"/>
        </w:rPr>
        <w:t>3</w:t>
      </w:r>
      <w:r>
        <w:rPr>
          <w:rFonts w:hint="default" w:ascii="Times New Roman" w:hAnsi="Times New Roman" w:eastAsia="宋体" w:cs="Times New Roman"/>
          <w:color w:val="auto"/>
          <w:sz w:val="28"/>
          <w:szCs w:val="28"/>
          <w:highlight w:val="none"/>
          <w:u w:val="none" w:color="auto"/>
          <w:lang w:eastAsia="zh-CN"/>
        </w:rPr>
        <w:t>社会</w:t>
      </w:r>
      <w:r>
        <w:rPr>
          <w:rFonts w:hint="default" w:ascii="Times New Roman" w:hAnsi="Times New Roman" w:eastAsia="宋体" w:cs="Times New Roman"/>
          <w:color w:val="auto"/>
          <w:sz w:val="28"/>
          <w:szCs w:val="28"/>
          <w:highlight w:val="none"/>
          <w:u w:val="none" w:color="auto"/>
        </w:rPr>
        <w:t>效益</w:t>
      </w:r>
      <w:bookmarkEnd w:id="587"/>
      <w:bookmarkEnd w:id="588"/>
      <w:bookmarkEnd w:id="589"/>
    </w:p>
    <w:p w14:paraId="6EDE0F1B">
      <w:pPr>
        <w:keepNext w:val="0"/>
        <w:keepLines w:val="0"/>
        <w:pageBreakBefore w:val="0"/>
        <w:widowControl w:val="0"/>
        <w:kinsoku/>
        <w:wordWrap/>
        <w:overflowPunct/>
        <w:autoSpaceDE/>
        <w:autoSpaceDN/>
        <w:bidi w:val="0"/>
        <w:snapToGrid w:val="0"/>
        <w:spacing w:line="360" w:lineRule="auto"/>
        <w:ind w:firstLine="480"/>
        <w:jc w:val="left"/>
        <w:textAlignment w:val="auto"/>
        <w:rPr>
          <w:rFonts w:hint="default" w:eastAsia="宋体" w:cs="Times New Roman"/>
          <w:color w:val="auto"/>
          <w:kern w:val="0"/>
          <w:sz w:val="24"/>
          <w:szCs w:val="24"/>
          <w:highlight w:val="none"/>
          <w:u w:val="none" w:color="auto"/>
          <w:lang w:val="en-US" w:eastAsia="zh-CN" w:bidi="ar"/>
        </w:rPr>
      </w:pPr>
      <w:r>
        <w:rPr>
          <w:rFonts w:hint="eastAsia" w:cs="Times New Roman"/>
          <w:color w:val="auto"/>
          <w:kern w:val="0"/>
          <w:sz w:val="24"/>
          <w:szCs w:val="24"/>
          <w:highlight w:val="none"/>
          <w:u w:val="none" w:color="auto"/>
          <w:lang w:val="en-US" w:eastAsia="zh-CN" w:bidi="ar"/>
        </w:rPr>
        <w:t>1、</w:t>
      </w:r>
      <w:r>
        <w:rPr>
          <w:rFonts w:hint="default" w:eastAsia="宋体" w:cs="Times New Roman"/>
          <w:color w:val="auto"/>
          <w:kern w:val="0"/>
          <w:sz w:val="24"/>
          <w:szCs w:val="24"/>
          <w:highlight w:val="none"/>
          <w:u w:val="none" w:color="auto"/>
          <w:lang w:val="en-US" w:eastAsia="zh-CN" w:bidi="ar"/>
        </w:rPr>
        <w:t>剩余劳动力就地谋生，这既为当地居民降低了就业成本。对当地社会环境的稳定、促进当地经济的发展等起到一定的作用，也为政府减轻了就业压力和经济负担；工程建设也将刺激当地的经济需求，带动当地和周边地区的经济发展，促进电力、运输、服务等相关行业和基础设施的发展建设，加速当地的经济发展。因此，工程的建设具有良好的</w:t>
      </w:r>
      <w:r>
        <w:rPr>
          <w:rFonts w:hint="eastAsia" w:cs="Times New Roman"/>
          <w:color w:val="auto"/>
          <w:kern w:val="0"/>
          <w:sz w:val="24"/>
          <w:szCs w:val="24"/>
          <w:highlight w:val="none"/>
          <w:u w:val="none" w:color="auto"/>
          <w:lang w:val="en-US" w:eastAsia="zh-CN" w:bidi="ar"/>
        </w:rPr>
        <w:t>社会</w:t>
      </w:r>
      <w:r>
        <w:rPr>
          <w:rFonts w:hint="default" w:eastAsia="宋体" w:cs="Times New Roman"/>
          <w:color w:val="auto"/>
          <w:kern w:val="0"/>
          <w:sz w:val="24"/>
          <w:szCs w:val="24"/>
          <w:highlight w:val="none"/>
          <w:u w:val="none" w:color="auto"/>
          <w:lang w:val="en-US" w:eastAsia="zh-CN" w:bidi="ar"/>
        </w:rPr>
        <w:t>效益。</w:t>
      </w:r>
    </w:p>
    <w:p w14:paraId="45FE76C8">
      <w:pPr>
        <w:keepNext w:val="0"/>
        <w:keepLines w:val="0"/>
        <w:pageBreakBefore w:val="0"/>
        <w:widowControl w:val="0"/>
        <w:kinsoku/>
        <w:wordWrap/>
        <w:overflowPunct/>
        <w:autoSpaceDE/>
        <w:autoSpaceDN/>
        <w:bidi w:val="0"/>
        <w:snapToGrid w:val="0"/>
        <w:spacing w:line="360" w:lineRule="auto"/>
        <w:ind w:firstLine="480"/>
        <w:jc w:val="left"/>
        <w:textAlignment w:val="auto"/>
        <w:rPr>
          <w:rFonts w:hint="default" w:eastAsia="宋体" w:cs="Times New Roman"/>
          <w:color w:val="auto"/>
          <w:kern w:val="0"/>
          <w:sz w:val="24"/>
          <w:szCs w:val="24"/>
          <w:highlight w:val="none"/>
          <w:u w:val="none" w:color="auto"/>
          <w:lang w:val="en-US" w:eastAsia="zh-CN" w:bidi="ar"/>
        </w:rPr>
      </w:pPr>
      <w:r>
        <w:rPr>
          <w:rFonts w:hint="eastAsia" w:cs="Times New Roman"/>
          <w:color w:val="auto"/>
          <w:kern w:val="0"/>
          <w:sz w:val="24"/>
          <w:szCs w:val="24"/>
          <w:highlight w:val="none"/>
          <w:u w:val="none" w:color="auto"/>
          <w:lang w:val="en-US" w:eastAsia="zh-CN" w:bidi="ar"/>
        </w:rPr>
        <w:t>2、</w:t>
      </w:r>
      <w:r>
        <w:rPr>
          <w:rFonts w:hint="default" w:eastAsia="宋体" w:cs="Times New Roman"/>
          <w:color w:val="auto"/>
          <w:kern w:val="0"/>
          <w:sz w:val="24"/>
          <w:szCs w:val="24"/>
          <w:highlight w:val="none"/>
          <w:u w:val="none" w:color="auto"/>
          <w:lang w:val="en-US" w:eastAsia="zh-CN" w:bidi="ar"/>
        </w:rPr>
        <w:t>工程也可以认为是一个环境治理、经济发展带动、社会和谐促进于一体的综合性工程。水源保护、自然生态平衡以及经济社会的可持续发展是我国当前面临的一个重大战略问题，工程的实施将对所在区域产生积极的社会影响，能维护当地社会的和谐稳定，并将给我国其他情况类似地区和项目带来示范与借鉴作用。</w:t>
      </w:r>
    </w:p>
    <w:p w14:paraId="0B2D78A8">
      <w:pPr>
        <w:keepNext w:val="0"/>
        <w:keepLines w:val="0"/>
        <w:pageBreakBefore w:val="0"/>
        <w:widowControl w:val="0"/>
        <w:kinsoku/>
        <w:wordWrap/>
        <w:overflowPunct/>
        <w:autoSpaceDE/>
        <w:autoSpaceDN/>
        <w:bidi w:val="0"/>
        <w:snapToGrid w:val="0"/>
        <w:spacing w:line="360" w:lineRule="auto"/>
        <w:ind w:firstLine="480"/>
        <w:jc w:val="left"/>
        <w:textAlignment w:val="auto"/>
        <w:rPr>
          <w:rFonts w:hint="default" w:ascii="Times New Roman" w:hAnsi="Times New Roman" w:eastAsia="宋体" w:cs="Times New Roman"/>
          <w:color w:val="auto"/>
          <w:kern w:val="0"/>
          <w:sz w:val="24"/>
          <w:szCs w:val="24"/>
          <w:highlight w:val="none"/>
          <w:u w:val="none" w:color="auto"/>
          <w:lang w:bidi="ar"/>
        </w:rPr>
      </w:pPr>
      <w:r>
        <w:rPr>
          <w:rFonts w:hint="default" w:eastAsia="宋体" w:cs="Times New Roman"/>
          <w:color w:val="auto"/>
          <w:kern w:val="0"/>
          <w:sz w:val="24"/>
          <w:szCs w:val="24"/>
          <w:highlight w:val="none"/>
          <w:u w:val="none" w:color="auto"/>
          <w:lang w:val="en-US" w:eastAsia="zh-CN" w:bidi="ar"/>
        </w:rPr>
        <w:t>3</w:t>
      </w:r>
      <w:r>
        <w:rPr>
          <w:rFonts w:hint="eastAsia" w:cs="Times New Roman"/>
          <w:color w:val="auto"/>
          <w:kern w:val="0"/>
          <w:sz w:val="24"/>
          <w:szCs w:val="24"/>
          <w:highlight w:val="none"/>
          <w:u w:val="none" w:color="auto"/>
          <w:lang w:val="en-US" w:eastAsia="zh-CN" w:bidi="ar"/>
        </w:rPr>
        <w:t>、</w:t>
      </w:r>
      <w:r>
        <w:rPr>
          <w:rFonts w:hint="default" w:eastAsia="宋体" w:cs="Times New Roman"/>
          <w:color w:val="auto"/>
          <w:kern w:val="0"/>
          <w:sz w:val="24"/>
          <w:szCs w:val="24"/>
          <w:highlight w:val="none"/>
          <w:u w:val="none" w:color="auto"/>
          <w:lang w:val="en-US" w:eastAsia="zh-CN" w:bidi="ar"/>
        </w:rPr>
        <w:t>本项目对保护周边地表水、地下水及土壤将发挥积极作用，具有十分</w:t>
      </w:r>
      <w:r>
        <w:rPr>
          <w:rFonts w:hint="eastAsia" w:cs="Times New Roman"/>
          <w:color w:val="auto"/>
          <w:kern w:val="0"/>
          <w:sz w:val="24"/>
          <w:szCs w:val="24"/>
          <w:highlight w:val="none"/>
          <w:u w:val="none" w:color="auto"/>
          <w:lang w:val="en-US" w:eastAsia="zh-CN" w:bidi="ar"/>
        </w:rPr>
        <w:t>显著</w:t>
      </w:r>
      <w:r>
        <w:rPr>
          <w:rFonts w:hint="default" w:eastAsia="宋体" w:cs="Times New Roman"/>
          <w:color w:val="auto"/>
          <w:kern w:val="0"/>
          <w:sz w:val="24"/>
          <w:szCs w:val="24"/>
          <w:highlight w:val="none"/>
          <w:u w:val="none" w:color="auto"/>
          <w:lang w:val="en-US" w:eastAsia="zh-CN" w:bidi="ar"/>
        </w:rPr>
        <w:t>的环境效益和社会效益。项目的实施可</w:t>
      </w:r>
      <w:r>
        <w:rPr>
          <w:rFonts w:hint="eastAsia" w:cs="Times New Roman"/>
          <w:color w:val="auto"/>
          <w:kern w:val="0"/>
          <w:sz w:val="24"/>
          <w:szCs w:val="24"/>
          <w:highlight w:val="none"/>
          <w:u w:val="none" w:color="auto"/>
          <w:lang w:val="en-US" w:eastAsia="zh-CN" w:bidi="ar"/>
        </w:rPr>
        <w:t>显著</w:t>
      </w:r>
      <w:r>
        <w:rPr>
          <w:rFonts w:hint="default" w:eastAsia="宋体" w:cs="Times New Roman"/>
          <w:color w:val="auto"/>
          <w:kern w:val="0"/>
          <w:sz w:val="24"/>
          <w:szCs w:val="24"/>
          <w:highlight w:val="none"/>
          <w:u w:val="none" w:color="auto"/>
          <w:lang w:val="en-US" w:eastAsia="zh-CN" w:bidi="ar"/>
        </w:rPr>
        <w:t>减少重金属污染，使受影响区域居民生活</w:t>
      </w:r>
      <w:r>
        <w:rPr>
          <w:rFonts w:hint="eastAsia" w:cs="Times New Roman"/>
          <w:color w:val="auto"/>
          <w:kern w:val="0"/>
          <w:sz w:val="24"/>
          <w:szCs w:val="24"/>
          <w:highlight w:val="none"/>
          <w:u w:val="none" w:color="auto"/>
          <w:lang w:val="en-US" w:eastAsia="zh-CN" w:bidi="ar"/>
        </w:rPr>
        <w:t>环境</w:t>
      </w:r>
      <w:r>
        <w:rPr>
          <w:rFonts w:hint="default" w:eastAsia="宋体" w:cs="Times New Roman"/>
          <w:color w:val="auto"/>
          <w:kern w:val="0"/>
          <w:sz w:val="24"/>
          <w:szCs w:val="24"/>
          <w:highlight w:val="none"/>
          <w:u w:val="none" w:color="auto"/>
          <w:lang w:val="en-US" w:eastAsia="zh-CN" w:bidi="ar"/>
        </w:rPr>
        <w:t>得到改善，使流域内老百姓安居。同时对区域内生态环境改善，植被恢复，减少水土流失。</w:t>
      </w:r>
    </w:p>
    <w:p w14:paraId="057366AA">
      <w:pPr>
        <w:pStyle w:val="3"/>
        <w:keepNext w:val="0"/>
        <w:keepLines w:val="0"/>
        <w:pageBreakBefore w:val="0"/>
        <w:widowControl w:val="0"/>
        <w:numPr>
          <w:ilvl w:val="0"/>
          <w:numId w:val="0"/>
        </w:numPr>
        <w:kinsoku/>
        <w:wordWrap/>
        <w:overflowPunct/>
        <w:topLinePunct w:val="0"/>
        <w:autoSpaceDE/>
        <w:autoSpaceDN/>
        <w:bidi w:val="0"/>
        <w:adjustRightInd/>
        <w:snapToGrid w:val="0"/>
        <w:spacing w:before="0" w:beforeLines="0" w:after="0" w:afterLines="0" w:line="360" w:lineRule="auto"/>
        <w:textAlignment w:val="auto"/>
        <w:rPr>
          <w:rFonts w:hint="default" w:ascii="Times New Roman" w:hAnsi="Times New Roman" w:eastAsia="宋体" w:cs="Times New Roman"/>
          <w:color w:val="auto"/>
          <w:sz w:val="30"/>
          <w:szCs w:val="30"/>
          <w:highlight w:val="none"/>
          <w:u w:val="none" w:color="auto"/>
          <w:lang w:val="en-US"/>
        </w:rPr>
      </w:pPr>
      <w:bookmarkStart w:id="590" w:name="_Toc14763"/>
      <w:bookmarkStart w:id="591" w:name="_Toc18796"/>
      <w:bookmarkStart w:id="592" w:name="_Toc5288"/>
      <w:bookmarkStart w:id="593" w:name="_Toc30714"/>
      <w:bookmarkStart w:id="594" w:name="_Toc8423"/>
      <w:bookmarkStart w:id="595" w:name="_Toc28036"/>
      <w:r>
        <w:rPr>
          <w:rFonts w:hint="eastAsia" w:ascii="Times New Roman" w:hAnsi="Times New Roman" w:eastAsia="宋体" w:cs="Times New Roman"/>
          <w:color w:val="auto"/>
          <w:sz w:val="30"/>
          <w:szCs w:val="30"/>
          <w:highlight w:val="none"/>
          <w:u w:val="none" w:color="auto"/>
          <w:lang w:val="en-US" w:eastAsia="zh-CN"/>
        </w:rPr>
        <w:t>8.3</w:t>
      </w:r>
      <w:r>
        <w:rPr>
          <w:rFonts w:hint="eastAsia" w:ascii="Times New Roman" w:hAnsi="Times New Roman" w:eastAsia="宋体" w:cs="Times New Roman"/>
          <w:color w:val="auto"/>
          <w:sz w:val="30"/>
          <w:szCs w:val="30"/>
          <w:highlight w:val="none"/>
          <w:u w:val="none" w:color="auto"/>
          <w:lang w:val="en-US"/>
        </w:rPr>
        <w:t>结论</w:t>
      </w:r>
      <w:bookmarkEnd w:id="590"/>
      <w:bookmarkEnd w:id="591"/>
      <w:bookmarkEnd w:id="592"/>
      <w:bookmarkEnd w:id="593"/>
      <w:bookmarkEnd w:id="594"/>
      <w:bookmarkEnd w:id="595"/>
    </w:p>
    <w:p w14:paraId="64E08AF8">
      <w:pPr>
        <w:keepNext w:val="0"/>
        <w:keepLines w:val="0"/>
        <w:pageBreakBefore w:val="0"/>
        <w:widowControl w:val="0"/>
        <w:kinsoku/>
        <w:wordWrap/>
        <w:overflowPunct/>
        <w:autoSpaceDE/>
        <w:autoSpaceDN/>
        <w:bidi w:val="0"/>
        <w:snapToGrid w:val="0"/>
        <w:spacing w:line="360" w:lineRule="auto"/>
        <w:ind w:firstLine="480"/>
        <w:jc w:val="left"/>
        <w:textAlignment w:val="auto"/>
        <w:rPr>
          <w:rFonts w:hint="eastAsia" w:ascii="Times New Roman" w:hAnsi="Times New Roman" w:eastAsia="宋体" w:cs="Times New Roman"/>
          <w:color w:val="auto"/>
          <w:kern w:val="0"/>
          <w:sz w:val="24"/>
          <w:szCs w:val="24"/>
          <w:highlight w:val="none"/>
          <w:u w:val="none" w:color="auto"/>
          <w:lang w:bidi="ar"/>
        </w:rPr>
      </w:pPr>
      <w:r>
        <w:rPr>
          <w:rFonts w:hint="eastAsia" w:ascii="Times New Roman" w:hAnsi="Times New Roman" w:eastAsia="宋体" w:cs="Times New Roman"/>
          <w:color w:val="auto"/>
          <w:kern w:val="0"/>
          <w:sz w:val="24"/>
          <w:szCs w:val="24"/>
          <w:highlight w:val="none"/>
          <w:u w:val="none" w:color="auto"/>
          <w:lang w:bidi="ar"/>
        </w:rPr>
        <w:t>本项目的建设投产，具有较好的社会效益和经济效益。虽然项目的建设势必会给项目所在区域环境带来一定不利影响，但只要建设单位从各方面着手，从源头控制污染物，做好污染防治工作，清洁生产，尽可能削减污染物排放量，做到达标和达要求排放，在落实各项环保措施后，项目建设对环境的不利影响可控制在可接受的范围内，项目的经济社会效益显著，建设是可行的。</w:t>
      </w:r>
    </w:p>
    <w:p w14:paraId="399C1F89">
      <w:pPr>
        <w:keepNext w:val="0"/>
        <w:keepLines w:val="0"/>
        <w:pageBreakBefore w:val="0"/>
        <w:widowControl w:val="0"/>
        <w:kinsoku/>
        <w:wordWrap/>
        <w:overflowPunct/>
        <w:autoSpaceDE/>
        <w:autoSpaceDN/>
        <w:bidi w:val="0"/>
        <w:snapToGrid w:val="0"/>
        <w:spacing w:line="360" w:lineRule="auto"/>
        <w:ind w:firstLine="480"/>
        <w:jc w:val="left"/>
        <w:textAlignment w:val="auto"/>
        <w:rPr>
          <w:rFonts w:hint="default" w:ascii="Times New Roman" w:hAnsi="Times New Roman" w:eastAsia="宋体" w:cs="Times New Roman"/>
          <w:color w:val="auto"/>
          <w:kern w:val="0"/>
          <w:sz w:val="24"/>
          <w:szCs w:val="24"/>
          <w:highlight w:val="none"/>
          <w:u w:val="none" w:color="auto"/>
          <w:lang w:bidi="ar"/>
        </w:rPr>
      </w:pPr>
      <w:r>
        <w:rPr>
          <w:rFonts w:hint="eastAsia" w:ascii="Times New Roman" w:hAnsi="Times New Roman" w:eastAsia="宋体" w:cs="Times New Roman"/>
          <w:color w:val="auto"/>
          <w:kern w:val="0"/>
          <w:sz w:val="24"/>
          <w:szCs w:val="24"/>
          <w:highlight w:val="none"/>
          <w:u w:val="none" w:color="auto"/>
          <w:lang w:bidi="ar"/>
        </w:rPr>
        <w:t>综上，项目的经济、社会效益明显，采用科学、合理的环境治理措施后，对周边环境影响较小，从环境经济学的角度分析，本项目建设是可行的。</w:t>
      </w:r>
    </w:p>
    <w:p w14:paraId="5DC36909">
      <w:pPr>
        <w:keepNext w:val="0"/>
        <w:keepLines w:val="0"/>
        <w:pageBreakBefore w:val="0"/>
        <w:widowControl w:val="0"/>
        <w:kinsoku/>
        <w:wordWrap/>
        <w:overflowPunct/>
        <w:autoSpaceDE/>
        <w:autoSpaceDN/>
        <w:bidi w:val="0"/>
        <w:snapToGrid w:val="0"/>
        <w:spacing w:line="360" w:lineRule="auto"/>
        <w:ind w:firstLine="480"/>
        <w:jc w:val="left"/>
        <w:textAlignment w:val="auto"/>
        <w:rPr>
          <w:rFonts w:hint="default" w:ascii="Times New Roman" w:hAnsi="Times New Roman" w:eastAsia="宋体" w:cs="Times New Roman"/>
          <w:color w:val="auto"/>
          <w:kern w:val="0"/>
          <w:sz w:val="24"/>
          <w:szCs w:val="24"/>
          <w:highlight w:val="none"/>
          <w:u w:val="none" w:color="auto"/>
          <w:lang w:bidi="ar"/>
        </w:rPr>
      </w:pPr>
    </w:p>
    <w:p w14:paraId="7BACE0F3">
      <w:pPr>
        <w:rPr>
          <w:rFonts w:hint="default" w:ascii="Times New Roman" w:hAnsi="Times New Roman" w:eastAsia="宋体" w:cs="Times New Roman"/>
          <w:color w:val="auto"/>
          <w:sz w:val="36"/>
          <w:szCs w:val="36"/>
          <w:highlight w:val="none"/>
          <w:u w:val="none" w:color="auto"/>
        </w:rPr>
      </w:pPr>
      <w:r>
        <w:rPr>
          <w:rFonts w:hint="default" w:ascii="Times New Roman" w:hAnsi="Times New Roman" w:eastAsia="宋体" w:cs="Times New Roman"/>
          <w:color w:val="auto"/>
          <w:kern w:val="0"/>
          <w:highlight w:val="none"/>
          <w:u w:val="none" w:color="auto"/>
          <w:lang w:bidi="ar"/>
        </w:rPr>
        <w:br w:type="page"/>
      </w:r>
      <w:bookmarkStart w:id="596" w:name="_Toc26872"/>
      <w:bookmarkStart w:id="597" w:name="_Toc19116"/>
      <w:bookmarkStart w:id="598" w:name="_Toc14549"/>
      <w:bookmarkStart w:id="599" w:name="_Toc4386"/>
      <w:bookmarkStart w:id="600" w:name="_Toc1286"/>
      <w:bookmarkStart w:id="601" w:name="_Toc30388"/>
      <w:bookmarkStart w:id="602" w:name="_Toc32687"/>
    </w:p>
    <w:bookmarkEnd w:id="553"/>
    <w:bookmarkEnd w:id="554"/>
    <w:bookmarkEnd w:id="596"/>
    <w:bookmarkEnd w:id="597"/>
    <w:bookmarkEnd w:id="598"/>
    <w:bookmarkEnd w:id="599"/>
    <w:bookmarkEnd w:id="600"/>
    <w:bookmarkEnd w:id="601"/>
    <w:bookmarkEnd w:id="602"/>
    <w:p w14:paraId="711215E0">
      <w:pPr>
        <w:topLinePunct w:val="0"/>
        <w:ind w:firstLine="0" w:firstLineChars="0"/>
        <w:jc w:val="center"/>
        <w:outlineLvl w:val="0"/>
        <w:rPr>
          <w:rFonts w:hint="default" w:ascii="Times New Roman" w:hAnsi="Times New Roman" w:cs="Times New Roman"/>
          <w:color w:val="auto"/>
          <w:sz w:val="36"/>
          <w:szCs w:val="36"/>
          <w:highlight w:val="none"/>
          <w:u w:val="none" w:color="auto"/>
        </w:rPr>
      </w:pPr>
      <w:bookmarkStart w:id="603" w:name="_Toc22503"/>
      <w:bookmarkStart w:id="604" w:name="_Toc7343"/>
      <w:bookmarkStart w:id="605" w:name="_Toc7635"/>
      <w:bookmarkStart w:id="606" w:name="_Toc6939"/>
      <w:bookmarkStart w:id="607" w:name="_Toc30662"/>
      <w:bookmarkStart w:id="608" w:name="_Toc12879"/>
      <w:bookmarkStart w:id="609" w:name="_Toc19401"/>
      <w:bookmarkStart w:id="610" w:name="_Toc7370"/>
      <w:bookmarkStart w:id="611" w:name="_Toc20063"/>
      <w:bookmarkStart w:id="612" w:name="_Toc22387"/>
      <w:bookmarkStart w:id="613" w:name="_Toc14122"/>
      <w:bookmarkStart w:id="614" w:name="_Toc12591"/>
      <w:bookmarkStart w:id="615" w:name="_Toc24323"/>
      <w:bookmarkStart w:id="616" w:name="_Toc1870"/>
      <w:bookmarkStart w:id="617" w:name="_Toc27124794"/>
      <w:bookmarkStart w:id="618" w:name="_Toc20571"/>
      <w:r>
        <w:rPr>
          <w:rFonts w:hint="eastAsia" w:cs="Times New Roman"/>
          <w:b/>
          <w:bCs/>
          <w:color w:val="auto"/>
          <w:sz w:val="36"/>
          <w:szCs w:val="36"/>
          <w:highlight w:val="none"/>
          <w:u w:val="none" w:color="auto"/>
          <w:lang w:val="en-US" w:eastAsia="zh-CN"/>
        </w:rPr>
        <w:t>9</w:t>
      </w:r>
      <w:r>
        <w:rPr>
          <w:rFonts w:hint="default" w:ascii="Times New Roman" w:hAnsi="Times New Roman" w:cs="Times New Roman"/>
          <w:b/>
          <w:bCs/>
          <w:color w:val="auto"/>
          <w:sz w:val="36"/>
          <w:szCs w:val="36"/>
          <w:highlight w:val="none"/>
          <w:u w:val="none" w:color="auto"/>
        </w:rPr>
        <w:t xml:space="preserve"> 环境管理与监测计划</w:t>
      </w:r>
      <w:bookmarkEnd w:id="603"/>
      <w:bookmarkEnd w:id="604"/>
      <w:bookmarkEnd w:id="605"/>
      <w:bookmarkEnd w:id="606"/>
      <w:bookmarkEnd w:id="607"/>
      <w:bookmarkEnd w:id="608"/>
      <w:bookmarkEnd w:id="609"/>
    </w:p>
    <w:p w14:paraId="5C3129BE">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619" w:name="_Toc28180"/>
      <w:bookmarkStart w:id="620" w:name="_Toc7204"/>
      <w:bookmarkStart w:id="621" w:name="_Toc16024"/>
      <w:bookmarkStart w:id="622" w:name="_Toc19063"/>
      <w:bookmarkStart w:id="623" w:name="_Toc531165150"/>
      <w:bookmarkStart w:id="624" w:name="_Toc670"/>
      <w:bookmarkStart w:id="625" w:name="_Toc17845"/>
      <w:bookmarkStart w:id="626" w:name="_Toc27661"/>
      <w:bookmarkStart w:id="627" w:name="_Toc17361"/>
      <w:bookmarkStart w:id="628" w:name="_Toc512012587"/>
      <w:bookmarkStart w:id="629" w:name="_Toc14523"/>
      <w:bookmarkStart w:id="630" w:name="_Toc15663"/>
      <w:bookmarkStart w:id="631" w:name="_Toc653"/>
      <w:bookmarkStart w:id="632" w:name="_Toc10467376"/>
      <w:bookmarkStart w:id="633" w:name="_Toc29176"/>
      <w:bookmarkStart w:id="634" w:name="_Toc2476"/>
      <w:bookmarkStart w:id="635" w:name="_Toc13035"/>
      <w:bookmarkStart w:id="636" w:name="_Toc17662"/>
      <w:bookmarkStart w:id="637" w:name="_Toc4413"/>
      <w:r>
        <w:rPr>
          <w:rFonts w:hint="eastAsia" w:ascii="Times New Roman" w:hAnsi="Times New Roman" w:eastAsia="宋体" w:cs="Times New Roman"/>
          <w:color w:val="auto"/>
          <w:sz w:val="30"/>
          <w:szCs w:val="30"/>
          <w:highlight w:val="none"/>
          <w:u w:val="none" w:color="auto"/>
          <w:lang w:val="en-US" w:eastAsia="zh-CN"/>
        </w:rPr>
        <w:t>9.</w:t>
      </w:r>
      <w:r>
        <w:rPr>
          <w:rFonts w:hint="default" w:ascii="Times New Roman" w:hAnsi="Times New Roman" w:eastAsia="宋体" w:cs="Times New Roman"/>
          <w:color w:val="auto"/>
          <w:sz w:val="30"/>
          <w:szCs w:val="30"/>
          <w:highlight w:val="none"/>
          <w:u w:val="none" w:color="auto"/>
          <w:lang w:val="en-US"/>
        </w:rPr>
        <w:t>1环境管理</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14:paraId="5DE46B83">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为更</w:t>
      </w:r>
      <w:r>
        <w:rPr>
          <w:rFonts w:hint="eastAsia" w:cs="Times New Roman"/>
          <w:color w:val="auto"/>
          <w:sz w:val="24"/>
          <w:szCs w:val="24"/>
          <w:highlight w:val="none"/>
          <w:u w:val="none" w:color="auto"/>
          <w:lang w:eastAsia="zh-CN"/>
        </w:rPr>
        <w:t>好地</w:t>
      </w:r>
      <w:r>
        <w:rPr>
          <w:rFonts w:hint="default" w:ascii="Times New Roman" w:hAnsi="Times New Roman" w:cs="Times New Roman"/>
          <w:color w:val="auto"/>
          <w:sz w:val="24"/>
          <w:szCs w:val="24"/>
          <w:highlight w:val="none"/>
          <w:u w:val="none" w:color="auto"/>
        </w:rPr>
        <w:t>贯彻执行国家环境保护法律、法规、政策与标准，及时掌握和了解工程污染治理措施的效果，以及工程所在区域环境质量状况，更好地监控环保设施的运行情况，协调公司与地方环保职能部门的工作，同时保证企业生产管理和环境管理的正常运作，建立环境管理体系与监测制度是非常必要的。</w:t>
      </w:r>
    </w:p>
    <w:p w14:paraId="43860223">
      <w:p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环境管理体系与监测机构的建立能够帮助企业及早发现问题，使企业在发展生产的同时节约能源、降低原材料的消耗，控制污染物排放量，减轻污染物排放对环境产生的影响，避免污染事故的发生，为企业创造更好的经济效益和环境效益，树立良好的社会形象。</w:t>
      </w:r>
    </w:p>
    <w:p w14:paraId="17DD34E6">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638" w:name="_Toc17731"/>
      <w:bookmarkStart w:id="639" w:name="_Toc21165"/>
      <w:bookmarkStart w:id="640" w:name="_Toc531165151"/>
      <w:bookmarkStart w:id="641" w:name="_Toc26218"/>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.1.1环境管理计划制定的依据</w:t>
      </w:r>
      <w:bookmarkEnd w:id="638"/>
      <w:bookmarkEnd w:id="639"/>
      <w:bookmarkEnd w:id="640"/>
      <w:bookmarkEnd w:id="641"/>
    </w:p>
    <w:p w14:paraId="5ED9E11C">
      <w:pPr>
        <w:numPr>
          <w:ilvl w:val="0"/>
          <w:numId w:val="12"/>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国家及湖南省有关的环境管理规定；</w:t>
      </w:r>
    </w:p>
    <w:p w14:paraId="7E0F0F13">
      <w:pPr>
        <w:numPr>
          <w:ilvl w:val="0"/>
          <w:numId w:val="12"/>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项目监测方案及专家对监测方案的咨询意见；</w:t>
      </w:r>
    </w:p>
    <w:p w14:paraId="531D98FA">
      <w:pPr>
        <w:numPr>
          <w:ilvl w:val="0"/>
          <w:numId w:val="12"/>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工程施工及运行过程中主要污染类型、配套的环境保护措施以及所能实现的污染控制效果；</w:t>
      </w:r>
    </w:p>
    <w:p w14:paraId="770E2073">
      <w:pPr>
        <w:numPr>
          <w:ilvl w:val="0"/>
          <w:numId w:val="12"/>
        </w:numPr>
        <w:topLinePunct w:val="0"/>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实现环保要求所需制定的监督保证措施要求。</w:t>
      </w:r>
    </w:p>
    <w:p w14:paraId="078F75A3">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642" w:name="_Toc18522"/>
      <w:bookmarkStart w:id="643" w:name="_Toc24715"/>
      <w:bookmarkStart w:id="644" w:name="_Toc576"/>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.1.2环境管理机构及职责</w:t>
      </w:r>
      <w:bookmarkEnd w:id="642"/>
      <w:bookmarkEnd w:id="643"/>
      <w:bookmarkEnd w:id="644"/>
    </w:p>
    <w:p w14:paraId="193CDEC4">
      <w:pPr>
        <w:bidi w:val="0"/>
        <w:rPr>
          <w:rFonts w:hint="eastAsia"/>
          <w:sz w:val="24"/>
          <w:szCs w:val="24"/>
          <w:lang w:val="en-US" w:eastAsia="zh-CN"/>
        </w:rPr>
      </w:pPr>
      <w:r>
        <w:rPr>
          <w:rFonts w:hint="eastAsia"/>
          <w:sz w:val="24"/>
          <w:szCs w:val="24"/>
          <w:lang w:val="en-US" w:eastAsia="zh-CN"/>
        </w:rPr>
        <w:t>由于在工程建设及运行过程中不可避免地会产生污染物的排放，为了加大环境保护的力度，实现可持续发展的战略目标，按照环境保护的要求，根据一些环境管理先进企业的经验，建设单位应建立健全一套完整的环境管理机构，成立环境保护领导小组，负责工程的治理期、运行期（封场后）的环境管理工作，使各项环境保护措施、制度得以贯彻落实。环境管理机构应建立完善的环境管理制度，并针对可能发生的突发事件制订预案和应急对策，同时环境管理机构应明确分工，责任到人。</w:t>
      </w:r>
    </w:p>
    <w:p w14:paraId="40C802D6">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color="auto"/>
          <w:lang w:val="en-US" w:eastAsia="zh-CN"/>
        </w:rPr>
      </w:pPr>
      <w:r>
        <w:rPr>
          <w:rFonts w:hint="eastAsia"/>
          <w:sz w:val="24"/>
          <w:szCs w:val="24"/>
          <w:highlight w:val="none"/>
          <w:u w:val="none" w:color="auto"/>
          <w:lang w:val="en-US" w:eastAsia="zh-CN"/>
        </w:rPr>
        <w:t>施工期及封场后均由建设单位负责施工现场及治理完成后的环境管理。工程建成后岳阳市生态环境局平江分局负责污染物排放监测及环境监管。</w:t>
      </w:r>
    </w:p>
    <w:p w14:paraId="263DC5C9">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color="auto"/>
          <w:lang w:val="en-US" w:eastAsia="zh-CN"/>
        </w:rPr>
      </w:pPr>
      <w:r>
        <w:rPr>
          <w:rFonts w:hint="eastAsia"/>
          <w:sz w:val="24"/>
          <w:szCs w:val="24"/>
          <w:highlight w:val="none"/>
          <w:u w:val="none" w:color="auto"/>
          <w:lang w:val="en-US" w:eastAsia="zh-CN"/>
        </w:rPr>
        <w:t>施工期间建设单位需设置2~3名专职或兼职的环保管理人员。负责项目的环境管理以及对外的环保协调工作，履行环境管理职责和环境监控职责。具体职责如下：</w:t>
      </w:r>
    </w:p>
    <w:p w14:paraId="54F6D817">
      <w:pPr>
        <w:keepNext w:val="0"/>
        <w:keepLines w:val="0"/>
        <w:pageBreakBefore w:val="0"/>
        <w:widowControl w:val="0"/>
        <w:kinsoku/>
        <w:wordWrap/>
        <w:overflowPunct/>
        <w:topLinePunct w:val="0"/>
        <w:autoSpaceDE/>
        <w:autoSpaceDN/>
        <w:bidi w:val="0"/>
        <w:adjustRightInd/>
        <w:snapToGrid/>
        <w:textAlignment w:val="auto"/>
        <w:rPr>
          <w:rFonts w:hint="eastAsia"/>
          <w:sz w:val="24"/>
          <w:szCs w:val="24"/>
          <w:highlight w:val="none"/>
          <w:u w:val="none" w:color="auto"/>
          <w:lang w:val="en-US" w:eastAsia="zh-CN"/>
        </w:rPr>
      </w:pPr>
      <w:r>
        <w:rPr>
          <w:rFonts w:hint="eastAsia"/>
          <w:sz w:val="24"/>
          <w:szCs w:val="24"/>
          <w:highlight w:val="none"/>
          <w:u w:val="none" w:color="auto"/>
          <w:lang w:val="en-US" w:eastAsia="zh-CN"/>
        </w:rPr>
        <w:t>环境管理机构的职责：</w:t>
      </w:r>
    </w:p>
    <w:p w14:paraId="65A182B8">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（1）宣传、贯彻执行环境保护法律、法规、条例和标准，并经常监督有关部门的执行情况；</w:t>
      </w:r>
    </w:p>
    <w:p w14:paraId="74972017">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（2）负责日常环境管理工作，并配合生态环境管理部门做好与其它社会各界有关环保问题的协调工作；</w:t>
      </w:r>
    </w:p>
    <w:p w14:paraId="7F3527D2">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（3）负责项目的环境管理、环境保护和生态保护工作并监督各项环保措施的落实和执行情况；</w:t>
      </w:r>
    </w:p>
    <w:p w14:paraId="711CABBE">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（4）按照规定进行环境监测，并协助有关单位的环境监测管理人员，建立监控档案和业务联系，接受指导和监督；</w:t>
      </w:r>
    </w:p>
    <w:p w14:paraId="3BC3CF38">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（5）按照生态环境部门的有关规定和要求填写各种环境管理报表；</w:t>
      </w:r>
    </w:p>
    <w:p w14:paraId="6B8F8E97">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（6）配合有关单位和部门负责对环境事故进行调查、监督和分析，并写出相应的调查报告；</w:t>
      </w:r>
    </w:p>
    <w:p w14:paraId="68188740">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（7）协助有关部门搞好项目区域内的环境和生态保护教育、技术培训，提高治理期间施工人员和运行期管理人员的素质和环境意识；</w:t>
      </w:r>
    </w:p>
    <w:p w14:paraId="61A4B895">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（8）制定、实施、管理本项目区域内污染物排放和环境保护设施运转计划，并做好考核和统计等工作；</w:t>
      </w:r>
    </w:p>
    <w:p w14:paraId="2FD546AA">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（9）加强对环保设施的运行管理，如果出现运行故障，应该立即进行检修，严禁非正常排放；</w:t>
      </w:r>
    </w:p>
    <w:p w14:paraId="2FEE2AE1">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（10）协调、处理因本项目的实施可能产生的环境问题的投诉以及项目区域居民对周围环境的投诉，协同环境保护部门处理和解答与本项目有关的公众意见，并协调配合有关单位进行处理，达成相应的谅解；</w:t>
      </w:r>
    </w:p>
    <w:p w14:paraId="491A4319">
      <w:pPr>
        <w:bidi w:val="0"/>
        <w:rPr>
          <w:rFonts w:hint="eastAsia"/>
          <w:sz w:val="24"/>
          <w:szCs w:val="24"/>
          <w:highlight w:val="none"/>
          <w:u w:val="none" w:color="auto"/>
          <w:lang w:val="en-US" w:eastAsia="zh-CN"/>
        </w:rPr>
      </w:pPr>
      <w:r>
        <w:rPr>
          <w:rFonts w:hint="eastAsia"/>
          <w:sz w:val="24"/>
          <w:szCs w:val="24"/>
          <w:highlight w:val="none"/>
          <w:u w:val="none" w:color="auto"/>
          <w:lang w:val="en-US" w:eastAsia="zh-CN"/>
        </w:rPr>
        <w:t>（11）定期检查监督环保法规执行情况，及时和有关部门联系落实各方面的环保措施，使之正常运行。</w:t>
      </w:r>
    </w:p>
    <w:p w14:paraId="60E848F2">
      <w:pPr>
        <w:pStyle w:val="144"/>
        <w:ind w:firstLine="480"/>
        <w:rPr>
          <w:rFonts w:hint="eastAsia" w:ascii="Times New Roman" w:hAnsi="Times New Roman" w:cs="Times New Roman"/>
          <w:color w:val="auto"/>
          <w:sz w:val="24"/>
          <w:szCs w:val="24"/>
          <w:highlight w:val="none"/>
          <w:u w:val="none" w:color="auto"/>
          <w:lang w:eastAsia="zh-CN"/>
        </w:rPr>
      </w:pPr>
      <w:r>
        <w:rPr>
          <w:rFonts w:hint="eastAsia"/>
          <w:sz w:val="24"/>
          <w:szCs w:val="24"/>
          <w:highlight w:val="none"/>
          <w:u w:val="none" w:color="auto"/>
          <w:lang w:val="en-US" w:eastAsia="zh-CN"/>
        </w:rPr>
        <w:t>（12）抓好环境教育和技术培训工作，提高员工素质。</w:t>
      </w:r>
    </w:p>
    <w:p w14:paraId="2C192BBF">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645" w:name="_Toc32711"/>
      <w:bookmarkStart w:id="646" w:name="_Toc25424"/>
      <w:bookmarkStart w:id="647" w:name="_Toc20895"/>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.1.3环境管理</w:t>
      </w:r>
      <w:bookmarkEnd w:id="645"/>
      <w:bookmarkEnd w:id="646"/>
      <w:bookmarkEnd w:id="647"/>
    </w:p>
    <w:p w14:paraId="27AB717E">
      <w:pPr>
        <w:pStyle w:val="144"/>
        <w:ind w:firstLine="480"/>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1、</w:t>
      </w:r>
      <w:r>
        <w:rPr>
          <w:rFonts w:hint="default" w:ascii="Times New Roman" w:hAnsi="Times New Roman" w:cs="Times New Roman"/>
          <w:color w:val="auto"/>
          <w:highlight w:val="none"/>
          <w:u w:val="none" w:color="auto"/>
        </w:rPr>
        <w:t>施工期环境管理</w:t>
      </w:r>
    </w:p>
    <w:p w14:paraId="320F2BC5">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本项目在施工期间应设立相关的环境管理部门，负责环境管理的部门有专人负责日常的环境管理工作，包括国家有关环境保护法律、法规贯彻和执行、“三废”处理的管理、环境保护的宣传和教育、环保管理档案的建立等。除了日常的环境管理工作外，根据本项目的特点，应特别注意如下几点：</w:t>
      </w:r>
    </w:p>
    <w:p w14:paraId="688DF39B">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（1）编制施工期环境保护管理制度并组织实施，制定培训计划。</w:t>
      </w:r>
    </w:p>
    <w:p w14:paraId="7B88C1D8">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（2）将环评报告书、实施方案有关环保措施委托设计、施工单位落实各项环保措施。</w:t>
      </w:r>
    </w:p>
    <w:p w14:paraId="5379264A">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（3）委托有资质的监测单位按照本项目的环境管理计划进行施工期和管理期环境监测。并建立监测档案，对监测单位提供的数据要复查并送交生态环境保护主管部门。</w:t>
      </w:r>
    </w:p>
    <w:p w14:paraId="73C19B6D">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（4）</w:t>
      </w:r>
      <w:r>
        <w:rPr>
          <w:rFonts w:hint="eastAsia" w:cs="Times New Roman"/>
          <w:color w:val="auto"/>
          <w:highlight w:val="none"/>
          <w:u w:val="none" w:color="auto"/>
          <w:lang w:eastAsia="zh-CN"/>
        </w:rPr>
        <w:t>制订</w:t>
      </w:r>
      <w:r>
        <w:rPr>
          <w:rFonts w:hint="default" w:ascii="Times New Roman" w:hAnsi="Times New Roman" w:cs="Times New Roman"/>
          <w:color w:val="auto"/>
          <w:highlight w:val="none"/>
          <w:u w:val="none" w:color="auto"/>
        </w:rPr>
        <w:t>施工计划，合理安排施工时间，加强对噪声源运行时间的管理，减少噪声影响时间，做到夜间不施工。加强对施工机械的管理，避免因为设备性能差而增加机械噪声的现象发生。</w:t>
      </w:r>
    </w:p>
    <w:p w14:paraId="2D7BE100">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5）施工场地的管理。每个施工场地有专人负责监督，对大风天气需要加强管理，防止对施工场地下风向敏感目标造成严重污染的情况发生。料场堆放地、运输车辆等均有专人负责，对不按环境管理要求的行为进行制止和采取相应的补救措施。</w:t>
      </w:r>
    </w:p>
    <w:p w14:paraId="0C317C88">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（6）对开挖土方管理。及时清运，严格计算需要取土的量，对取土和弃土全过程控制；护坡建设要有连贯性，护坡建成后及时进行边坡防护。</w:t>
      </w:r>
    </w:p>
    <w:p w14:paraId="74AF71F2">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（7）制定合理的运输路线。在选择施工场地及运输路线时，避免对河道水质、居民区的影响。</w:t>
      </w:r>
    </w:p>
    <w:p w14:paraId="6182E728">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（8）渗滤液到达渗滤液收集池容积三分之二条件后通过罐车转运至湖南黄金天岳矿业有限公司垂拱洞尾矿库废水处理站；</w:t>
      </w:r>
    </w:p>
    <w:p w14:paraId="2164C009">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（9）开展环境监理，在施工监理的同时委托有能力机构开展项目的环境监理，并编制环境监理报告。</w:t>
      </w:r>
    </w:p>
    <w:p w14:paraId="00DEDFC0">
      <w:pPr>
        <w:pStyle w:val="144"/>
        <w:ind w:firstLine="480"/>
        <w:rPr>
          <w:rFonts w:hint="default" w:ascii="Times New Roman" w:hAnsi="Times New Roman" w:cs="Times New Roman"/>
          <w:color w:val="auto"/>
          <w:highlight w:val="none"/>
          <w:u w:val="none" w:color="auto"/>
        </w:rPr>
      </w:pPr>
      <w:r>
        <w:rPr>
          <w:rFonts w:hint="eastAsia" w:cs="Times New Roman"/>
          <w:color w:val="auto"/>
          <w:highlight w:val="none"/>
          <w:u w:val="none" w:color="auto"/>
          <w:lang w:val="en-US" w:eastAsia="zh-CN"/>
        </w:rPr>
        <w:t>2、</w:t>
      </w:r>
      <w:r>
        <w:rPr>
          <w:rFonts w:hint="default" w:ascii="Times New Roman" w:hAnsi="Times New Roman" w:cs="Times New Roman"/>
          <w:color w:val="auto"/>
          <w:highlight w:val="none"/>
          <w:u w:val="none" w:color="auto"/>
        </w:rPr>
        <w:t>封场后环境管理</w:t>
      </w:r>
    </w:p>
    <w:p w14:paraId="0F5655D9">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项目治理完成后，应由环保部门、建设单位等单位共同参与对建设项目验收，检查环保设施是否达到“三同时”要求。</w:t>
      </w:r>
    </w:p>
    <w:p w14:paraId="7B69E482">
      <w:pPr>
        <w:pStyle w:val="144"/>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为保证本项目各项环保设施正常有效运行和搞好项目所在区域的环境管理工作，建设单位需设立环境管理机构负责填埋场封场后的运维管理、项目环境管理和日常环境监测工作，设置1~2名专职或兼职的环保管理人员。</w:t>
      </w:r>
    </w:p>
    <w:p w14:paraId="286192B8">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eastAsia="zh-CN"/>
        </w:rPr>
      </w:pPr>
      <w:bookmarkStart w:id="648" w:name="_Toc932"/>
      <w:bookmarkStart w:id="649" w:name="_Toc15876"/>
      <w:bookmarkStart w:id="650" w:name="_Toc19213"/>
      <w:bookmarkStart w:id="651" w:name="_Toc24876"/>
      <w:bookmarkStart w:id="652" w:name="_Toc20929"/>
      <w:bookmarkStart w:id="653" w:name="_Toc13257"/>
      <w:bookmarkStart w:id="654" w:name="_Toc26357"/>
      <w:bookmarkStart w:id="655" w:name="_Toc13197"/>
      <w:bookmarkStart w:id="656" w:name="_Toc28182"/>
      <w:bookmarkStart w:id="657" w:name="_Toc14112"/>
      <w:bookmarkStart w:id="658" w:name="_Toc14811"/>
      <w:bookmarkStart w:id="659" w:name="_Toc28775"/>
      <w:bookmarkStart w:id="660" w:name="_Toc16840"/>
      <w:bookmarkStart w:id="661" w:name="_Toc29989"/>
      <w:bookmarkStart w:id="662" w:name="_Toc9182"/>
      <w:bookmarkStart w:id="663" w:name="_Toc21800"/>
      <w:bookmarkStart w:id="664" w:name="_Toc531165152"/>
      <w:r>
        <w:rPr>
          <w:rFonts w:hint="eastAsia" w:ascii="Times New Roman" w:hAnsi="Times New Roman" w:eastAsia="宋体" w:cs="Times New Roman"/>
          <w:color w:val="auto"/>
          <w:sz w:val="30"/>
          <w:szCs w:val="30"/>
          <w:highlight w:val="none"/>
          <w:u w:val="none" w:color="auto"/>
          <w:lang w:val="en-US" w:eastAsia="zh-CN"/>
        </w:rPr>
        <w:t>9</w:t>
      </w:r>
      <w:r>
        <w:rPr>
          <w:rFonts w:hint="default" w:ascii="Times New Roman" w:hAnsi="Times New Roman" w:eastAsia="宋体" w:cs="Times New Roman"/>
          <w:color w:val="auto"/>
          <w:sz w:val="30"/>
          <w:szCs w:val="30"/>
          <w:highlight w:val="none"/>
          <w:u w:val="none" w:color="auto"/>
          <w:lang w:val="en-US"/>
        </w:rPr>
        <w:t>.2</w:t>
      </w:r>
      <w:r>
        <w:rPr>
          <w:rFonts w:hint="eastAsia" w:ascii="Times New Roman" w:hAnsi="Times New Roman" w:eastAsia="宋体" w:cs="Times New Roman"/>
          <w:color w:val="auto"/>
          <w:sz w:val="30"/>
          <w:szCs w:val="30"/>
          <w:highlight w:val="none"/>
          <w:u w:val="none" w:color="auto"/>
          <w:lang w:val="en-US" w:eastAsia="zh-CN"/>
        </w:rPr>
        <w:t>总量控制指标</w:t>
      </w:r>
      <w:bookmarkEnd w:id="648"/>
      <w:bookmarkEnd w:id="649"/>
      <w:bookmarkEnd w:id="650"/>
      <w:bookmarkEnd w:id="651"/>
      <w:bookmarkEnd w:id="652"/>
      <w:bookmarkEnd w:id="653"/>
    </w:p>
    <w:p w14:paraId="49F4EB26">
      <w:pPr>
        <w:topLinePunct w:val="0"/>
        <w:ind w:firstLine="480"/>
        <w:rPr>
          <w:rFonts w:hint="eastAsia"/>
          <w:color w:val="auto"/>
          <w:sz w:val="24"/>
          <w:szCs w:val="24"/>
          <w:u w:val="none" w:color="auto"/>
        </w:rPr>
      </w:pPr>
      <w:r>
        <w:rPr>
          <w:color w:val="auto"/>
          <w:sz w:val="24"/>
          <w:szCs w:val="24"/>
          <w:u w:val="none" w:color="auto"/>
        </w:rPr>
        <w:t>根据</w:t>
      </w:r>
      <w:r>
        <w:rPr>
          <w:rFonts w:hint="eastAsia"/>
          <w:color w:val="auto"/>
          <w:sz w:val="24"/>
          <w:szCs w:val="24"/>
          <w:u w:val="none" w:color="auto"/>
        </w:rPr>
        <w:t>《湖南省主要污染物排污权有偿使用和交易管理办法》（湘政办发〔2022〕23号）</w:t>
      </w:r>
      <w:r>
        <w:rPr>
          <w:color w:val="auto"/>
          <w:sz w:val="24"/>
          <w:szCs w:val="24"/>
          <w:u w:val="none" w:color="auto"/>
        </w:rPr>
        <w:t>要求，</w:t>
      </w:r>
      <w:r>
        <w:rPr>
          <w:rFonts w:hint="eastAsia"/>
          <w:color w:val="auto"/>
          <w:sz w:val="24"/>
          <w:szCs w:val="24"/>
          <w:u w:val="none" w:color="auto"/>
        </w:rPr>
        <w:t>本办法所称的主要污染物，是指化学需氧量、氨氮、二氧化硫、氮氧化物、铅、镉、砷、汞、铬、挥发性有机物、总磷等十一类污染物。</w:t>
      </w:r>
    </w:p>
    <w:p w14:paraId="5B4ADD01">
      <w:pPr>
        <w:pStyle w:val="21"/>
        <w:rPr>
          <w:rFonts w:hint="eastAsia"/>
          <w:sz w:val="24"/>
          <w:szCs w:val="24"/>
          <w:lang w:eastAsia="zh-CN"/>
        </w:rPr>
      </w:pPr>
      <w:r>
        <w:rPr>
          <w:rFonts w:hint="eastAsia"/>
          <w:sz w:val="24"/>
          <w:szCs w:val="24"/>
          <w:lang w:eastAsia="zh-CN"/>
        </w:rPr>
        <w:t>本项目为环境治理土壤修复项目，不属于有效实施的国家固定污染源排污许可分类管理名录的工业类排污单位，本项目无须设置总量控制指标。</w:t>
      </w:r>
    </w:p>
    <w:p w14:paraId="56755F75">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665" w:name="_Toc13132"/>
      <w:bookmarkStart w:id="666" w:name="_Toc3082"/>
      <w:bookmarkStart w:id="667" w:name="_Toc2175"/>
      <w:bookmarkStart w:id="668" w:name="_Toc22125"/>
      <w:bookmarkStart w:id="669" w:name="_Toc181"/>
      <w:bookmarkStart w:id="670" w:name="_Toc5794"/>
      <w:r>
        <w:rPr>
          <w:rFonts w:hint="eastAsia" w:ascii="Times New Roman" w:hAnsi="Times New Roman" w:eastAsia="宋体" w:cs="Times New Roman"/>
          <w:color w:val="auto"/>
          <w:sz w:val="30"/>
          <w:szCs w:val="30"/>
          <w:highlight w:val="none"/>
          <w:u w:val="none" w:color="auto"/>
          <w:lang w:val="en-US" w:eastAsia="zh-CN"/>
        </w:rPr>
        <w:t>9</w:t>
      </w:r>
      <w:r>
        <w:rPr>
          <w:rFonts w:hint="default" w:ascii="Times New Roman" w:hAnsi="Times New Roman" w:eastAsia="宋体" w:cs="Times New Roman"/>
          <w:color w:val="auto"/>
          <w:sz w:val="30"/>
          <w:szCs w:val="30"/>
          <w:highlight w:val="none"/>
          <w:u w:val="none" w:color="auto"/>
          <w:lang w:val="en-US"/>
        </w:rPr>
        <w:t>.</w:t>
      </w:r>
      <w:r>
        <w:rPr>
          <w:rFonts w:hint="eastAsia" w:ascii="Times New Roman" w:hAnsi="Times New Roman" w:eastAsia="宋体" w:cs="Times New Roman"/>
          <w:color w:val="auto"/>
          <w:sz w:val="30"/>
          <w:szCs w:val="30"/>
          <w:highlight w:val="none"/>
          <w:u w:val="none" w:color="auto"/>
          <w:lang w:val="en-US" w:eastAsia="zh-CN"/>
        </w:rPr>
        <w:t>3</w:t>
      </w:r>
      <w:r>
        <w:rPr>
          <w:rFonts w:hint="default" w:ascii="Times New Roman" w:hAnsi="Times New Roman" w:eastAsia="宋体" w:cs="Times New Roman"/>
          <w:color w:val="auto"/>
          <w:sz w:val="30"/>
          <w:szCs w:val="30"/>
          <w:highlight w:val="none"/>
          <w:u w:val="none" w:color="auto"/>
          <w:lang w:val="en-US"/>
        </w:rPr>
        <w:t>环境监测计划</w:t>
      </w:r>
      <w:bookmarkEnd w:id="654"/>
      <w:bookmarkEnd w:id="655"/>
      <w:bookmarkEnd w:id="656"/>
      <w:bookmarkEnd w:id="657"/>
      <w:bookmarkEnd w:id="658"/>
      <w:bookmarkEnd w:id="659"/>
      <w:bookmarkEnd w:id="660"/>
      <w:bookmarkEnd w:id="661"/>
      <w:bookmarkEnd w:id="662"/>
      <w:bookmarkEnd w:id="663"/>
      <w:bookmarkEnd w:id="665"/>
      <w:bookmarkEnd w:id="666"/>
      <w:bookmarkEnd w:id="667"/>
      <w:bookmarkEnd w:id="668"/>
      <w:bookmarkEnd w:id="669"/>
      <w:bookmarkEnd w:id="670"/>
    </w:p>
    <w:bookmarkEnd w:id="664"/>
    <w:p w14:paraId="095E588A">
      <w:pPr>
        <w:ind w:firstLine="480"/>
        <w:jc w:val="left"/>
        <w:rPr>
          <w:rFonts w:hint="default" w:ascii="Times New Roman" w:hAnsi="Times New Roman" w:cs="Times New Roman"/>
          <w:color w:val="auto"/>
          <w:kern w:val="0"/>
          <w:sz w:val="24"/>
          <w:szCs w:val="24"/>
          <w:highlight w:val="none"/>
          <w:u w:val="none" w:color="auto"/>
          <w:lang w:bidi="ar"/>
        </w:rPr>
      </w:pPr>
      <w:bookmarkStart w:id="671" w:name="_Toc10467378"/>
      <w:bookmarkStart w:id="672" w:name="_Toc16817"/>
      <w:bookmarkStart w:id="673" w:name="_Toc531165166"/>
      <w:bookmarkStart w:id="674" w:name="_Toc21569"/>
      <w:r>
        <w:rPr>
          <w:rFonts w:hint="default" w:ascii="Times New Roman" w:hAnsi="Times New Roman" w:cs="Times New Roman"/>
          <w:color w:val="auto"/>
          <w:kern w:val="0"/>
          <w:sz w:val="24"/>
          <w:szCs w:val="24"/>
          <w:highlight w:val="none"/>
          <w:u w:val="none" w:color="auto"/>
          <w:lang w:bidi="ar"/>
        </w:rPr>
        <w:t>环境监测是项目运营期的一项重要的环境保护措施，通过监测计划的实施，可以及时掌握项目的排污状况和变化趋势，以及当时的环境质量状况；通过对监测结果的分析，可以了解项目是否按计划采取了切实可行的环保措施，并根据情况提出相应的补救措施；通过环境监测取得的实测数据，为当地</w:t>
      </w:r>
      <w:r>
        <w:rPr>
          <w:rFonts w:hint="default" w:ascii="Times New Roman" w:hAnsi="Times New Roman" w:cs="Times New Roman"/>
          <w:color w:val="auto"/>
          <w:kern w:val="0"/>
          <w:sz w:val="24"/>
          <w:szCs w:val="24"/>
          <w:highlight w:val="none"/>
          <w:u w:val="none" w:color="auto"/>
          <w:lang w:eastAsia="zh-CN" w:bidi="ar"/>
        </w:rPr>
        <w:t>生态环境主管部门</w:t>
      </w:r>
      <w:r>
        <w:rPr>
          <w:rFonts w:hint="default" w:ascii="Times New Roman" w:hAnsi="Times New Roman" w:cs="Times New Roman"/>
          <w:color w:val="auto"/>
          <w:kern w:val="0"/>
          <w:sz w:val="24"/>
          <w:szCs w:val="24"/>
          <w:highlight w:val="none"/>
          <w:u w:val="none" w:color="auto"/>
          <w:lang w:bidi="ar"/>
        </w:rPr>
        <w:t>提供基础资料，以供执法检查。</w:t>
      </w:r>
    </w:p>
    <w:p w14:paraId="0672B7CA">
      <w:pPr>
        <w:ind w:firstLine="480"/>
        <w:jc w:val="left"/>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bidi="ar"/>
        </w:rPr>
        <w:t>此外，环境监测计划每年应进行回顾评价，通过对比分析，掌握年度变化趋势，以便及时调整计划。</w:t>
      </w:r>
    </w:p>
    <w:p w14:paraId="4CBC2586">
      <w:pPr>
        <w:pStyle w:val="4"/>
        <w:keepNext w:val="0"/>
        <w:keepLines w:val="0"/>
        <w:numPr>
          <w:ilvl w:val="2"/>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eastAsia="zh-CN"/>
        </w:rPr>
      </w:pPr>
      <w:bookmarkStart w:id="675" w:name="_Toc12670"/>
      <w:bookmarkStart w:id="676" w:name="_Toc19053"/>
      <w:bookmarkStart w:id="677" w:name="_Toc11927"/>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3.1</w:t>
      </w:r>
      <w:r>
        <w:rPr>
          <w:rFonts w:hint="default" w:ascii="Times New Roman" w:hAnsi="Times New Roman" w:cs="Times New Roman"/>
          <w:color w:val="auto"/>
          <w:sz w:val="28"/>
          <w:szCs w:val="28"/>
          <w:highlight w:val="none"/>
          <w:u w:val="none" w:color="auto"/>
        </w:rPr>
        <w:t>环境</w:t>
      </w:r>
      <w:r>
        <w:rPr>
          <w:rFonts w:hint="eastAsia" w:ascii="Times New Roman" w:hAnsi="Times New Roman" w:cs="Times New Roman"/>
          <w:color w:val="auto"/>
          <w:sz w:val="28"/>
          <w:szCs w:val="28"/>
          <w:highlight w:val="none"/>
          <w:u w:val="none" w:color="auto"/>
          <w:lang w:eastAsia="zh-CN"/>
        </w:rPr>
        <w:t>监测制度</w:t>
      </w:r>
      <w:bookmarkEnd w:id="675"/>
      <w:bookmarkEnd w:id="676"/>
      <w:bookmarkEnd w:id="677"/>
    </w:p>
    <w:p w14:paraId="31E83924">
      <w:pPr>
        <w:ind w:firstLine="480"/>
        <w:jc w:val="left"/>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bidi="ar"/>
        </w:rPr>
        <w:t>环境监测的目的在于了解和掌握污染状况，一般包括以下几个方面：</w:t>
      </w:r>
    </w:p>
    <w:p w14:paraId="284778C1">
      <w:pPr>
        <w:ind w:firstLine="480"/>
        <w:jc w:val="left"/>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bidi="ar"/>
        </w:rPr>
        <w:t>1）定期监测污染物排放浓度和排放量是否符合国家、省、市和行业规定的排放标准，确保污染物排放总量控制在允许的环境容量内；</w:t>
      </w:r>
    </w:p>
    <w:p w14:paraId="3ED5081E">
      <w:pPr>
        <w:ind w:firstLine="480"/>
        <w:jc w:val="left"/>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bidi="ar"/>
        </w:rPr>
        <w:t>2）分析所排污染物的变化规律和环境影响程度，为控制污染提供依据，加强污染物处理装置的日常维护使用，提高科学管理水平；</w:t>
      </w:r>
    </w:p>
    <w:p w14:paraId="28EBECAF">
      <w:pPr>
        <w:ind w:firstLine="480"/>
        <w:jc w:val="left"/>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bidi="ar"/>
        </w:rPr>
        <w:t>3）协助</w:t>
      </w:r>
      <w:r>
        <w:rPr>
          <w:rFonts w:hint="default" w:ascii="Times New Roman" w:hAnsi="Times New Roman" w:cs="Times New Roman"/>
          <w:color w:val="auto"/>
          <w:kern w:val="0"/>
          <w:sz w:val="24"/>
          <w:szCs w:val="24"/>
          <w:highlight w:val="none"/>
          <w:u w:val="none" w:color="auto"/>
          <w:lang w:val="en-US" w:eastAsia="zh-CN" w:bidi="ar"/>
        </w:rPr>
        <w:t>生态环境主管</w:t>
      </w:r>
      <w:r>
        <w:rPr>
          <w:rFonts w:hint="default" w:ascii="Times New Roman" w:hAnsi="Times New Roman" w:cs="Times New Roman"/>
          <w:color w:val="auto"/>
          <w:kern w:val="0"/>
          <w:sz w:val="24"/>
          <w:szCs w:val="24"/>
          <w:highlight w:val="none"/>
          <w:u w:val="none" w:color="auto"/>
          <w:lang w:bidi="ar"/>
        </w:rPr>
        <w:t>部门对风险事故的监测、分析和报告。</w:t>
      </w:r>
    </w:p>
    <w:p w14:paraId="0CA49AE9">
      <w:pPr>
        <w:pStyle w:val="4"/>
        <w:keepNext w:val="0"/>
        <w:keepLines w:val="0"/>
        <w:numPr>
          <w:ilvl w:val="2"/>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eastAsia="zh-CN"/>
        </w:rPr>
      </w:pPr>
      <w:bookmarkStart w:id="678" w:name="_Toc3002"/>
      <w:bookmarkStart w:id="679" w:name="_Toc29491"/>
      <w:bookmarkStart w:id="680" w:name="_Toc6926"/>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3.2</w:t>
      </w:r>
      <w:r>
        <w:rPr>
          <w:rFonts w:hint="eastAsia" w:ascii="Times New Roman" w:hAnsi="Times New Roman" w:cs="Times New Roman"/>
          <w:color w:val="auto"/>
          <w:sz w:val="28"/>
          <w:szCs w:val="28"/>
          <w:highlight w:val="none"/>
          <w:u w:val="none" w:color="auto"/>
          <w:lang w:eastAsia="zh-CN"/>
        </w:rPr>
        <w:t>环境监测机构设置</w:t>
      </w:r>
      <w:bookmarkEnd w:id="678"/>
      <w:bookmarkEnd w:id="679"/>
      <w:bookmarkEnd w:id="680"/>
    </w:p>
    <w:p w14:paraId="76BA6C3A">
      <w:pPr>
        <w:ind w:firstLine="480"/>
        <w:jc w:val="left"/>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bidi="ar"/>
        </w:rPr>
        <w:t>监测是环境管理的技术手段，以便查清污染物来源、性质、数量和分布的状况。要做到监测数据具有足够的代表性和可比性，必须遵循统一或标准的监测方法和具有一定的技术力量和手段。</w:t>
      </w:r>
      <w:r>
        <w:rPr>
          <w:rFonts w:hint="eastAsia" w:cs="Times New Roman"/>
          <w:color w:val="auto"/>
          <w:kern w:val="0"/>
          <w:sz w:val="24"/>
          <w:szCs w:val="24"/>
          <w:highlight w:val="none"/>
          <w:u w:val="none" w:color="auto"/>
          <w:lang w:eastAsia="zh-CN" w:bidi="ar"/>
        </w:rPr>
        <w:t>本项目</w:t>
      </w:r>
      <w:r>
        <w:rPr>
          <w:rFonts w:hint="default" w:ascii="Times New Roman" w:hAnsi="Times New Roman" w:cs="Times New Roman"/>
          <w:color w:val="auto"/>
          <w:kern w:val="0"/>
          <w:sz w:val="24"/>
          <w:szCs w:val="24"/>
          <w:highlight w:val="none"/>
          <w:u w:val="none" w:color="auto"/>
          <w:lang w:bidi="ar"/>
        </w:rPr>
        <w:t>环境监测建议由业主委托具有资质的第三方</w:t>
      </w:r>
      <w:r>
        <w:rPr>
          <w:rFonts w:hint="default" w:ascii="Times New Roman" w:hAnsi="Times New Roman" w:cs="Times New Roman"/>
          <w:color w:val="auto"/>
          <w:kern w:val="0"/>
          <w:sz w:val="24"/>
          <w:szCs w:val="24"/>
          <w:highlight w:val="none"/>
          <w:u w:val="none" w:color="auto"/>
          <w:lang w:val="en-US" w:eastAsia="zh-CN" w:bidi="ar"/>
        </w:rPr>
        <w:t>监测</w:t>
      </w:r>
      <w:r>
        <w:rPr>
          <w:rFonts w:hint="default" w:ascii="Times New Roman" w:hAnsi="Times New Roman" w:cs="Times New Roman"/>
          <w:color w:val="auto"/>
          <w:kern w:val="0"/>
          <w:sz w:val="24"/>
          <w:szCs w:val="24"/>
          <w:highlight w:val="none"/>
          <w:u w:val="none" w:color="auto"/>
          <w:lang w:bidi="ar"/>
        </w:rPr>
        <w:t>机构承担项目营运期环境监测工作。</w:t>
      </w:r>
    </w:p>
    <w:p w14:paraId="21E60522">
      <w:pPr>
        <w:keepNext w:val="0"/>
        <w:keepLines w:val="0"/>
        <w:pageBreakBefore w:val="0"/>
        <w:widowControl w:val="0"/>
        <w:kinsoku/>
        <w:wordWrap w:val="0"/>
        <w:overflowPunct/>
        <w:topLinePunct/>
        <w:autoSpaceDE/>
        <w:autoSpaceDN/>
        <w:bidi w:val="0"/>
        <w:adjustRightInd/>
        <w:snapToGrid/>
        <w:ind w:firstLine="480"/>
        <w:jc w:val="left"/>
        <w:textAlignment w:val="auto"/>
        <w:rPr>
          <w:rFonts w:hint="default" w:ascii="Times New Roman" w:hAnsi="Times New Roman" w:cs="Times New Roman"/>
          <w:color w:val="auto"/>
          <w:kern w:val="0"/>
          <w:sz w:val="24"/>
          <w:szCs w:val="24"/>
          <w:highlight w:val="none"/>
          <w:u w:val="none" w:color="auto"/>
          <w:lang w:bidi="ar"/>
        </w:rPr>
      </w:pPr>
      <w:r>
        <w:rPr>
          <w:rFonts w:hint="default" w:ascii="Times New Roman" w:hAnsi="Times New Roman" w:cs="Times New Roman"/>
          <w:color w:val="auto"/>
          <w:kern w:val="0"/>
          <w:sz w:val="24"/>
          <w:szCs w:val="24"/>
          <w:highlight w:val="none"/>
          <w:u w:val="none" w:color="auto"/>
          <w:lang w:val="en-US" w:eastAsia="zh-CN" w:bidi="ar"/>
        </w:rPr>
        <w:t>为保证环境监测工作的正常运行，企业应配备专门技术人员1人，负责落实项目的监测工作。待</w:t>
      </w:r>
      <w:r>
        <w:rPr>
          <w:rFonts w:hint="eastAsia" w:cs="Times New Roman"/>
          <w:color w:val="auto"/>
          <w:kern w:val="0"/>
          <w:sz w:val="24"/>
          <w:szCs w:val="24"/>
          <w:highlight w:val="none"/>
          <w:u w:val="none" w:color="auto"/>
          <w:lang w:val="en-US" w:eastAsia="zh-CN" w:bidi="ar"/>
        </w:rPr>
        <w:t>本项目</w:t>
      </w:r>
      <w:r>
        <w:rPr>
          <w:rFonts w:hint="default" w:ascii="Times New Roman" w:hAnsi="Times New Roman" w:cs="Times New Roman"/>
          <w:color w:val="auto"/>
          <w:kern w:val="0"/>
          <w:sz w:val="24"/>
          <w:szCs w:val="24"/>
          <w:highlight w:val="none"/>
          <w:u w:val="none" w:color="auto"/>
          <w:lang w:bidi="ar"/>
        </w:rPr>
        <w:t>建成后，</w:t>
      </w:r>
      <w:r>
        <w:rPr>
          <w:rFonts w:hint="default" w:ascii="Times New Roman" w:hAnsi="Times New Roman" w:cs="Times New Roman"/>
          <w:color w:val="auto"/>
          <w:kern w:val="0"/>
          <w:sz w:val="24"/>
          <w:szCs w:val="24"/>
          <w:highlight w:val="none"/>
          <w:u w:val="none" w:color="auto"/>
          <w:lang w:eastAsia="zh-CN" w:bidi="ar"/>
        </w:rPr>
        <w:t>负责技术人员</w:t>
      </w:r>
      <w:r>
        <w:rPr>
          <w:rFonts w:hint="default" w:ascii="Times New Roman" w:hAnsi="Times New Roman" w:cs="Times New Roman"/>
          <w:color w:val="auto"/>
          <w:kern w:val="0"/>
          <w:sz w:val="24"/>
          <w:szCs w:val="24"/>
          <w:highlight w:val="none"/>
          <w:u w:val="none" w:color="auto"/>
          <w:lang w:bidi="ar"/>
        </w:rPr>
        <w:t>应</w:t>
      </w:r>
      <w:r>
        <w:rPr>
          <w:rFonts w:hint="default" w:ascii="Times New Roman" w:hAnsi="Times New Roman" w:cs="Times New Roman"/>
          <w:color w:val="auto"/>
          <w:kern w:val="0"/>
          <w:sz w:val="24"/>
          <w:szCs w:val="24"/>
          <w:highlight w:val="none"/>
          <w:u w:val="none" w:color="auto"/>
          <w:lang w:val="en-US" w:eastAsia="zh-CN" w:bidi="ar"/>
        </w:rPr>
        <w:t>严格按照本环评提出的自行监测计划，委托第三方监测机构</w:t>
      </w:r>
      <w:r>
        <w:rPr>
          <w:rFonts w:hint="default" w:ascii="Times New Roman" w:hAnsi="Times New Roman" w:cs="Times New Roman"/>
          <w:color w:val="auto"/>
          <w:kern w:val="0"/>
          <w:sz w:val="24"/>
          <w:szCs w:val="24"/>
          <w:highlight w:val="none"/>
          <w:u w:val="none" w:color="auto"/>
          <w:lang w:bidi="ar"/>
        </w:rPr>
        <w:t>定期进行环境</w:t>
      </w:r>
      <w:r>
        <w:rPr>
          <w:rFonts w:hint="default" w:ascii="Times New Roman" w:hAnsi="Times New Roman" w:cs="Times New Roman"/>
          <w:color w:val="auto"/>
          <w:kern w:val="0"/>
          <w:sz w:val="24"/>
          <w:szCs w:val="24"/>
          <w:highlight w:val="none"/>
          <w:u w:val="none" w:color="auto"/>
          <w:lang w:val="en-US" w:eastAsia="zh-CN" w:bidi="ar"/>
        </w:rPr>
        <w:t>质量和</w:t>
      </w:r>
      <w:r>
        <w:rPr>
          <w:rFonts w:hint="default" w:ascii="Times New Roman" w:hAnsi="Times New Roman" w:cs="Times New Roman"/>
          <w:color w:val="auto"/>
          <w:kern w:val="0"/>
          <w:sz w:val="24"/>
          <w:szCs w:val="24"/>
          <w:highlight w:val="none"/>
          <w:u w:val="none" w:color="auto"/>
          <w:lang w:bidi="ar"/>
        </w:rPr>
        <w:t>污染源监测，为环境管理提供依据</w:t>
      </w:r>
      <w:r>
        <w:rPr>
          <w:rFonts w:hint="default" w:ascii="Times New Roman" w:hAnsi="Times New Roman" w:cs="Times New Roman"/>
          <w:color w:val="auto"/>
          <w:kern w:val="0"/>
          <w:sz w:val="24"/>
          <w:szCs w:val="24"/>
          <w:highlight w:val="none"/>
          <w:u w:val="none" w:color="auto"/>
          <w:lang w:eastAsia="zh-CN" w:bidi="ar"/>
        </w:rPr>
        <w:t>。</w:t>
      </w:r>
    </w:p>
    <w:p w14:paraId="45D23A2C">
      <w:pPr>
        <w:pStyle w:val="4"/>
        <w:keepNext w:val="0"/>
        <w:keepLines w:val="0"/>
        <w:numPr>
          <w:ilvl w:val="2"/>
          <w:numId w:val="0"/>
        </w:numPr>
        <w:topLinePunct w:val="0"/>
        <w:spacing w:before="0" w:beforeLines="0" w:after="0" w:afterLines="0" w:line="240" w:lineRule="auto"/>
        <w:rPr>
          <w:rFonts w:hint="eastAsia" w:ascii="Times New Roman" w:hAnsi="Times New Roman" w:eastAsia="宋体" w:cs="Times New Roman"/>
          <w:color w:val="auto"/>
          <w:sz w:val="28"/>
          <w:szCs w:val="28"/>
          <w:highlight w:val="none"/>
          <w:u w:val="none" w:color="auto"/>
          <w:lang w:eastAsia="zh-CN"/>
        </w:rPr>
      </w:pPr>
      <w:bookmarkStart w:id="681" w:name="_Toc9967"/>
      <w:bookmarkStart w:id="682" w:name="_Toc13907"/>
      <w:bookmarkStart w:id="683" w:name="_Toc18980"/>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3.3运营期</w:t>
      </w:r>
      <w:r>
        <w:rPr>
          <w:rFonts w:hint="default" w:ascii="Times New Roman" w:hAnsi="Times New Roman" w:cs="Times New Roman"/>
          <w:color w:val="auto"/>
          <w:sz w:val="28"/>
          <w:szCs w:val="28"/>
          <w:highlight w:val="none"/>
          <w:u w:val="none" w:color="auto"/>
        </w:rPr>
        <w:t>环境</w:t>
      </w:r>
      <w:r>
        <w:rPr>
          <w:rFonts w:hint="eastAsia" w:ascii="Times New Roman" w:hAnsi="Times New Roman" w:cs="Times New Roman"/>
          <w:color w:val="auto"/>
          <w:sz w:val="28"/>
          <w:szCs w:val="28"/>
          <w:highlight w:val="none"/>
          <w:u w:val="none" w:color="auto"/>
          <w:lang w:eastAsia="zh-CN"/>
        </w:rPr>
        <w:t>监测计划</w:t>
      </w:r>
      <w:bookmarkEnd w:id="681"/>
      <w:bookmarkEnd w:id="682"/>
      <w:bookmarkEnd w:id="683"/>
    </w:p>
    <w:p w14:paraId="3EBF078F">
      <w:pPr>
        <w:widowControl w:val="0"/>
        <w:ind w:firstLine="480"/>
        <w:jc w:val="left"/>
        <w:rPr>
          <w:rFonts w:hint="eastAsia" w:ascii="Times New Roman" w:hAnsi="Times New Roman" w:eastAsia="宋体" w:cs="Times New Roman"/>
          <w:color w:val="auto"/>
          <w:sz w:val="24"/>
          <w:szCs w:val="24"/>
          <w:highlight w:val="none"/>
          <w:u w:val="none" w:color="auto"/>
          <w:lang w:val="en-US" w:eastAsia="zh-CN"/>
        </w:rPr>
      </w:pPr>
      <w:r>
        <w:rPr>
          <w:rFonts w:hint="eastAsia" w:cs="Times New Roman"/>
          <w:color w:val="auto"/>
          <w:kern w:val="0"/>
          <w:sz w:val="24"/>
          <w:szCs w:val="24"/>
          <w:highlight w:val="none"/>
          <w:u w:val="none" w:color="auto"/>
          <w:lang w:eastAsia="zh-CN" w:bidi="ar"/>
        </w:rPr>
        <w:t>本项目</w:t>
      </w:r>
      <w:r>
        <w:rPr>
          <w:rFonts w:hint="default" w:ascii="Times New Roman" w:hAnsi="Times New Roman" w:cs="Times New Roman"/>
          <w:color w:val="auto"/>
          <w:kern w:val="0"/>
          <w:sz w:val="24"/>
          <w:szCs w:val="24"/>
          <w:highlight w:val="none"/>
          <w:u w:val="none" w:color="auto"/>
          <w:lang w:bidi="ar"/>
        </w:rPr>
        <w:t>环境监测计划包括污染源监测计划和环境质量监测计划，监测计划</w:t>
      </w:r>
      <w:r>
        <w:rPr>
          <w:rFonts w:hint="eastAsia" w:ascii="Times New Roman" w:hAnsi="Times New Roman" w:cs="Times New Roman"/>
          <w:color w:val="auto"/>
          <w:kern w:val="0"/>
          <w:sz w:val="24"/>
          <w:szCs w:val="24"/>
          <w:highlight w:val="none"/>
          <w:u w:val="none" w:color="auto"/>
          <w:lang w:eastAsia="zh-CN" w:bidi="ar"/>
        </w:rPr>
        <w:t>依据《建设项目环境影响评价技术导则  总纲》（HJ2.1-2016）、《一般工业固体废物贮存和填埋污染控制标准》（GB18599-2020）和《排污单位自行监测技术指南  工业固体废物和危险废物治理》（HJ1250-2022）</w:t>
      </w:r>
      <w:r>
        <w:rPr>
          <w:rFonts w:hint="default" w:ascii="Times New Roman" w:hAnsi="Times New Roman" w:eastAsia="宋体" w:cs="Times New Roman"/>
          <w:color w:val="auto"/>
          <w:sz w:val="24"/>
          <w:szCs w:val="24"/>
          <w:highlight w:val="none"/>
          <w:u w:val="none" w:color="auto"/>
        </w:rPr>
        <w:t>及相关技术导则</w:t>
      </w:r>
      <w:r>
        <w:rPr>
          <w:rFonts w:hint="eastAsia" w:ascii="Times New Roman" w:hAnsi="Times New Roman" w:cs="Times New Roman"/>
          <w:color w:val="auto"/>
          <w:kern w:val="0"/>
          <w:sz w:val="24"/>
          <w:szCs w:val="24"/>
          <w:highlight w:val="none"/>
          <w:u w:val="none" w:color="auto"/>
          <w:lang w:eastAsia="zh-CN" w:bidi="ar"/>
        </w:rPr>
        <w:t>要求</w:t>
      </w:r>
      <w:r>
        <w:rPr>
          <w:rFonts w:hint="eastAsia" w:ascii="Times New Roman" w:hAnsi="Times New Roman" w:cs="Times New Roman"/>
          <w:color w:val="auto"/>
          <w:sz w:val="24"/>
          <w:szCs w:val="24"/>
          <w:highlight w:val="none"/>
          <w:u w:val="none" w:color="auto"/>
          <w:lang w:eastAsia="zh-CN"/>
        </w:rPr>
        <w:t>制定</w:t>
      </w:r>
      <w:r>
        <w:rPr>
          <w:rFonts w:hint="default" w:ascii="Times New Roman" w:hAnsi="Times New Roman" w:cs="Times New Roman"/>
          <w:color w:val="auto"/>
          <w:kern w:val="0"/>
          <w:sz w:val="24"/>
          <w:szCs w:val="24"/>
          <w:highlight w:val="none"/>
          <w:u w:val="none" w:color="auto"/>
          <w:lang w:bidi="ar"/>
        </w:rPr>
        <w:t>。</w:t>
      </w:r>
    </w:p>
    <w:p w14:paraId="2EEE82F5">
      <w:pPr>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kern w:val="0"/>
          <w:sz w:val="24"/>
          <w:szCs w:val="24"/>
          <w:highlight w:val="none"/>
          <w:u w:val="none" w:color="auto"/>
          <w:lang w:bidi="ar"/>
        </w:rPr>
        <w:t xml:space="preserve">（1）污染源监测计划 </w:t>
      </w:r>
    </w:p>
    <w:p w14:paraId="386CEF6A">
      <w:pPr>
        <w:ind w:firstLine="480"/>
        <w:jc w:val="left"/>
        <w:rPr>
          <w:rFonts w:hint="default" w:ascii="Times New Roman" w:hAnsi="Times New Roman" w:cs="Times New Roman"/>
          <w:color w:val="auto"/>
          <w:kern w:val="0"/>
          <w:sz w:val="24"/>
          <w:szCs w:val="24"/>
          <w:highlight w:val="none"/>
          <w:u w:val="none" w:color="auto"/>
          <w:lang w:bidi="ar"/>
        </w:rPr>
      </w:pPr>
      <w:r>
        <w:rPr>
          <w:rFonts w:hint="eastAsia" w:cs="Times New Roman"/>
          <w:color w:val="auto"/>
          <w:kern w:val="0"/>
          <w:sz w:val="24"/>
          <w:szCs w:val="24"/>
          <w:highlight w:val="none"/>
          <w:u w:val="none" w:color="auto"/>
          <w:lang w:eastAsia="zh-CN" w:bidi="ar"/>
        </w:rPr>
        <w:t>本项目</w:t>
      </w:r>
      <w:r>
        <w:rPr>
          <w:rFonts w:hint="eastAsia" w:ascii="Times New Roman" w:hAnsi="Times New Roman" w:cs="Times New Roman"/>
          <w:color w:val="auto"/>
          <w:kern w:val="0"/>
          <w:sz w:val="24"/>
          <w:szCs w:val="24"/>
          <w:highlight w:val="none"/>
          <w:u w:val="none" w:color="auto"/>
          <w:lang w:val="en-US" w:eastAsia="zh-CN" w:bidi="ar"/>
        </w:rPr>
        <w:t>监测计划见表</w:t>
      </w:r>
      <w:r>
        <w:rPr>
          <w:rFonts w:hint="eastAsia" w:cs="Times New Roman"/>
          <w:color w:val="auto"/>
          <w:kern w:val="0"/>
          <w:sz w:val="24"/>
          <w:szCs w:val="24"/>
          <w:highlight w:val="none"/>
          <w:u w:val="none" w:color="auto"/>
          <w:lang w:val="en-US" w:eastAsia="zh-CN" w:bidi="ar"/>
        </w:rPr>
        <w:t>9</w:t>
      </w:r>
      <w:r>
        <w:rPr>
          <w:rFonts w:hint="eastAsia" w:ascii="Times New Roman" w:hAnsi="Times New Roman" w:cs="Times New Roman"/>
          <w:color w:val="auto"/>
          <w:kern w:val="0"/>
          <w:sz w:val="24"/>
          <w:szCs w:val="24"/>
          <w:highlight w:val="none"/>
          <w:u w:val="none" w:color="auto"/>
          <w:lang w:val="en-US" w:eastAsia="zh-CN" w:bidi="ar"/>
        </w:rPr>
        <w:t>.3-1</w:t>
      </w:r>
      <w:r>
        <w:rPr>
          <w:rFonts w:hint="default" w:ascii="Times New Roman" w:hAnsi="Times New Roman" w:cs="Times New Roman"/>
          <w:color w:val="auto"/>
          <w:kern w:val="0"/>
          <w:sz w:val="24"/>
          <w:szCs w:val="24"/>
          <w:highlight w:val="none"/>
          <w:u w:val="none" w:color="auto"/>
          <w:lang w:bidi="ar"/>
        </w:rPr>
        <w:t>。</w:t>
      </w:r>
    </w:p>
    <w:p w14:paraId="789FE015">
      <w:pPr>
        <w:pStyle w:val="146"/>
        <w:numPr>
          <w:ilvl w:val="0"/>
          <w:numId w:val="0"/>
        </w:numP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w:t>
      </w:r>
      <w:r>
        <w:rPr>
          <w:rFonts w:hint="eastAsia" w:cs="Times New Roman"/>
          <w:color w:val="auto"/>
          <w:sz w:val="21"/>
          <w:szCs w:val="21"/>
          <w:highlight w:val="none"/>
          <w:u w:val="none" w:color="auto"/>
          <w:lang w:val="en-US" w:eastAsia="zh-CN"/>
        </w:rPr>
        <w:t>9</w:t>
      </w:r>
      <w:r>
        <w:rPr>
          <w:rFonts w:hint="default" w:ascii="Times New Roman" w:hAnsi="Times New Roman" w:cs="Times New Roman"/>
          <w:color w:val="auto"/>
          <w:sz w:val="21"/>
          <w:szCs w:val="21"/>
          <w:highlight w:val="none"/>
          <w:u w:val="none" w:color="auto"/>
        </w:rPr>
        <w:t>.</w:t>
      </w:r>
      <w:r>
        <w:rPr>
          <w:rFonts w:hint="eastAsia" w:ascii="Times New Roman" w:hAnsi="Times New Roman" w:cs="Times New Roman"/>
          <w:color w:val="auto"/>
          <w:sz w:val="21"/>
          <w:szCs w:val="21"/>
          <w:highlight w:val="none"/>
          <w:u w:val="none" w:color="auto"/>
          <w:lang w:val="en-US" w:eastAsia="zh-CN"/>
        </w:rPr>
        <w:t>3</w:t>
      </w:r>
      <w:r>
        <w:rPr>
          <w:rFonts w:hint="default" w:ascii="Times New Roman" w:hAnsi="Times New Roman" w:cs="Times New Roman"/>
          <w:color w:val="auto"/>
          <w:sz w:val="21"/>
          <w:szCs w:val="21"/>
          <w:highlight w:val="none"/>
          <w:u w:val="none" w:color="auto"/>
        </w:rPr>
        <w:t xml:space="preserve">-1  </w:t>
      </w:r>
      <w:r>
        <w:rPr>
          <w:rFonts w:hint="eastAsia" w:cs="Times New Roman"/>
          <w:color w:val="auto"/>
          <w:sz w:val="21"/>
          <w:szCs w:val="21"/>
          <w:highlight w:val="none"/>
          <w:u w:val="none" w:color="auto"/>
          <w:lang w:eastAsia="zh-CN"/>
        </w:rPr>
        <w:t>本项目</w:t>
      </w:r>
      <w:r>
        <w:rPr>
          <w:rFonts w:hint="eastAsia" w:ascii="Times New Roman" w:hAnsi="Times New Roman" w:cs="Times New Roman"/>
          <w:color w:val="auto"/>
          <w:sz w:val="21"/>
          <w:szCs w:val="21"/>
          <w:highlight w:val="none"/>
          <w:u w:val="none" w:color="auto"/>
          <w:lang w:val="en-US" w:eastAsia="zh-CN"/>
        </w:rPr>
        <w:t>污染源</w:t>
      </w:r>
      <w:r>
        <w:rPr>
          <w:rFonts w:hint="default" w:ascii="Times New Roman" w:hAnsi="Times New Roman" w:cs="Times New Roman"/>
          <w:color w:val="auto"/>
          <w:sz w:val="21"/>
          <w:szCs w:val="21"/>
          <w:highlight w:val="none"/>
          <w:u w:val="none" w:color="auto"/>
        </w:rPr>
        <w:t>监测计划</w:t>
      </w:r>
    </w:p>
    <w:bookmarkEnd w:id="671"/>
    <w:bookmarkEnd w:id="672"/>
    <w:bookmarkEnd w:id="673"/>
    <w:bookmarkEnd w:id="674"/>
    <w:tbl>
      <w:tblPr>
        <w:tblStyle w:val="111"/>
        <w:tblW w:w="9284" w:type="dxa"/>
        <w:tblInd w:w="1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895"/>
        <w:gridCol w:w="1145"/>
        <w:gridCol w:w="1817"/>
        <w:gridCol w:w="3550"/>
        <w:gridCol w:w="1877"/>
      </w:tblGrid>
      <w:tr w14:paraId="11FE24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tcBorders>
              <w:tl2br w:val="nil"/>
              <w:tr2bl w:val="nil"/>
            </w:tcBorders>
            <w:vAlign w:val="center"/>
          </w:tcPr>
          <w:p w14:paraId="40CCD5C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bookmarkStart w:id="684" w:name="_Toc531165168"/>
            <w:r>
              <w:rPr>
                <w:b/>
                <w:bCs/>
                <w:spacing w:val="5"/>
              </w:rPr>
              <w:t>监测期</w:t>
            </w:r>
          </w:p>
        </w:tc>
        <w:tc>
          <w:tcPr>
            <w:tcW w:w="1145" w:type="dxa"/>
            <w:tcBorders>
              <w:tl2br w:val="nil"/>
              <w:tr2bl w:val="nil"/>
            </w:tcBorders>
            <w:vAlign w:val="center"/>
          </w:tcPr>
          <w:p w14:paraId="550562F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环境要素</w:t>
            </w:r>
          </w:p>
        </w:tc>
        <w:tc>
          <w:tcPr>
            <w:tcW w:w="1817" w:type="dxa"/>
            <w:tcBorders>
              <w:tl2br w:val="nil"/>
              <w:tr2bl w:val="nil"/>
            </w:tcBorders>
            <w:vAlign w:val="center"/>
          </w:tcPr>
          <w:p w14:paraId="6CB7857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监测点位</w:t>
            </w:r>
          </w:p>
        </w:tc>
        <w:tc>
          <w:tcPr>
            <w:tcW w:w="3550" w:type="dxa"/>
            <w:tcBorders>
              <w:tl2br w:val="nil"/>
              <w:tr2bl w:val="nil"/>
            </w:tcBorders>
            <w:vAlign w:val="center"/>
          </w:tcPr>
          <w:p w14:paraId="4E51751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监测因子</w:t>
            </w:r>
          </w:p>
        </w:tc>
        <w:tc>
          <w:tcPr>
            <w:tcW w:w="1877" w:type="dxa"/>
            <w:tcBorders>
              <w:tl2br w:val="nil"/>
              <w:tr2bl w:val="nil"/>
            </w:tcBorders>
            <w:vAlign w:val="center"/>
          </w:tcPr>
          <w:p w14:paraId="3102F7C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监测频率</w:t>
            </w:r>
          </w:p>
        </w:tc>
      </w:tr>
      <w:tr w14:paraId="06DBC6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restart"/>
            <w:tcBorders>
              <w:tl2br w:val="nil"/>
              <w:tr2bl w:val="nil"/>
            </w:tcBorders>
            <w:vAlign w:val="center"/>
          </w:tcPr>
          <w:p w14:paraId="0DF0CBE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施工期</w:t>
            </w:r>
          </w:p>
        </w:tc>
        <w:tc>
          <w:tcPr>
            <w:tcW w:w="1145" w:type="dxa"/>
            <w:tcBorders>
              <w:tl2br w:val="nil"/>
              <w:tr2bl w:val="nil"/>
            </w:tcBorders>
            <w:vAlign w:val="center"/>
          </w:tcPr>
          <w:p w14:paraId="6FE2DC8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废气</w:t>
            </w:r>
          </w:p>
        </w:tc>
        <w:tc>
          <w:tcPr>
            <w:tcW w:w="1817" w:type="dxa"/>
            <w:tcBorders>
              <w:tl2br w:val="nil"/>
              <w:tr2bl w:val="nil"/>
            </w:tcBorders>
            <w:vAlign w:val="center"/>
          </w:tcPr>
          <w:p w14:paraId="247B3D8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厂界</w:t>
            </w:r>
          </w:p>
        </w:tc>
        <w:tc>
          <w:tcPr>
            <w:tcW w:w="3550" w:type="dxa"/>
            <w:tcBorders>
              <w:tl2br w:val="nil"/>
              <w:tr2bl w:val="nil"/>
            </w:tcBorders>
            <w:vAlign w:val="center"/>
          </w:tcPr>
          <w:p w14:paraId="46B7C3F3">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TSP</w:t>
            </w:r>
          </w:p>
        </w:tc>
        <w:tc>
          <w:tcPr>
            <w:tcW w:w="1877" w:type="dxa"/>
            <w:tcBorders>
              <w:tl2br w:val="nil"/>
              <w:tr2bl w:val="nil"/>
            </w:tcBorders>
            <w:vAlign w:val="center"/>
          </w:tcPr>
          <w:p w14:paraId="4E066AA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t>每季度</w:t>
            </w:r>
            <w:r>
              <w:rPr>
                <w:rFonts w:ascii="Times New Roman" w:hAnsi="Times New Roman" w:eastAsia="Times New Roman" w:cs="Times New Roman"/>
              </w:rPr>
              <w:t>1</w:t>
            </w:r>
            <w:r>
              <w:t>次</w:t>
            </w:r>
          </w:p>
        </w:tc>
      </w:tr>
      <w:tr w14:paraId="38FE6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continue"/>
            <w:tcBorders>
              <w:tl2br w:val="nil"/>
              <w:tr2bl w:val="nil"/>
            </w:tcBorders>
            <w:vAlign w:val="center"/>
          </w:tcPr>
          <w:p w14:paraId="0190DAC2">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45" w:type="dxa"/>
            <w:tcBorders>
              <w:tl2br w:val="nil"/>
              <w:tr2bl w:val="nil"/>
            </w:tcBorders>
            <w:vAlign w:val="center"/>
          </w:tcPr>
          <w:p w14:paraId="651A56A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地下水</w:t>
            </w:r>
          </w:p>
        </w:tc>
        <w:tc>
          <w:tcPr>
            <w:tcW w:w="1817" w:type="dxa"/>
            <w:tcBorders>
              <w:tl2br w:val="nil"/>
              <w:tr2bl w:val="nil"/>
            </w:tcBorders>
            <w:vAlign w:val="center"/>
          </w:tcPr>
          <w:p w14:paraId="25728BD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区域设置的地下水监</w:t>
            </w:r>
            <w:r>
              <w:rPr>
                <w:spacing w:val="4"/>
              </w:rPr>
              <w:t>测井</w:t>
            </w:r>
          </w:p>
        </w:tc>
        <w:tc>
          <w:tcPr>
            <w:tcW w:w="3550" w:type="dxa"/>
            <w:tcBorders>
              <w:tl2br w:val="nil"/>
              <w:tr2bl w:val="nil"/>
            </w:tcBorders>
            <w:vAlign w:val="center"/>
          </w:tcPr>
          <w:p w14:paraId="75E519D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水位、</w:t>
            </w:r>
            <w:r>
              <w:rPr>
                <w:rFonts w:ascii="Times New Roman" w:hAnsi="Times New Roman" w:eastAsia="Times New Roman" w:cs="Times New Roman"/>
                <w:spacing w:val="-4"/>
              </w:rPr>
              <w:t>pH</w:t>
            </w:r>
            <w:r>
              <w:rPr>
                <w:spacing w:val="-4"/>
              </w:rPr>
              <w:t>、砷、镍、铅、镉、</w:t>
            </w:r>
            <w:r>
              <w:rPr>
                <w:spacing w:val="-1"/>
              </w:rPr>
              <w:t>总铬、铬（六价）、汞、铜、</w:t>
            </w:r>
            <w:r>
              <w:rPr>
                <w:spacing w:val="8"/>
              </w:rPr>
              <w:t>锌、氰化物、浑浊度、溶解性总固体、氯化物、硝酸盐</w:t>
            </w:r>
            <w:r>
              <w:rPr>
                <w:spacing w:val="-8"/>
              </w:rPr>
              <w:t>（以</w:t>
            </w:r>
            <w:r>
              <w:rPr>
                <w:rFonts w:ascii="Times New Roman" w:hAnsi="Times New Roman" w:eastAsia="Times New Roman" w:cs="Times New Roman"/>
                <w:spacing w:val="-8"/>
              </w:rPr>
              <w:t>N</w:t>
            </w:r>
            <w:r>
              <w:rPr>
                <w:spacing w:val="-8"/>
              </w:rPr>
              <w:t>计）、亚硝酸盐（以</w:t>
            </w:r>
            <w:r>
              <w:rPr>
                <w:rFonts w:ascii="Times New Roman" w:hAnsi="Times New Roman" w:eastAsia="Times New Roman" w:cs="Times New Roman"/>
                <w:spacing w:val="-8"/>
              </w:rPr>
              <w:t>N</w:t>
            </w:r>
            <w:r>
              <w:rPr>
                <w:spacing w:val="7"/>
              </w:rPr>
              <w:t>计）等</w:t>
            </w:r>
          </w:p>
        </w:tc>
        <w:tc>
          <w:tcPr>
            <w:tcW w:w="1877" w:type="dxa"/>
            <w:tcBorders>
              <w:tl2br w:val="nil"/>
              <w:tr2bl w:val="nil"/>
            </w:tcBorders>
            <w:vAlign w:val="center"/>
          </w:tcPr>
          <w:p w14:paraId="7A5557F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t>每季度</w:t>
            </w:r>
            <w:r>
              <w:rPr>
                <w:rFonts w:ascii="Times New Roman" w:hAnsi="Times New Roman" w:eastAsia="Times New Roman" w:cs="Times New Roman"/>
              </w:rPr>
              <w:t>1</w:t>
            </w:r>
            <w:r>
              <w:t>次</w:t>
            </w:r>
          </w:p>
        </w:tc>
      </w:tr>
      <w:tr w14:paraId="60B45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continue"/>
            <w:tcBorders>
              <w:tl2br w:val="nil"/>
              <w:tr2bl w:val="nil"/>
            </w:tcBorders>
            <w:vAlign w:val="center"/>
          </w:tcPr>
          <w:p w14:paraId="3C46F6E3">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45" w:type="dxa"/>
            <w:tcBorders>
              <w:tl2br w:val="nil"/>
              <w:tr2bl w:val="nil"/>
            </w:tcBorders>
            <w:vAlign w:val="center"/>
          </w:tcPr>
          <w:p w14:paraId="5BA117E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地表水</w:t>
            </w:r>
          </w:p>
        </w:tc>
        <w:tc>
          <w:tcPr>
            <w:tcW w:w="1817" w:type="dxa"/>
            <w:tcBorders>
              <w:tl2br w:val="nil"/>
              <w:tr2bl w:val="nil"/>
            </w:tcBorders>
            <w:vAlign w:val="center"/>
          </w:tcPr>
          <w:p w14:paraId="29B23D2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2"/>
              </w:rPr>
              <w:t>山涧小溪</w:t>
            </w:r>
          </w:p>
        </w:tc>
        <w:tc>
          <w:tcPr>
            <w:tcW w:w="3550" w:type="dxa"/>
            <w:tcBorders>
              <w:tl2br w:val="nil"/>
              <w:tr2bl w:val="nil"/>
            </w:tcBorders>
            <w:vAlign w:val="center"/>
          </w:tcPr>
          <w:p w14:paraId="5296E5E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spacing w:val="-3"/>
              </w:rPr>
              <w:t>pH</w:t>
            </w:r>
            <w:r>
              <w:rPr>
                <w:spacing w:val="-3"/>
              </w:rPr>
              <w:t>、砷、镍、铅、镉、总铬、</w:t>
            </w:r>
            <w:r>
              <w:rPr>
                <w:spacing w:val="8"/>
              </w:rPr>
              <w:t>铬（六价）、汞、铜、锌、</w:t>
            </w:r>
            <w:r>
              <w:rPr>
                <w:spacing w:val="7"/>
              </w:rPr>
              <w:t>氰化物等</w:t>
            </w:r>
          </w:p>
        </w:tc>
        <w:tc>
          <w:tcPr>
            <w:tcW w:w="1877" w:type="dxa"/>
            <w:tcBorders>
              <w:tl2br w:val="nil"/>
              <w:tr2bl w:val="nil"/>
            </w:tcBorders>
            <w:vAlign w:val="center"/>
          </w:tcPr>
          <w:p w14:paraId="78D8768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t>每季度</w:t>
            </w:r>
            <w:r>
              <w:rPr>
                <w:rFonts w:ascii="Times New Roman" w:hAnsi="Times New Roman" w:eastAsia="Times New Roman" w:cs="Times New Roman"/>
              </w:rPr>
              <w:t>1</w:t>
            </w:r>
            <w:r>
              <w:t>次</w:t>
            </w:r>
          </w:p>
        </w:tc>
      </w:tr>
      <w:tr w14:paraId="7596C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continue"/>
            <w:tcBorders>
              <w:tl2br w:val="nil"/>
              <w:tr2bl w:val="nil"/>
            </w:tcBorders>
            <w:vAlign w:val="center"/>
          </w:tcPr>
          <w:p w14:paraId="248B393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45" w:type="dxa"/>
            <w:tcBorders>
              <w:tl2br w:val="nil"/>
              <w:tr2bl w:val="nil"/>
            </w:tcBorders>
            <w:vAlign w:val="center"/>
          </w:tcPr>
          <w:p w14:paraId="6C51289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噪声</w:t>
            </w:r>
          </w:p>
        </w:tc>
        <w:tc>
          <w:tcPr>
            <w:tcW w:w="1817" w:type="dxa"/>
            <w:tcBorders>
              <w:tl2br w:val="nil"/>
              <w:tr2bl w:val="nil"/>
            </w:tcBorders>
            <w:vAlign w:val="center"/>
          </w:tcPr>
          <w:p w14:paraId="55B4432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厂界</w:t>
            </w:r>
          </w:p>
        </w:tc>
        <w:tc>
          <w:tcPr>
            <w:tcW w:w="3550" w:type="dxa"/>
            <w:tcBorders>
              <w:tl2br w:val="nil"/>
              <w:tr2bl w:val="nil"/>
            </w:tcBorders>
            <w:vAlign w:val="center"/>
          </w:tcPr>
          <w:p w14:paraId="3BE3137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等效</w:t>
            </w:r>
            <w:r>
              <w:rPr>
                <w:rFonts w:ascii="Times New Roman" w:hAnsi="Times New Roman" w:eastAsia="Times New Roman" w:cs="Times New Roman"/>
                <w:spacing w:val="3"/>
              </w:rPr>
              <w:t>A</w:t>
            </w:r>
            <w:r>
              <w:rPr>
                <w:spacing w:val="3"/>
              </w:rPr>
              <w:t>声级</w:t>
            </w:r>
          </w:p>
        </w:tc>
        <w:tc>
          <w:tcPr>
            <w:tcW w:w="1877" w:type="dxa"/>
            <w:tcBorders>
              <w:tl2br w:val="nil"/>
              <w:tr2bl w:val="nil"/>
            </w:tcBorders>
            <w:vAlign w:val="center"/>
          </w:tcPr>
          <w:p w14:paraId="15C6D9D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t>每季度</w:t>
            </w:r>
            <w:r>
              <w:rPr>
                <w:rFonts w:ascii="Times New Roman" w:hAnsi="Times New Roman" w:eastAsia="Times New Roman" w:cs="Times New Roman"/>
              </w:rPr>
              <w:t>1</w:t>
            </w:r>
            <w:r>
              <w:t>次</w:t>
            </w:r>
          </w:p>
        </w:tc>
      </w:tr>
      <w:tr w14:paraId="45F6B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restart"/>
            <w:tcBorders>
              <w:tl2br w:val="nil"/>
              <w:tr2bl w:val="nil"/>
            </w:tcBorders>
            <w:vAlign w:val="center"/>
          </w:tcPr>
          <w:p w14:paraId="405A37B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封场后</w:t>
            </w:r>
          </w:p>
        </w:tc>
        <w:tc>
          <w:tcPr>
            <w:tcW w:w="1145" w:type="dxa"/>
            <w:tcBorders>
              <w:tl2br w:val="nil"/>
              <w:tr2bl w:val="nil"/>
            </w:tcBorders>
            <w:vAlign w:val="center"/>
          </w:tcPr>
          <w:p w14:paraId="52818FB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地下水</w:t>
            </w:r>
          </w:p>
        </w:tc>
        <w:tc>
          <w:tcPr>
            <w:tcW w:w="1817" w:type="dxa"/>
            <w:tcBorders>
              <w:tl2br w:val="nil"/>
              <w:tr2bl w:val="nil"/>
            </w:tcBorders>
            <w:vAlign w:val="center"/>
          </w:tcPr>
          <w:p w14:paraId="40FE5FD1">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区域设置的地下水监</w:t>
            </w:r>
            <w:r>
              <w:rPr>
                <w:spacing w:val="4"/>
              </w:rPr>
              <w:t>测井</w:t>
            </w:r>
          </w:p>
        </w:tc>
        <w:tc>
          <w:tcPr>
            <w:tcW w:w="3550" w:type="dxa"/>
            <w:tcBorders>
              <w:tl2br w:val="nil"/>
              <w:tr2bl w:val="nil"/>
            </w:tcBorders>
            <w:vAlign w:val="center"/>
          </w:tcPr>
          <w:p w14:paraId="5F9ADD67">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水位、</w:t>
            </w:r>
            <w:r>
              <w:rPr>
                <w:rFonts w:ascii="Times New Roman" w:hAnsi="Times New Roman" w:eastAsia="Times New Roman" w:cs="Times New Roman"/>
                <w:spacing w:val="-4"/>
              </w:rPr>
              <w:t>pH</w:t>
            </w:r>
            <w:r>
              <w:rPr>
                <w:spacing w:val="-4"/>
              </w:rPr>
              <w:t>、砷、镍、铅、镉、</w:t>
            </w:r>
            <w:r>
              <w:rPr>
                <w:spacing w:val="-1"/>
              </w:rPr>
              <w:t>总铬、铬（六价）、汞、铜、</w:t>
            </w:r>
            <w:r>
              <w:rPr>
                <w:spacing w:val="8"/>
              </w:rPr>
              <w:t>锌、氰化物、浑浊度、溶解性总固体、氯化物、硝酸盐</w:t>
            </w:r>
            <w:r>
              <w:rPr>
                <w:spacing w:val="-8"/>
              </w:rPr>
              <w:t>（以</w:t>
            </w:r>
            <w:r>
              <w:rPr>
                <w:rFonts w:ascii="Times New Roman" w:hAnsi="Times New Roman" w:eastAsia="Times New Roman" w:cs="Times New Roman"/>
                <w:spacing w:val="-8"/>
              </w:rPr>
              <w:t>N</w:t>
            </w:r>
            <w:r>
              <w:rPr>
                <w:spacing w:val="-8"/>
              </w:rPr>
              <w:t>计）、亚硝酸盐（以</w:t>
            </w:r>
            <w:r>
              <w:rPr>
                <w:rFonts w:ascii="Times New Roman" w:hAnsi="Times New Roman" w:eastAsia="Times New Roman" w:cs="Times New Roman"/>
                <w:spacing w:val="-8"/>
              </w:rPr>
              <w:t>N</w:t>
            </w:r>
            <w:r>
              <w:rPr>
                <w:spacing w:val="7"/>
              </w:rPr>
              <w:t>计）等</w:t>
            </w:r>
          </w:p>
        </w:tc>
        <w:tc>
          <w:tcPr>
            <w:tcW w:w="1877" w:type="dxa"/>
            <w:tcBorders>
              <w:tl2br w:val="nil"/>
              <w:tr2bl w:val="nil"/>
            </w:tcBorders>
            <w:vAlign w:val="center"/>
          </w:tcPr>
          <w:p w14:paraId="08A20AF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封场后，每半年一次，直至地下水水质连续两年不超出地下水本</w:t>
            </w:r>
            <w:r>
              <w:rPr>
                <w:spacing w:val="7"/>
              </w:rPr>
              <w:t>底水平</w:t>
            </w:r>
          </w:p>
        </w:tc>
      </w:tr>
      <w:tr w14:paraId="1944D2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continue"/>
            <w:tcBorders>
              <w:tl2br w:val="nil"/>
              <w:tr2bl w:val="nil"/>
            </w:tcBorders>
            <w:vAlign w:val="center"/>
          </w:tcPr>
          <w:p w14:paraId="2E15D911">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45" w:type="dxa"/>
            <w:tcBorders>
              <w:tl2br w:val="nil"/>
              <w:tr2bl w:val="nil"/>
            </w:tcBorders>
            <w:vAlign w:val="center"/>
          </w:tcPr>
          <w:p w14:paraId="4B3F328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废水</w:t>
            </w:r>
          </w:p>
        </w:tc>
        <w:tc>
          <w:tcPr>
            <w:tcW w:w="1817" w:type="dxa"/>
            <w:tcBorders>
              <w:tl2br w:val="nil"/>
              <w:tr2bl w:val="nil"/>
            </w:tcBorders>
            <w:vAlign w:val="center"/>
          </w:tcPr>
          <w:p w14:paraId="0F7782A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渗滤液处理前、后收集</w:t>
            </w:r>
            <w:r>
              <w:t>池</w:t>
            </w:r>
          </w:p>
        </w:tc>
        <w:tc>
          <w:tcPr>
            <w:tcW w:w="3550" w:type="dxa"/>
            <w:tcBorders>
              <w:tl2br w:val="nil"/>
              <w:tr2bl w:val="nil"/>
            </w:tcBorders>
            <w:vAlign w:val="center"/>
          </w:tcPr>
          <w:p w14:paraId="43924F3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spacing w:val="-3"/>
              </w:rPr>
              <w:t>pH</w:t>
            </w:r>
            <w:r>
              <w:rPr>
                <w:spacing w:val="-3"/>
              </w:rPr>
              <w:t>、砷、镍、铅、镉、总铬、</w:t>
            </w:r>
            <w:r>
              <w:rPr>
                <w:spacing w:val="8"/>
              </w:rPr>
              <w:t>铬（六价）、汞、铜、锌、</w:t>
            </w:r>
            <w:r>
              <w:rPr>
                <w:spacing w:val="7"/>
              </w:rPr>
              <w:t>氰化物</w:t>
            </w:r>
          </w:p>
        </w:tc>
        <w:tc>
          <w:tcPr>
            <w:tcW w:w="1877" w:type="dxa"/>
            <w:tcBorders>
              <w:tl2br w:val="nil"/>
              <w:tr2bl w:val="nil"/>
            </w:tcBorders>
            <w:vAlign w:val="center"/>
          </w:tcPr>
          <w:p w14:paraId="1CDBA0D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前期</w:t>
            </w:r>
            <w:r>
              <w:rPr>
                <w:rFonts w:ascii="Times New Roman" w:hAnsi="Times New Roman" w:eastAsia="Times New Roman" w:cs="Times New Roman"/>
                <w:spacing w:val="-5"/>
              </w:rPr>
              <w:t>1</w:t>
            </w:r>
            <w:r>
              <w:rPr>
                <w:spacing w:val="-5"/>
              </w:rPr>
              <w:t>月</w:t>
            </w:r>
            <w:r>
              <w:rPr>
                <w:rFonts w:ascii="Times New Roman" w:hAnsi="Times New Roman" w:eastAsia="Times New Roman" w:cs="Times New Roman"/>
                <w:spacing w:val="-5"/>
              </w:rPr>
              <w:t>1</w:t>
            </w:r>
            <w:r>
              <w:rPr>
                <w:spacing w:val="-5"/>
              </w:rPr>
              <w:t>次，后期可</w:t>
            </w:r>
            <w:r>
              <w:rPr>
                <w:spacing w:val="5"/>
              </w:rPr>
              <w:t>视情况减少频次，直至</w:t>
            </w:r>
            <w:r>
              <w:rPr>
                <w:spacing w:val="7"/>
              </w:rPr>
              <w:t>渗滤液消失</w:t>
            </w:r>
          </w:p>
        </w:tc>
      </w:tr>
      <w:tr w14:paraId="617056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continue"/>
            <w:tcBorders>
              <w:tl2br w:val="nil"/>
              <w:tr2bl w:val="nil"/>
            </w:tcBorders>
            <w:vAlign w:val="center"/>
          </w:tcPr>
          <w:p w14:paraId="4D9FF95E">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45" w:type="dxa"/>
            <w:tcBorders>
              <w:tl2br w:val="nil"/>
              <w:tr2bl w:val="nil"/>
            </w:tcBorders>
            <w:vAlign w:val="center"/>
          </w:tcPr>
          <w:p w14:paraId="5DD1B15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4"/>
              </w:rPr>
              <w:t>土壤</w:t>
            </w:r>
          </w:p>
        </w:tc>
        <w:tc>
          <w:tcPr>
            <w:tcW w:w="1817" w:type="dxa"/>
            <w:tcBorders>
              <w:tl2br w:val="nil"/>
              <w:tr2bl w:val="nil"/>
            </w:tcBorders>
            <w:vAlign w:val="center"/>
          </w:tcPr>
          <w:p w14:paraId="4A137D5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项目周边林地（</w:t>
            </w:r>
            <w:r>
              <w:rPr>
                <w:rFonts w:ascii="Times New Roman" w:hAnsi="Times New Roman" w:eastAsia="Times New Roman" w:cs="Times New Roman"/>
                <w:spacing w:val="-6"/>
              </w:rPr>
              <w:t>1</w:t>
            </w:r>
            <w:r>
              <w:rPr>
                <w:spacing w:val="-6"/>
              </w:rPr>
              <w:t>个）、</w:t>
            </w:r>
          </w:p>
          <w:p w14:paraId="7155411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农田（</w:t>
            </w:r>
            <w:r>
              <w:rPr>
                <w:rFonts w:ascii="Times New Roman" w:hAnsi="Times New Roman" w:eastAsia="Times New Roman" w:cs="Times New Roman"/>
                <w:spacing w:val="-5"/>
              </w:rPr>
              <w:t>1</w:t>
            </w:r>
            <w:r>
              <w:rPr>
                <w:spacing w:val="-5"/>
              </w:rPr>
              <w:t>个）</w:t>
            </w:r>
          </w:p>
        </w:tc>
        <w:tc>
          <w:tcPr>
            <w:tcW w:w="3550" w:type="dxa"/>
            <w:tcBorders>
              <w:tl2br w:val="nil"/>
              <w:tr2bl w:val="nil"/>
            </w:tcBorders>
            <w:vAlign w:val="center"/>
          </w:tcPr>
          <w:p w14:paraId="7BF7AC5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spacing w:val="-5"/>
              </w:rPr>
              <w:t>pH</w:t>
            </w:r>
            <w:r>
              <w:rPr>
                <w:spacing w:val="-5"/>
              </w:rPr>
              <w:t>、砷、镍、铅、镉、总铬、</w:t>
            </w:r>
            <w:r>
              <w:rPr>
                <w:spacing w:val="8"/>
              </w:rPr>
              <w:t>铬（六价）、汞、铜、锌、</w:t>
            </w:r>
            <w:r>
              <w:rPr>
                <w:spacing w:val="7"/>
              </w:rPr>
              <w:t>氰化物等</w:t>
            </w:r>
          </w:p>
        </w:tc>
        <w:tc>
          <w:tcPr>
            <w:tcW w:w="1877" w:type="dxa"/>
            <w:tcBorders>
              <w:tl2br w:val="nil"/>
              <w:tr2bl w:val="nil"/>
            </w:tcBorders>
            <w:vAlign w:val="center"/>
          </w:tcPr>
          <w:p w14:paraId="090437A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hint="eastAsia" w:ascii="Times New Roman" w:hAnsi="Times New Roman" w:eastAsia="Times New Roman" w:cs="Times New Roman"/>
                <w:spacing w:val="-4"/>
              </w:rPr>
              <w:t>填埋场在投入使用前，</w:t>
            </w:r>
            <w:r>
              <w:rPr>
                <w:rFonts w:hint="eastAsia" w:ascii="Times New Roman" w:hAnsi="Times New Roman" w:eastAsia="宋体" w:cs="Times New Roman"/>
                <w:spacing w:val="-4"/>
                <w:lang w:val="en-US" w:eastAsia="zh-CN"/>
              </w:rPr>
              <w:t>监测一次</w:t>
            </w:r>
            <w:r>
              <w:rPr>
                <w:rFonts w:hint="eastAsia" w:ascii="Times New Roman" w:hAnsi="Times New Roman" w:eastAsia="Times New Roman" w:cs="Times New Roman"/>
                <w:spacing w:val="-4"/>
              </w:rPr>
              <w:t>，封场</w:t>
            </w:r>
            <w:r>
              <w:rPr>
                <w:rFonts w:hint="eastAsia" w:ascii="Times New Roman" w:hAnsi="Times New Roman" w:eastAsia="宋体" w:cs="Times New Roman"/>
                <w:spacing w:val="-4"/>
                <w:lang w:val="en-US" w:eastAsia="zh-CN"/>
              </w:rPr>
              <w:t>后</w:t>
            </w:r>
            <w:r>
              <w:rPr>
                <w:rFonts w:hint="eastAsia" w:ascii="Times New Roman" w:hAnsi="Times New Roman" w:eastAsia="Times New Roman" w:cs="Times New Roman"/>
                <w:spacing w:val="-4"/>
              </w:rPr>
              <w:t>，每3年一次，</w:t>
            </w:r>
          </w:p>
        </w:tc>
      </w:tr>
      <w:tr w14:paraId="123F84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895" w:type="dxa"/>
            <w:vMerge w:val="continue"/>
            <w:tcBorders>
              <w:tl2br w:val="nil"/>
              <w:tr2bl w:val="nil"/>
            </w:tcBorders>
            <w:vAlign w:val="center"/>
          </w:tcPr>
          <w:p w14:paraId="64BDBFD9">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Arial"/>
                <w:sz w:val="21"/>
              </w:rPr>
            </w:pPr>
          </w:p>
        </w:tc>
        <w:tc>
          <w:tcPr>
            <w:tcW w:w="1145" w:type="dxa"/>
            <w:tcBorders>
              <w:tl2br w:val="nil"/>
              <w:tr2bl w:val="nil"/>
            </w:tcBorders>
            <w:shd w:val="clear" w:color="auto" w:fill="auto"/>
            <w:vAlign w:val="center"/>
          </w:tcPr>
          <w:p w14:paraId="0F733F31">
            <w:pPr>
              <w:pStyle w:val="197"/>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ascii="Arial" w:hAnsi="Arial" w:eastAsia="Arial" w:cs="Arial"/>
                <w:kern w:val="2"/>
                <w:sz w:val="21"/>
                <w:szCs w:val="21"/>
                <w:lang w:val="en-US" w:eastAsia="en-US" w:bidi="ar-SA"/>
              </w:rPr>
            </w:pPr>
            <w:r>
              <w:t>雨水</w:t>
            </w:r>
          </w:p>
        </w:tc>
        <w:tc>
          <w:tcPr>
            <w:tcW w:w="1817" w:type="dxa"/>
            <w:tcBorders>
              <w:tl2br w:val="nil"/>
              <w:tr2bl w:val="nil"/>
            </w:tcBorders>
            <w:shd w:val="clear" w:color="auto" w:fill="auto"/>
            <w:vAlign w:val="center"/>
          </w:tcPr>
          <w:p w14:paraId="3A1DB5E2">
            <w:pPr>
              <w:pStyle w:val="197"/>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ascii="Arial" w:hAnsi="Arial" w:eastAsia="Arial" w:cs="Arial"/>
                <w:kern w:val="2"/>
                <w:sz w:val="21"/>
                <w:szCs w:val="21"/>
                <w:lang w:val="en-US" w:eastAsia="en-US" w:bidi="ar-SA"/>
              </w:rPr>
            </w:pPr>
            <w:r>
              <w:rPr>
                <w:spacing w:val="7"/>
              </w:rPr>
              <w:t>项目雨水排口</w:t>
            </w:r>
          </w:p>
        </w:tc>
        <w:tc>
          <w:tcPr>
            <w:tcW w:w="3550" w:type="dxa"/>
            <w:tcBorders>
              <w:tl2br w:val="nil"/>
              <w:tr2bl w:val="nil"/>
            </w:tcBorders>
            <w:shd w:val="clear" w:color="auto" w:fill="auto"/>
            <w:vAlign w:val="center"/>
          </w:tcPr>
          <w:p w14:paraId="04E3662C">
            <w:pPr>
              <w:pStyle w:val="197"/>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ascii="Times New Roman" w:hAnsi="Times New Roman" w:eastAsia="Times New Roman" w:cs="Times New Roman"/>
                <w:kern w:val="2"/>
                <w:sz w:val="21"/>
                <w:szCs w:val="21"/>
                <w:lang w:val="en-US" w:eastAsia="en-US" w:bidi="ar-SA"/>
              </w:rPr>
            </w:pPr>
            <w:r>
              <w:rPr>
                <w:rFonts w:ascii="Times New Roman" w:hAnsi="Times New Roman" w:eastAsia="Times New Roman" w:cs="Times New Roman"/>
              </w:rPr>
              <w:t>COD</w:t>
            </w:r>
            <w:r>
              <w:rPr>
                <w:spacing w:val="6"/>
              </w:rPr>
              <w:t>、</w:t>
            </w:r>
            <w:r>
              <w:rPr>
                <w:rFonts w:ascii="Times New Roman" w:hAnsi="Times New Roman" w:eastAsia="Times New Roman" w:cs="Times New Roman"/>
              </w:rPr>
              <w:t>SS</w:t>
            </w:r>
          </w:p>
        </w:tc>
        <w:tc>
          <w:tcPr>
            <w:tcW w:w="1877" w:type="dxa"/>
            <w:tcBorders>
              <w:tl2br w:val="nil"/>
              <w:tr2bl w:val="nil"/>
            </w:tcBorders>
            <w:shd w:val="clear" w:color="auto" w:fill="auto"/>
            <w:vAlign w:val="center"/>
          </w:tcPr>
          <w:p w14:paraId="03BB8FB0">
            <w:pPr>
              <w:pStyle w:val="197"/>
              <w:keepNext w:val="0"/>
              <w:keepLines w:val="0"/>
              <w:pageBreakBefore w:val="0"/>
              <w:widowControl/>
              <w:kinsoku/>
              <w:wordWrap/>
              <w:overflowPunct/>
              <w:topLinePunct/>
              <w:autoSpaceDE/>
              <w:autoSpaceDN/>
              <w:bidi w:val="0"/>
              <w:adjustRightInd/>
              <w:snapToGrid/>
              <w:spacing w:line="240" w:lineRule="auto"/>
              <w:ind w:left="0" w:leftChars="0" w:right="0" w:firstLine="0" w:firstLineChars="0"/>
              <w:jc w:val="center"/>
              <w:textAlignment w:val="auto"/>
              <w:rPr>
                <w:rFonts w:ascii="Arial" w:hAnsi="Arial" w:eastAsia="Arial" w:cs="Arial"/>
                <w:kern w:val="2"/>
                <w:sz w:val="21"/>
                <w:szCs w:val="21"/>
                <w:lang w:val="en-US" w:eastAsia="en-US" w:bidi="ar-SA"/>
              </w:rPr>
            </w:pPr>
            <w:r>
              <w:rPr>
                <w:spacing w:val="-3"/>
              </w:rPr>
              <w:t>每月</w:t>
            </w:r>
            <w:r>
              <w:rPr>
                <w:rFonts w:ascii="Times New Roman" w:hAnsi="Times New Roman" w:eastAsia="Times New Roman" w:cs="Times New Roman"/>
                <w:spacing w:val="-3"/>
              </w:rPr>
              <w:t>1</w:t>
            </w:r>
            <w:r>
              <w:rPr>
                <w:spacing w:val="-3"/>
              </w:rPr>
              <w:t>次</w:t>
            </w:r>
          </w:p>
        </w:tc>
      </w:tr>
      <w:bookmarkEnd w:id="684"/>
    </w:tbl>
    <w:p w14:paraId="547F31BA">
      <w:pPr>
        <w:pStyle w:val="4"/>
        <w:keepNext w:val="0"/>
        <w:keepLines w:val="0"/>
        <w:pageBreakBefore w:val="0"/>
        <w:widowControl/>
        <w:numPr>
          <w:ilvl w:val="2"/>
          <w:numId w:val="0"/>
        </w:numPr>
        <w:kinsoku/>
        <w:wordWrap/>
        <w:overflowPunct/>
        <w:topLinePunct w:val="0"/>
        <w:autoSpaceDE/>
        <w:autoSpaceDN/>
        <w:bidi w:val="0"/>
        <w:adjustRightInd/>
        <w:snapToGrid/>
        <w:spacing w:before="168" w:beforeLines="50" w:after="0" w:afterLines="0" w:line="360" w:lineRule="auto"/>
        <w:textAlignment w:val="auto"/>
        <w:rPr>
          <w:rFonts w:hint="eastAsia" w:ascii="Times New Roman" w:hAnsi="Times New Roman" w:eastAsia="宋体" w:cs="Times New Roman"/>
          <w:color w:val="auto"/>
          <w:sz w:val="28"/>
          <w:szCs w:val="28"/>
          <w:highlight w:val="none"/>
          <w:u w:val="none" w:color="auto"/>
          <w:lang w:eastAsia="zh-CN"/>
        </w:rPr>
      </w:pPr>
      <w:bookmarkStart w:id="685" w:name="_Toc2426"/>
      <w:bookmarkStart w:id="686" w:name="_Toc15027"/>
      <w:bookmarkStart w:id="687" w:name="_Toc21256"/>
      <w:bookmarkStart w:id="688" w:name="_Toc5318"/>
      <w:bookmarkStart w:id="689" w:name="_Toc13460"/>
      <w:bookmarkStart w:id="690" w:name="_Toc14838"/>
      <w:bookmarkStart w:id="691" w:name="_Toc531165155"/>
      <w:bookmarkStart w:id="692" w:name="_Toc17968"/>
      <w:bookmarkStart w:id="693" w:name="_Toc7114"/>
      <w:bookmarkStart w:id="694" w:name="_Toc24345"/>
      <w:bookmarkStart w:id="695" w:name="_Toc13530"/>
      <w:bookmarkStart w:id="696" w:name="_Toc7730"/>
      <w:bookmarkStart w:id="697" w:name="_Toc31170"/>
      <w:bookmarkStart w:id="698" w:name="_Toc1761"/>
      <w:bookmarkStart w:id="699" w:name="_Toc30269"/>
      <w:r>
        <w:rPr>
          <w:rFonts w:hint="eastAsia" w:cs="Times New Roman"/>
          <w:color w:val="auto"/>
          <w:sz w:val="28"/>
          <w:szCs w:val="28"/>
          <w:highlight w:val="none"/>
          <w:u w:val="none" w:color="auto"/>
          <w:lang w:val="en-US" w:eastAsia="zh-CN"/>
        </w:rPr>
        <w:t>9</w:t>
      </w:r>
      <w:r>
        <w:rPr>
          <w:rFonts w:hint="default" w:ascii="Times New Roman" w:hAnsi="Times New Roman" w:cs="Times New Roman"/>
          <w:color w:val="auto"/>
          <w:sz w:val="28"/>
          <w:szCs w:val="28"/>
          <w:highlight w:val="none"/>
          <w:u w:val="none" w:color="auto"/>
        </w:rPr>
        <w:t>.</w:t>
      </w:r>
      <w:r>
        <w:rPr>
          <w:rFonts w:hint="eastAsia" w:ascii="Times New Roman" w:hAnsi="Times New Roman" w:cs="Times New Roman"/>
          <w:color w:val="auto"/>
          <w:sz w:val="28"/>
          <w:szCs w:val="28"/>
          <w:highlight w:val="none"/>
          <w:u w:val="none" w:color="auto"/>
          <w:lang w:val="en-US" w:eastAsia="zh-CN"/>
        </w:rPr>
        <w:t>3.4监测信息公开</w:t>
      </w:r>
      <w:bookmarkEnd w:id="685"/>
      <w:bookmarkEnd w:id="686"/>
      <w:bookmarkEnd w:id="687"/>
    </w:p>
    <w:p w14:paraId="1FF2F5BB">
      <w:pPr>
        <w:keepNext w:val="0"/>
        <w:keepLines w:val="0"/>
        <w:pageBreakBefore w:val="0"/>
        <w:widowControl w:val="0"/>
        <w:kinsoku/>
        <w:wordWrap/>
        <w:overflowPunct/>
        <w:topLinePunct w:val="0"/>
        <w:autoSpaceDE/>
        <w:autoSpaceDN/>
        <w:bidi w:val="0"/>
        <w:adjustRightInd/>
        <w:snapToGrid/>
        <w:textAlignment w:val="auto"/>
        <w:rPr>
          <w:rFonts w:hint="eastAsia"/>
          <w:color w:val="auto"/>
          <w:sz w:val="24"/>
          <w:szCs w:val="24"/>
          <w:highlight w:val="none"/>
          <w:u w:val="none" w:color="auto"/>
          <w:lang w:val="en-US" w:eastAsia="zh-CN"/>
        </w:rPr>
      </w:pPr>
      <w:r>
        <w:rPr>
          <w:rFonts w:hint="eastAsia"/>
          <w:color w:val="auto"/>
          <w:sz w:val="24"/>
          <w:szCs w:val="24"/>
          <w:highlight w:val="none"/>
          <w:u w:val="none" w:color="auto"/>
          <w:lang w:val="en-US" w:eastAsia="zh-CN"/>
        </w:rPr>
        <w:t>项目每次监测都应有完整的记录。监测数据应及时整理、统计，并应做好监测资料的归档工作。同时将监测结果抄送环境保护行政主管部门，对于常规监测数据应该进行公开，特别是对本项目所在区域的居民进行公开，满足法律中关于知情权的要求。发现污染和水质恶化时，要及时进行处理，开展系统调查，并上报有关部门。</w:t>
      </w:r>
    </w:p>
    <w:p w14:paraId="48E0DB4D">
      <w:pPr>
        <w:pStyle w:val="3"/>
        <w:keepNext w:val="0"/>
        <w:keepLines w:val="0"/>
        <w:pageBreakBefore w:val="0"/>
        <w:widowControl w:val="0"/>
        <w:numPr>
          <w:ilvl w:val="0"/>
          <w:numId w:val="0"/>
        </w:numPr>
        <w:kinsoku/>
        <w:wordWrap/>
        <w:overflowPunct/>
        <w:topLinePunct w:val="0"/>
        <w:autoSpaceDE/>
        <w:autoSpaceDN/>
        <w:bidi w:val="0"/>
        <w:adjustRightInd/>
        <w:snapToGrid w:val="0"/>
        <w:spacing w:before="168" w:beforeLines="50" w:after="0" w:afterLines="0" w:line="360" w:lineRule="auto"/>
        <w:ind w:leftChars="0"/>
        <w:textAlignment w:val="auto"/>
        <w:rPr>
          <w:rFonts w:hint="default" w:ascii="Times New Roman" w:hAnsi="Times New Roman" w:eastAsia="宋体" w:cs="Times New Roman"/>
          <w:b/>
          <w:bCs/>
          <w:color w:val="auto"/>
          <w:sz w:val="28"/>
          <w:szCs w:val="28"/>
          <w:highlight w:val="none"/>
          <w:u w:val="none" w:color="auto"/>
          <w:lang w:val="en-US" w:eastAsia="zh-CN"/>
        </w:rPr>
      </w:pPr>
      <w:bookmarkStart w:id="700" w:name="_Toc3023"/>
      <w:bookmarkStart w:id="701" w:name="_Toc9029"/>
      <w:bookmarkStart w:id="702" w:name="_Toc9892"/>
      <w:bookmarkStart w:id="703" w:name="_Toc30473"/>
      <w:bookmarkStart w:id="704" w:name="_Toc23885"/>
      <w:bookmarkStart w:id="705" w:name="_Toc7637"/>
      <w:bookmarkStart w:id="706" w:name="_Toc31695"/>
      <w:r>
        <w:rPr>
          <w:rFonts w:hint="eastAsia" w:ascii="Times New Roman" w:hAnsi="Times New Roman" w:eastAsia="宋体" w:cs="Times New Roman"/>
          <w:b/>
          <w:bCs/>
          <w:color w:val="auto"/>
          <w:sz w:val="28"/>
          <w:szCs w:val="28"/>
          <w:highlight w:val="none"/>
          <w:u w:val="none" w:color="auto"/>
          <w:lang w:val="en-US" w:eastAsia="zh-CN"/>
        </w:rPr>
        <w:t>9.4</w:t>
      </w:r>
      <w:r>
        <w:rPr>
          <w:rFonts w:hint="default" w:ascii="Times New Roman" w:hAnsi="Times New Roman" w:eastAsia="宋体" w:cs="Times New Roman"/>
          <w:b/>
          <w:bCs/>
          <w:color w:val="auto"/>
          <w:sz w:val="28"/>
          <w:szCs w:val="28"/>
          <w:highlight w:val="none"/>
          <w:u w:val="none" w:color="auto"/>
          <w:lang w:val="en-US" w:eastAsia="zh-CN"/>
        </w:rPr>
        <w:t>排污口规范化管理</w:t>
      </w:r>
      <w:bookmarkEnd w:id="688"/>
      <w:bookmarkEnd w:id="689"/>
      <w:bookmarkEnd w:id="700"/>
      <w:bookmarkEnd w:id="701"/>
      <w:bookmarkEnd w:id="702"/>
      <w:bookmarkEnd w:id="703"/>
      <w:bookmarkEnd w:id="704"/>
      <w:bookmarkEnd w:id="705"/>
      <w:bookmarkEnd w:id="706"/>
    </w:p>
    <w:p w14:paraId="3C1C2225">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排污口是本项目投产后污染物进入环境、对环境产生影响的通道，强化排污口的管理是实施污染物总量控制的基础工作之一，也是区域环境管理逐步实现污染物排放科学化、定量化的重要手段。</w:t>
      </w:r>
    </w:p>
    <w:p w14:paraId="3C373547">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根据国家标准《环境保护图形标志—排放口（源）》和国家环保总局</w:t>
      </w:r>
      <w:r>
        <w:rPr>
          <w:rFonts w:hint="eastAsia" w:cs="Times New Roman"/>
          <w:color w:val="auto"/>
          <w:sz w:val="24"/>
          <w:szCs w:val="24"/>
          <w:highlight w:val="none"/>
          <w:u w:val="none" w:color="auto"/>
          <w:lang w:eastAsia="zh-CN"/>
        </w:rPr>
        <w:t>《排污口规范化整治要求（试行）》</w:t>
      </w:r>
      <w:r>
        <w:rPr>
          <w:rFonts w:hint="default" w:ascii="Times New Roman" w:hAnsi="Times New Roman" w:cs="Times New Roman"/>
          <w:color w:val="auto"/>
          <w:sz w:val="24"/>
          <w:szCs w:val="24"/>
          <w:highlight w:val="none"/>
          <w:u w:val="none" w:color="auto"/>
        </w:rPr>
        <w:t>的技术要求，企业所有排放口（包括水、气、声、渣）必须按照“便于采样、便于计量检测、便于日常现场监督检查”的原则和规范化要求，设置与之相适应的环境保护图形标志牌，绘制企业排污口分布图，排污口的规范化要符合有关环保要求。</w:t>
      </w:r>
    </w:p>
    <w:p w14:paraId="74C29CC7">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（1）废水排放口</w:t>
      </w:r>
    </w:p>
    <w:p w14:paraId="3C8C2A0A">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无废水排放口，渗滤液经一体化废水处理设施处理达到《污水综合排放标准》（GB8978-1996）中第一类污染物最高允许排放浓度和第二类污染物最高允许排放浓度一级标准后委托湖南黄金天岳矿业有限公司垂拱洞尾矿库废水处理站进一步处理后排放。</w:t>
      </w:r>
    </w:p>
    <w:p w14:paraId="078DC527">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（2）废气排污口</w:t>
      </w:r>
    </w:p>
    <w:p w14:paraId="1536C6E3">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w:t>
      </w:r>
      <w:r>
        <w:rPr>
          <w:rFonts w:hint="eastAsia" w:cs="Times New Roman"/>
          <w:color w:val="auto"/>
          <w:sz w:val="24"/>
          <w:szCs w:val="24"/>
          <w:highlight w:val="none"/>
          <w:u w:val="none" w:color="auto"/>
          <w:lang w:val="en-US" w:eastAsia="zh-CN"/>
        </w:rPr>
        <w:t>无废气排放口</w:t>
      </w:r>
      <w:r>
        <w:rPr>
          <w:rFonts w:hint="default" w:ascii="Times New Roman" w:hAnsi="Times New Roman" w:cs="Times New Roman"/>
          <w:color w:val="auto"/>
          <w:sz w:val="24"/>
          <w:szCs w:val="24"/>
          <w:highlight w:val="none"/>
          <w:u w:val="none" w:color="auto"/>
        </w:rPr>
        <w:t>。</w:t>
      </w:r>
    </w:p>
    <w:p w14:paraId="45A38FA0">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（3）固定噪声源</w:t>
      </w:r>
    </w:p>
    <w:p w14:paraId="0F21BC95">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本项目主要噪声源为施工期各项机械设备，按规定对固定噪声源进行治理，并在边界噪声敏感点，且对边界影响最大处设置标志牌。</w:t>
      </w:r>
    </w:p>
    <w:p w14:paraId="21B2833A">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（4）固体废物贮存场</w:t>
      </w:r>
    </w:p>
    <w:p w14:paraId="155F0159">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一般固废贮存场所应按照GB15562.2安装环境图形标志，危险废物应设置专用危险废物贮存场。</w:t>
      </w:r>
    </w:p>
    <w:p w14:paraId="296586A2">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（5）设置标志牌要求</w:t>
      </w:r>
    </w:p>
    <w:p w14:paraId="2456C57D">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环境保护图形标志牌由国家环保总局统一定点制作，并由环境监理部门根据企业排污情况统一向国家环保局订购。企业排污口分布图由环境监理部门统一绘制。排放一般污染物排污口（源），设置提示牌标志牌，排放有毒有害等污染物的排污口设置警告式标志牌。</w:t>
      </w:r>
    </w:p>
    <w:p w14:paraId="1CFF480C">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标志牌设置位置在排污口（采样点）附近且醒目处，高度为标志牌上缘离地面2m。排污口附近1m范围内有建筑物的，设平面式标志牌，无建筑物的设立式标志牌。</w:t>
      </w:r>
    </w:p>
    <w:p w14:paraId="588C7413">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规范化排污口的有关设置（如图形标志牌、计量装置、监控装置等）属环保设施，</w:t>
      </w:r>
    </w:p>
    <w:p w14:paraId="7E87C782">
      <w:pPr>
        <w:keepNext w:val="0"/>
        <w:keepLines w:val="0"/>
        <w:pageBreakBefore w:val="0"/>
        <w:widowControl w:val="0"/>
        <w:kinsoku/>
        <w:wordWrap w:val="0"/>
        <w:overflowPunct/>
        <w:topLinePunct/>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排污单位必须负责日常的维护保养，任何单位和个人不得擅自拆除，如需变更的须报环境监理部门同意并办理变更手续。</w:t>
      </w:r>
    </w:p>
    <w:p w14:paraId="584CF26E">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（6）环境保护图形标志</w:t>
      </w:r>
    </w:p>
    <w:p w14:paraId="3D506A7F">
      <w:pPr>
        <w:keepNext w:val="0"/>
        <w:keepLines w:val="0"/>
        <w:pageBreakBefore w:val="0"/>
        <w:widowControl w:val="0"/>
        <w:kinsoku/>
        <w:wordWrap w:val="0"/>
        <w:overflowPunct/>
        <w:topLinePunct/>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在项目的废气排放源、固体废物贮存处置场、污水排放口应设置环境保护图形标志，图形符号分为提示图形和警告图形符号两种，分别按GB15562.1-1995、GB15562.2-1995执行。环境保护图形标志的形状及颜色见表</w:t>
      </w:r>
      <w:r>
        <w:rPr>
          <w:rFonts w:hint="eastAsia" w:cs="Times New Roman"/>
          <w:color w:val="auto"/>
          <w:sz w:val="24"/>
          <w:szCs w:val="24"/>
          <w:highlight w:val="none"/>
          <w:u w:val="none" w:color="auto"/>
          <w:lang w:val="en-US" w:eastAsia="zh-CN"/>
        </w:rPr>
        <w:t>9</w:t>
      </w:r>
      <w:r>
        <w:rPr>
          <w:rFonts w:hint="eastAsia" w:ascii="Times New Roman" w:hAnsi="Times New Roman" w:cs="Times New Roman"/>
          <w:color w:val="auto"/>
          <w:sz w:val="24"/>
          <w:szCs w:val="24"/>
          <w:highlight w:val="none"/>
          <w:u w:val="none" w:color="auto"/>
          <w:lang w:val="en-US" w:eastAsia="zh-CN"/>
        </w:rPr>
        <w:t>.4-1</w:t>
      </w:r>
      <w:r>
        <w:rPr>
          <w:rFonts w:hint="default" w:ascii="Times New Roman" w:hAnsi="Times New Roman" w:cs="Times New Roman"/>
          <w:color w:val="auto"/>
          <w:sz w:val="24"/>
          <w:szCs w:val="24"/>
          <w:highlight w:val="none"/>
          <w:u w:val="none" w:color="auto"/>
        </w:rPr>
        <w:t>，环境保护图形符号见表</w:t>
      </w:r>
      <w:r>
        <w:rPr>
          <w:rFonts w:hint="eastAsia" w:cs="Times New Roman"/>
          <w:color w:val="auto"/>
          <w:sz w:val="24"/>
          <w:szCs w:val="24"/>
          <w:highlight w:val="none"/>
          <w:u w:val="none" w:color="auto"/>
          <w:lang w:val="en-US" w:eastAsia="zh-CN"/>
        </w:rPr>
        <w:t>9</w:t>
      </w:r>
      <w:r>
        <w:rPr>
          <w:rFonts w:hint="eastAsia" w:ascii="Times New Roman" w:hAnsi="Times New Roman" w:cs="Times New Roman"/>
          <w:color w:val="auto"/>
          <w:sz w:val="24"/>
          <w:szCs w:val="24"/>
          <w:highlight w:val="none"/>
          <w:u w:val="none" w:color="auto"/>
          <w:lang w:val="en-US" w:eastAsia="zh-CN"/>
        </w:rPr>
        <w:t>.4-2</w:t>
      </w:r>
      <w:r>
        <w:rPr>
          <w:rFonts w:hint="default" w:ascii="Times New Roman" w:hAnsi="Times New Roman" w:cs="Times New Roman"/>
          <w:color w:val="auto"/>
          <w:sz w:val="24"/>
          <w:szCs w:val="24"/>
          <w:highlight w:val="none"/>
          <w:u w:val="none" w:color="auto"/>
        </w:rPr>
        <w:t>。</w:t>
      </w:r>
    </w:p>
    <w:p w14:paraId="29D073F1">
      <w:pPr>
        <w:adjustRightInd w:val="0"/>
        <w:snapToGrid w:val="0"/>
        <w:spacing w:line="271" w:lineRule="auto"/>
        <w:ind w:firstLine="0" w:firstLineChars="0"/>
        <w:jc w:val="center"/>
        <w:rPr>
          <w:rFonts w:hint="default" w:ascii="Times New Roman" w:hAnsi="Times New Roman" w:cs="Times New Roman"/>
          <w:b/>
          <w:color w:val="auto"/>
          <w:sz w:val="21"/>
          <w:szCs w:val="21"/>
          <w:highlight w:val="none"/>
          <w:u w:val="none" w:color="auto"/>
        </w:rPr>
      </w:pPr>
      <w:r>
        <w:rPr>
          <w:rFonts w:hint="default" w:ascii="Times New Roman" w:hAnsi="Times New Roman" w:cs="Times New Roman"/>
          <w:b/>
          <w:color w:val="auto"/>
          <w:sz w:val="21"/>
          <w:szCs w:val="21"/>
          <w:highlight w:val="none"/>
          <w:u w:val="none" w:color="auto"/>
        </w:rPr>
        <w:t>表</w:t>
      </w:r>
      <w:r>
        <w:rPr>
          <w:rFonts w:hint="eastAsia" w:cs="Times New Roman"/>
          <w:b/>
          <w:color w:val="auto"/>
          <w:sz w:val="21"/>
          <w:szCs w:val="21"/>
          <w:highlight w:val="none"/>
          <w:u w:val="none" w:color="auto"/>
          <w:lang w:val="en-US" w:eastAsia="zh-CN"/>
        </w:rPr>
        <w:t>9</w:t>
      </w:r>
      <w:r>
        <w:rPr>
          <w:rFonts w:hint="eastAsia" w:ascii="Times New Roman" w:hAnsi="Times New Roman" w:cs="Times New Roman"/>
          <w:b/>
          <w:color w:val="auto"/>
          <w:sz w:val="21"/>
          <w:szCs w:val="21"/>
          <w:highlight w:val="none"/>
          <w:u w:val="none" w:color="auto"/>
          <w:lang w:val="en-US" w:eastAsia="zh-CN"/>
        </w:rPr>
        <w:t>.4</w:t>
      </w:r>
      <w:r>
        <w:rPr>
          <w:rFonts w:hint="default" w:ascii="Times New Roman" w:hAnsi="Times New Roman" w:cs="Times New Roman"/>
          <w:b/>
          <w:color w:val="auto"/>
          <w:sz w:val="21"/>
          <w:szCs w:val="21"/>
          <w:highlight w:val="none"/>
          <w:u w:val="none" w:color="auto"/>
        </w:rPr>
        <w:t>-1  环境保护图形标志的形状及颜色表</w:t>
      </w:r>
    </w:p>
    <w:tbl>
      <w:tblPr>
        <w:tblStyle w:val="4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19"/>
        <w:gridCol w:w="2321"/>
        <w:gridCol w:w="2322"/>
        <w:gridCol w:w="2322"/>
      </w:tblGrid>
      <w:tr w14:paraId="5121B6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14:paraId="7EAFB512">
            <w:pPr>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标志名称</w:t>
            </w:r>
          </w:p>
        </w:tc>
        <w:tc>
          <w:tcPr>
            <w:tcW w:w="1250" w:type="pct"/>
            <w:tcBorders>
              <w:tl2br w:val="nil"/>
              <w:tr2bl w:val="nil"/>
            </w:tcBorders>
            <w:noWrap w:val="0"/>
            <w:vAlign w:val="center"/>
          </w:tcPr>
          <w:p w14:paraId="201A1B67">
            <w:pPr>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形状</w:t>
            </w:r>
          </w:p>
        </w:tc>
        <w:tc>
          <w:tcPr>
            <w:tcW w:w="1250" w:type="pct"/>
            <w:tcBorders>
              <w:tl2br w:val="nil"/>
              <w:tr2bl w:val="nil"/>
            </w:tcBorders>
            <w:noWrap w:val="0"/>
            <w:vAlign w:val="center"/>
          </w:tcPr>
          <w:p w14:paraId="4F4BE5FF">
            <w:pPr>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背景颜色</w:t>
            </w:r>
          </w:p>
        </w:tc>
        <w:tc>
          <w:tcPr>
            <w:tcW w:w="1250" w:type="pct"/>
            <w:tcBorders>
              <w:tl2br w:val="nil"/>
              <w:tr2bl w:val="nil"/>
            </w:tcBorders>
            <w:noWrap w:val="0"/>
            <w:vAlign w:val="center"/>
          </w:tcPr>
          <w:p w14:paraId="24C77138">
            <w:pPr>
              <w:adjustRightInd w:val="0"/>
              <w:snapToGrid w:val="0"/>
              <w:spacing w:line="240" w:lineRule="auto"/>
              <w:ind w:firstLine="0" w:firstLineChars="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图形颜色</w:t>
            </w:r>
          </w:p>
        </w:tc>
      </w:tr>
      <w:tr w14:paraId="53877A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14:paraId="6F8B1112">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警告标志</w:t>
            </w:r>
          </w:p>
        </w:tc>
        <w:tc>
          <w:tcPr>
            <w:tcW w:w="1250" w:type="pct"/>
            <w:tcBorders>
              <w:tl2br w:val="nil"/>
              <w:tr2bl w:val="nil"/>
            </w:tcBorders>
            <w:noWrap w:val="0"/>
            <w:vAlign w:val="center"/>
          </w:tcPr>
          <w:p w14:paraId="13938F9E">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三角形边框</w:t>
            </w:r>
          </w:p>
        </w:tc>
        <w:tc>
          <w:tcPr>
            <w:tcW w:w="1250" w:type="pct"/>
            <w:tcBorders>
              <w:tl2br w:val="nil"/>
              <w:tr2bl w:val="nil"/>
            </w:tcBorders>
            <w:noWrap w:val="0"/>
            <w:vAlign w:val="center"/>
          </w:tcPr>
          <w:p w14:paraId="4987C246">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黄色</w:t>
            </w:r>
          </w:p>
        </w:tc>
        <w:tc>
          <w:tcPr>
            <w:tcW w:w="1250" w:type="pct"/>
            <w:tcBorders>
              <w:tl2br w:val="nil"/>
              <w:tr2bl w:val="nil"/>
            </w:tcBorders>
            <w:noWrap w:val="0"/>
            <w:vAlign w:val="center"/>
          </w:tcPr>
          <w:p w14:paraId="41F7608C">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黑色</w:t>
            </w:r>
          </w:p>
        </w:tc>
      </w:tr>
      <w:tr w14:paraId="60617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tcBorders>
              <w:tl2br w:val="nil"/>
              <w:tr2bl w:val="nil"/>
            </w:tcBorders>
            <w:noWrap w:val="0"/>
            <w:vAlign w:val="center"/>
          </w:tcPr>
          <w:p w14:paraId="261B1589">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提示标志</w:t>
            </w:r>
          </w:p>
        </w:tc>
        <w:tc>
          <w:tcPr>
            <w:tcW w:w="1250" w:type="pct"/>
            <w:tcBorders>
              <w:tl2br w:val="nil"/>
              <w:tr2bl w:val="nil"/>
            </w:tcBorders>
            <w:noWrap w:val="0"/>
            <w:vAlign w:val="center"/>
          </w:tcPr>
          <w:p w14:paraId="3ABE8797">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正方形边框</w:t>
            </w:r>
          </w:p>
        </w:tc>
        <w:tc>
          <w:tcPr>
            <w:tcW w:w="1250" w:type="pct"/>
            <w:tcBorders>
              <w:tl2br w:val="nil"/>
              <w:tr2bl w:val="nil"/>
            </w:tcBorders>
            <w:noWrap w:val="0"/>
            <w:vAlign w:val="center"/>
          </w:tcPr>
          <w:p w14:paraId="28285D23">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绿色</w:t>
            </w:r>
          </w:p>
        </w:tc>
        <w:tc>
          <w:tcPr>
            <w:tcW w:w="1250" w:type="pct"/>
            <w:tcBorders>
              <w:tl2br w:val="nil"/>
              <w:tr2bl w:val="nil"/>
            </w:tcBorders>
            <w:noWrap w:val="0"/>
            <w:vAlign w:val="center"/>
          </w:tcPr>
          <w:p w14:paraId="34818CD1">
            <w:pPr>
              <w:adjustRightInd w:val="0"/>
              <w:snapToGrid w:val="0"/>
              <w:spacing w:line="240" w:lineRule="auto"/>
              <w:ind w:firstLine="0" w:firstLineChars="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白色</w:t>
            </w:r>
          </w:p>
        </w:tc>
      </w:tr>
    </w:tbl>
    <w:p w14:paraId="0D1AC6C0">
      <w:pPr>
        <w:adjustRightInd w:val="0"/>
        <w:snapToGrid w:val="0"/>
        <w:spacing w:line="271" w:lineRule="auto"/>
        <w:ind w:firstLine="0" w:firstLineChars="0"/>
        <w:jc w:val="center"/>
        <w:rPr>
          <w:rFonts w:hint="default" w:ascii="Times New Roman" w:hAnsi="Times New Roman" w:eastAsia="宋体" w:cs="Times New Roman"/>
          <w:b/>
          <w:color w:val="auto"/>
          <w:sz w:val="21"/>
          <w:szCs w:val="21"/>
          <w:highlight w:val="none"/>
          <w:u w:val="none" w:color="auto"/>
        </w:rPr>
      </w:pPr>
      <w:r>
        <w:rPr>
          <w:rFonts w:hint="default" w:ascii="Times New Roman" w:hAnsi="Times New Roman" w:eastAsia="宋体" w:cs="Times New Roman"/>
          <w:b/>
          <w:color w:val="auto"/>
          <w:sz w:val="21"/>
          <w:szCs w:val="21"/>
          <w:highlight w:val="none"/>
          <w:u w:val="none" w:color="auto"/>
        </w:rPr>
        <w:t>表</w:t>
      </w:r>
      <w:r>
        <w:rPr>
          <w:rFonts w:hint="eastAsia" w:ascii="Times New Roman" w:hAnsi="Times New Roman" w:eastAsia="宋体" w:cs="Times New Roman"/>
          <w:b/>
          <w:color w:val="auto"/>
          <w:sz w:val="21"/>
          <w:szCs w:val="21"/>
          <w:highlight w:val="none"/>
          <w:u w:val="none" w:color="auto"/>
          <w:lang w:val="en-US" w:eastAsia="zh-CN"/>
        </w:rPr>
        <w:t>9.4</w:t>
      </w:r>
      <w:r>
        <w:rPr>
          <w:rFonts w:hint="default" w:ascii="Times New Roman" w:hAnsi="Times New Roman" w:eastAsia="宋体" w:cs="Times New Roman"/>
          <w:b/>
          <w:color w:val="auto"/>
          <w:sz w:val="21"/>
          <w:szCs w:val="21"/>
          <w:highlight w:val="none"/>
          <w:u w:val="none" w:color="auto"/>
        </w:rPr>
        <w:t>-2  环境保护图形符号一览表</w:t>
      </w:r>
    </w:p>
    <w:tbl>
      <w:tblPr>
        <w:tblStyle w:val="46"/>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1"/>
        <w:gridCol w:w="2351"/>
        <w:gridCol w:w="2164"/>
        <w:gridCol w:w="1480"/>
        <w:gridCol w:w="2565"/>
      </w:tblGrid>
      <w:tr w14:paraId="46A09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tcBorders>
              <w:tl2br w:val="nil"/>
              <w:tr2bl w:val="nil"/>
            </w:tcBorders>
            <w:noWrap w:val="0"/>
            <w:vAlign w:val="center"/>
          </w:tcPr>
          <w:p w14:paraId="2AA708C7">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序号</w:t>
            </w:r>
          </w:p>
        </w:tc>
        <w:tc>
          <w:tcPr>
            <w:tcW w:w="1266" w:type="pct"/>
            <w:tcBorders>
              <w:tl2br w:val="nil"/>
              <w:tr2bl w:val="nil"/>
            </w:tcBorders>
            <w:noWrap w:val="0"/>
            <w:vAlign w:val="center"/>
          </w:tcPr>
          <w:p w14:paraId="5EC9CD45">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提示图形符号</w:t>
            </w:r>
          </w:p>
        </w:tc>
        <w:tc>
          <w:tcPr>
            <w:tcW w:w="1165" w:type="pct"/>
            <w:tcBorders>
              <w:tl2br w:val="nil"/>
              <w:tr2bl w:val="nil"/>
            </w:tcBorders>
            <w:noWrap w:val="0"/>
            <w:vAlign w:val="center"/>
          </w:tcPr>
          <w:p w14:paraId="626B347D">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警告图形符号</w:t>
            </w:r>
          </w:p>
        </w:tc>
        <w:tc>
          <w:tcPr>
            <w:tcW w:w="797" w:type="pct"/>
            <w:tcBorders>
              <w:tl2br w:val="nil"/>
              <w:tr2bl w:val="nil"/>
            </w:tcBorders>
            <w:noWrap w:val="0"/>
            <w:vAlign w:val="center"/>
          </w:tcPr>
          <w:p w14:paraId="1109FC4B">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名称</w:t>
            </w:r>
          </w:p>
        </w:tc>
        <w:tc>
          <w:tcPr>
            <w:tcW w:w="1381" w:type="pct"/>
            <w:tcBorders>
              <w:tl2br w:val="nil"/>
              <w:tr2bl w:val="nil"/>
            </w:tcBorders>
            <w:noWrap w:val="0"/>
            <w:vAlign w:val="center"/>
          </w:tcPr>
          <w:p w14:paraId="53E0E896">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功能</w:t>
            </w:r>
          </w:p>
        </w:tc>
      </w:tr>
      <w:tr w14:paraId="44A2B5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tcBorders>
              <w:tl2br w:val="nil"/>
              <w:tr2bl w:val="nil"/>
            </w:tcBorders>
            <w:noWrap w:val="0"/>
            <w:vAlign w:val="center"/>
          </w:tcPr>
          <w:p w14:paraId="41E3DECA">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1</w:t>
            </w:r>
          </w:p>
        </w:tc>
        <w:tc>
          <w:tcPr>
            <w:tcW w:w="1266" w:type="pct"/>
            <w:tcBorders>
              <w:tl2br w:val="nil"/>
              <w:tr2bl w:val="nil"/>
            </w:tcBorders>
            <w:noWrap w:val="0"/>
            <w:vAlign w:val="center"/>
          </w:tcPr>
          <w:p w14:paraId="17B7651D">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u w:val="none" w:color="auto"/>
              </w:rPr>
            </w:pPr>
            <w:r>
              <w:rPr>
                <w:color w:val="auto"/>
                <w:highlight w:val="none"/>
                <w:u w:val="none" w:color="auto"/>
              </w:rPr>
              <w:drawing>
                <wp:inline distT="0" distB="0" distL="114300" distR="114300">
                  <wp:extent cx="1393825" cy="905510"/>
                  <wp:effectExtent l="0" t="0" r="15875" b="8890"/>
                  <wp:docPr id="3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9"/>
                          <pic:cNvPicPr>
                            <a:picLocks noChangeAspect="1"/>
                          </pic:cNvPicPr>
                        </pic:nvPicPr>
                        <pic:blipFill>
                          <a:blip r:embed="rId122"/>
                          <a:stretch>
                            <a:fillRect/>
                          </a:stretch>
                        </pic:blipFill>
                        <pic:spPr>
                          <a:xfrm>
                            <a:off x="0" y="0"/>
                            <a:ext cx="1393825" cy="905510"/>
                          </a:xfrm>
                          <a:prstGeom prst="rect">
                            <a:avLst/>
                          </a:prstGeom>
                          <a:noFill/>
                          <a:ln>
                            <a:noFill/>
                          </a:ln>
                        </pic:spPr>
                      </pic:pic>
                    </a:graphicData>
                  </a:graphic>
                </wp:inline>
              </w:drawing>
            </w:r>
          </w:p>
        </w:tc>
        <w:tc>
          <w:tcPr>
            <w:tcW w:w="1165" w:type="pct"/>
            <w:tcBorders>
              <w:tl2br w:val="nil"/>
              <w:tr2bl w:val="nil"/>
            </w:tcBorders>
            <w:noWrap w:val="0"/>
            <w:vAlign w:val="center"/>
          </w:tcPr>
          <w:p w14:paraId="1636AF50">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highlight w:val="none"/>
                <w:u w:val="none" w:color="auto"/>
              </w:rPr>
            </w:pPr>
            <w:r>
              <w:rPr>
                <w:color w:val="auto"/>
                <w:highlight w:val="none"/>
                <w:u w:val="none" w:color="auto"/>
              </w:rPr>
              <w:drawing>
                <wp:inline distT="0" distB="0" distL="114300" distR="114300">
                  <wp:extent cx="1080135" cy="831215"/>
                  <wp:effectExtent l="0" t="0" r="5715" b="6985"/>
                  <wp:docPr id="3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0"/>
                          <pic:cNvPicPr>
                            <a:picLocks noChangeAspect="1"/>
                          </pic:cNvPicPr>
                        </pic:nvPicPr>
                        <pic:blipFill>
                          <a:blip r:embed="rId123"/>
                          <a:stretch>
                            <a:fillRect/>
                          </a:stretch>
                        </pic:blipFill>
                        <pic:spPr>
                          <a:xfrm>
                            <a:off x="0" y="0"/>
                            <a:ext cx="1080135" cy="831215"/>
                          </a:xfrm>
                          <a:prstGeom prst="rect">
                            <a:avLst/>
                          </a:prstGeom>
                          <a:noFill/>
                          <a:ln>
                            <a:noFill/>
                          </a:ln>
                        </pic:spPr>
                      </pic:pic>
                    </a:graphicData>
                  </a:graphic>
                </wp:inline>
              </w:drawing>
            </w:r>
          </w:p>
        </w:tc>
        <w:tc>
          <w:tcPr>
            <w:tcW w:w="797" w:type="pct"/>
            <w:tcBorders>
              <w:tl2br w:val="nil"/>
              <w:tr2bl w:val="nil"/>
            </w:tcBorders>
            <w:noWrap w:val="0"/>
            <w:vAlign w:val="center"/>
          </w:tcPr>
          <w:p w14:paraId="7B60FFD0">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废</w:t>
            </w:r>
            <w:r>
              <w:rPr>
                <w:rFonts w:hint="eastAsia" w:ascii="Times New Roman" w:hAnsi="Times New Roman" w:cs="Times New Roman"/>
                <w:color w:val="auto"/>
                <w:highlight w:val="none"/>
                <w:u w:val="none" w:color="auto"/>
                <w:lang w:val="en-US" w:eastAsia="zh-CN"/>
              </w:rPr>
              <w:t>水</w:t>
            </w:r>
            <w:r>
              <w:rPr>
                <w:rFonts w:hint="default" w:ascii="Times New Roman" w:hAnsi="Times New Roman" w:cs="Times New Roman"/>
                <w:color w:val="auto"/>
                <w:highlight w:val="none"/>
                <w:u w:val="none" w:color="auto"/>
              </w:rPr>
              <w:t>排放口</w:t>
            </w:r>
          </w:p>
        </w:tc>
        <w:tc>
          <w:tcPr>
            <w:tcW w:w="1381" w:type="pct"/>
            <w:tcBorders>
              <w:tl2br w:val="nil"/>
              <w:tr2bl w:val="nil"/>
            </w:tcBorders>
            <w:noWrap w:val="0"/>
            <w:vAlign w:val="center"/>
          </w:tcPr>
          <w:p w14:paraId="5EFE0F5E">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highlight w:val="none"/>
                <w:u w:val="none" w:color="auto"/>
              </w:rPr>
              <w:t>表示废</w:t>
            </w:r>
            <w:r>
              <w:rPr>
                <w:rFonts w:hint="eastAsia" w:ascii="Times New Roman" w:hAnsi="Times New Roman" w:cs="Times New Roman"/>
                <w:color w:val="auto"/>
                <w:highlight w:val="none"/>
                <w:u w:val="none" w:color="auto"/>
                <w:lang w:val="en-US" w:eastAsia="zh-CN"/>
              </w:rPr>
              <w:t>水</w:t>
            </w:r>
            <w:r>
              <w:rPr>
                <w:rFonts w:hint="default" w:ascii="Times New Roman" w:hAnsi="Times New Roman" w:cs="Times New Roman"/>
                <w:color w:val="auto"/>
                <w:highlight w:val="none"/>
                <w:u w:val="none" w:color="auto"/>
              </w:rPr>
              <w:t>向</w:t>
            </w:r>
            <w:r>
              <w:rPr>
                <w:rFonts w:hint="eastAsia" w:cs="Times New Roman"/>
                <w:color w:val="auto"/>
                <w:highlight w:val="none"/>
                <w:u w:val="none" w:color="auto"/>
                <w:lang w:val="en-US" w:eastAsia="zh-CN"/>
              </w:rPr>
              <w:t>水</w:t>
            </w:r>
            <w:r>
              <w:rPr>
                <w:rFonts w:hint="default" w:ascii="Times New Roman" w:hAnsi="Times New Roman" w:cs="Times New Roman"/>
                <w:color w:val="auto"/>
                <w:highlight w:val="none"/>
                <w:u w:val="none" w:color="auto"/>
              </w:rPr>
              <w:t>环境排放</w:t>
            </w:r>
          </w:p>
        </w:tc>
      </w:tr>
      <w:tr w14:paraId="46E23A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tcBorders>
              <w:tl2br w:val="nil"/>
              <w:tr2bl w:val="nil"/>
            </w:tcBorders>
            <w:noWrap w:val="0"/>
            <w:vAlign w:val="center"/>
          </w:tcPr>
          <w:p w14:paraId="25E4C5FE">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2</w:t>
            </w:r>
          </w:p>
        </w:tc>
        <w:tc>
          <w:tcPr>
            <w:tcW w:w="1266" w:type="pct"/>
            <w:tcBorders>
              <w:tl2br w:val="nil"/>
              <w:tr2bl w:val="nil"/>
            </w:tcBorders>
            <w:noWrap w:val="0"/>
            <w:vAlign w:val="center"/>
          </w:tcPr>
          <w:p w14:paraId="3559F289">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drawing>
                <wp:inline distT="0" distB="0" distL="114300" distR="114300">
                  <wp:extent cx="951865" cy="951865"/>
                  <wp:effectExtent l="0" t="0" r="635" b="635"/>
                  <wp:docPr id="41" name="图片 41" descr="废气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废气排放口"/>
                          <pic:cNvPicPr>
                            <a:picLocks noChangeAspect="1"/>
                          </pic:cNvPicPr>
                        </pic:nvPicPr>
                        <pic:blipFill>
                          <a:blip r:embed="rId124"/>
                          <a:stretch>
                            <a:fillRect/>
                          </a:stretch>
                        </pic:blipFill>
                        <pic:spPr>
                          <a:xfrm>
                            <a:off x="0" y="0"/>
                            <a:ext cx="951865" cy="951865"/>
                          </a:xfrm>
                          <a:prstGeom prst="rect">
                            <a:avLst/>
                          </a:prstGeom>
                          <a:noFill/>
                          <a:ln>
                            <a:noFill/>
                          </a:ln>
                        </pic:spPr>
                      </pic:pic>
                    </a:graphicData>
                  </a:graphic>
                </wp:inline>
              </w:drawing>
            </w:r>
          </w:p>
        </w:tc>
        <w:tc>
          <w:tcPr>
            <w:tcW w:w="1165" w:type="pct"/>
            <w:tcBorders>
              <w:tl2br w:val="nil"/>
              <w:tr2bl w:val="nil"/>
            </w:tcBorders>
            <w:noWrap w:val="0"/>
            <w:vAlign w:val="center"/>
          </w:tcPr>
          <w:p w14:paraId="09DABBE8">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drawing>
                <wp:inline distT="0" distB="0" distL="114300" distR="114300">
                  <wp:extent cx="1080135" cy="962025"/>
                  <wp:effectExtent l="0" t="0" r="5715" b="9525"/>
                  <wp:docPr id="32" name="图片 42" descr="废气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2" descr="废气排放口"/>
                          <pic:cNvPicPr>
                            <a:picLocks noChangeAspect="1"/>
                          </pic:cNvPicPr>
                        </pic:nvPicPr>
                        <pic:blipFill>
                          <a:blip r:embed="rId125"/>
                          <a:stretch>
                            <a:fillRect/>
                          </a:stretch>
                        </pic:blipFill>
                        <pic:spPr>
                          <a:xfrm>
                            <a:off x="0" y="0"/>
                            <a:ext cx="1080135" cy="962025"/>
                          </a:xfrm>
                          <a:prstGeom prst="rect">
                            <a:avLst/>
                          </a:prstGeom>
                          <a:noFill/>
                          <a:ln>
                            <a:noFill/>
                          </a:ln>
                        </pic:spPr>
                      </pic:pic>
                    </a:graphicData>
                  </a:graphic>
                </wp:inline>
              </w:drawing>
            </w:r>
          </w:p>
        </w:tc>
        <w:tc>
          <w:tcPr>
            <w:tcW w:w="797" w:type="pct"/>
            <w:tcBorders>
              <w:tl2br w:val="nil"/>
              <w:tr2bl w:val="nil"/>
            </w:tcBorders>
            <w:noWrap w:val="0"/>
            <w:vAlign w:val="center"/>
          </w:tcPr>
          <w:p w14:paraId="0396F50D">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废气排放口</w:t>
            </w:r>
          </w:p>
        </w:tc>
        <w:tc>
          <w:tcPr>
            <w:tcW w:w="1381" w:type="pct"/>
            <w:tcBorders>
              <w:tl2br w:val="nil"/>
              <w:tr2bl w:val="nil"/>
            </w:tcBorders>
            <w:noWrap w:val="0"/>
            <w:vAlign w:val="center"/>
          </w:tcPr>
          <w:p w14:paraId="12D07DA5">
            <w:pPr>
              <w:pStyle w:val="165"/>
              <w:keepNext w:val="0"/>
              <w:keepLines w:val="0"/>
              <w:pageBreakBefore w:val="0"/>
              <w:widowControl/>
              <w:kinsoku/>
              <w:wordWrap/>
              <w:overflowPunct/>
              <w:autoSpaceDE/>
              <w:autoSpaceDN/>
              <w:bidi w:val="0"/>
              <w:spacing w:line="240" w:lineRule="auto"/>
              <w:ind w:firstLine="0" w:firstLineChars="0"/>
              <w:jc w:val="center"/>
              <w:textAlignment w:val="auto"/>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表示废气向大气环境排放</w:t>
            </w:r>
          </w:p>
        </w:tc>
      </w:tr>
      <w:tr w14:paraId="5222BA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tcBorders>
              <w:tl2br w:val="nil"/>
              <w:tr2bl w:val="nil"/>
            </w:tcBorders>
            <w:noWrap w:val="0"/>
            <w:vAlign w:val="center"/>
          </w:tcPr>
          <w:p w14:paraId="4CF748AF">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cs="Times New Roman"/>
                <w:color w:val="auto"/>
                <w:sz w:val="21"/>
                <w:szCs w:val="21"/>
                <w:highlight w:val="none"/>
                <w:u w:val="none" w:color="auto"/>
              </w:rPr>
              <w:t>3</w:t>
            </w:r>
          </w:p>
        </w:tc>
        <w:tc>
          <w:tcPr>
            <w:tcW w:w="1266" w:type="pct"/>
            <w:tcBorders>
              <w:tl2br w:val="nil"/>
              <w:tr2bl w:val="nil"/>
            </w:tcBorders>
            <w:noWrap w:val="0"/>
            <w:vAlign w:val="center"/>
          </w:tcPr>
          <w:p w14:paraId="23A3081F">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drawing>
                <wp:inline distT="0" distB="0" distL="114300" distR="114300">
                  <wp:extent cx="1065530" cy="1065530"/>
                  <wp:effectExtent l="0" t="0" r="1270" b="1270"/>
                  <wp:docPr id="4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3"/>
                          <pic:cNvPicPr>
                            <a:picLocks noChangeAspect="1"/>
                          </pic:cNvPicPr>
                        </pic:nvPicPr>
                        <pic:blipFill>
                          <a:blip r:embed="rId126"/>
                          <a:stretch>
                            <a:fillRect/>
                          </a:stretch>
                        </pic:blipFill>
                        <pic:spPr>
                          <a:xfrm>
                            <a:off x="0" y="0"/>
                            <a:ext cx="1065530" cy="1065530"/>
                          </a:xfrm>
                          <a:prstGeom prst="rect">
                            <a:avLst/>
                          </a:prstGeom>
                          <a:noFill/>
                          <a:ln>
                            <a:noFill/>
                          </a:ln>
                        </pic:spPr>
                      </pic:pic>
                    </a:graphicData>
                  </a:graphic>
                </wp:inline>
              </w:drawing>
            </w:r>
          </w:p>
        </w:tc>
        <w:tc>
          <w:tcPr>
            <w:tcW w:w="1165" w:type="pct"/>
            <w:tcBorders>
              <w:tl2br w:val="nil"/>
              <w:tr2bl w:val="nil"/>
            </w:tcBorders>
            <w:noWrap w:val="0"/>
            <w:vAlign w:val="center"/>
          </w:tcPr>
          <w:p w14:paraId="3103C7F1">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drawing>
                <wp:inline distT="0" distB="0" distL="114300" distR="114300">
                  <wp:extent cx="1080135" cy="958215"/>
                  <wp:effectExtent l="0" t="0" r="5715" b="13335"/>
                  <wp:docPr id="3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4"/>
                          <pic:cNvPicPr>
                            <a:picLocks noChangeAspect="1"/>
                          </pic:cNvPicPr>
                        </pic:nvPicPr>
                        <pic:blipFill>
                          <a:blip r:embed="rId127"/>
                          <a:stretch>
                            <a:fillRect/>
                          </a:stretch>
                        </pic:blipFill>
                        <pic:spPr>
                          <a:xfrm>
                            <a:off x="0" y="0"/>
                            <a:ext cx="1080135" cy="958215"/>
                          </a:xfrm>
                          <a:prstGeom prst="rect">
                            <a:avLst/>
                          </a:prstGeom>
                          <a:noFill/>
                          <a:ln>
                            <a:noFill/>
                          </a:ln>
                        </pic:spPr>
                      </pic:pic>
                    </a:graphicData>
                  </a:graphic>
                </wp:inline>
              </w:drawing>
            </w:r>
          </w:p>
        </w:tc>
        <w:tc>
          <w:tcPr>
            <w:tcW w:w="797" w:type="pct"/>
            <w:tcBorders>
              <w:tl2br w:val="nil"/>
              <w:tr2bl w:val="nil"/>
            </w:tcBorders>
            <w:noWrap w:val="0"/>
            <w:vAlign w:val="center"/>
          </w:tcPr>
          <w:p w14:paraId="6264367E">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噪声排放源</w:t>
            </w:r>
          </w:p>
        </w:tc>
        <w:tc>
          <w:tcPr>
            <w:tcW w:w="1381" w:type="pct"/>
            <w:tcBorders>
              <w:tl2br w:val="nil"/>
              <w:tr2bl w:val="nil"/>
            </w:tcBorders>
            <w:noWrap w:val="0"/>
            <w:vAlign w:val="center"/>
          </w:tcPr>
          <w:p w14:paraId="502EBECE">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表示噪声向外环境排放</w:t>
            </w:r>
          </w:p>
        </w:tc>
      </w:tr>
      <w:tr w14:paraId="5B8B5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vMerge w:val="restart"/>
            <w:tcBorders>
              <w:tl2br w:val="nil"/>
              <w:tr2bl w:val="nil"/>
            </w:tcBorders>
            <w:noWrap w:val="0"/>
            <w:vAlign w:val="center"/>
          </w:tcPr>
          <w:p w14:paraId="0681A764">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cs="Times New Roman"/>
                <w:color w:val="auto"/>
                <w:sz w:val="21"/>
                <w:szCs w:val="21"/>
                <w:highlight w:val="none"/>
                <w:u w:val="none" w:color="auto"/>
                <w:lang w:val="en-US" w:eastAsia="zh-CN"/>
              </w:rPr>
              <w:t>4</w:t>
            </w:r>
          </w:p>
        </w:tc>
        <w:tc>
          <w:tcPr>
            <w:tcW w:w="1266" w:type="pct"/>
            <w:vMerge w:val="restart"/>
            <w:tcBorders>
              <w:tl2br w:val="nil"/>
              <w:tr2bl w:val="nil"/>
            </w:tcBorders>
            <w:noWrap w:val="0"/>
            <w:vAlign w:val="center"/>
          </w:tcPr>
          <w:p w14:paraId="2843E1D1">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drawing>
                <wp:inline distT="0" distB="0" distL="114300" distR="114300">
                  <wp:extent cx="1065530" cy="1073150"/>
                  <wp:effectExtent l="0" t="0" r="1270" b="12700"/>
                  <wp:docPr id="3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5"/>
                          <pic:cNvPicPr>
                            <a:picLocks noChangeAspect="1"/>
                          </pic:cNvPicPr>
                        </pic:nvPicPr>
                        <pic:blipFill>
                          <a:blip r:embed="rId128"/>
                          <a:stretch>
                            <a:fillRect/>
                          </a:stretch>
                        </pic:blipFill>
                        <pic:spPr>
                          <a:xfrm>
                            <a:off x="0" y="0"/>
                            <a:ext cx="1065530" cy="1073150"/>
                          </a:xfrm>
                          <a:prstGeom prst="rect">
                            <a:avLst/>
                          </a:prstGeom>
                          <a:noFill/>
                          <a:ln>
                            <a:noFill/>
                          </a:ln>
                        </pic:spPr>
                      </pic:pic>
                    </a:graphicData>
                  </a:graphic>
                </wp:inline>
              </w:drawing>
            </w:r>
          </w:p>
        </w:tc>
        <w:tc>
          <w:tcPr>
            <w:tcW w:w="1165" w:type="pct"/>
            <w:tcBorders>
              <w:tl2br w:val="nil"/>
              <w:tr2bl w:val="nil"/>
            </w:tcBorders>
            <w:noWrap w:val="0"/>
            <w:vAlign w:val="center"/>
          </w:tcPr>
          <w:p w14:paraId="7BA2B175">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drawing>
                <wp:inline distT="0" distB="0" distL="114300" distR="114300">
                  <wp:extent cx="1080135" cy="1019810"/>
                  <wp:effectExtent l="0" t="0" r="5715" b="8890"/>
                  <wp:docPr id="4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6"/>
                          <pic:cNvPicPr>
                            <a:picLocks noChangeAspect="1"/>
                          </pic:cNvPicPr>
                        </pic:nvPicPr>
                        <pic:blipFill>
                          <a:blip r:embed="rId129"/>
                          <a:stretch>
                            <a:fillRect/>
                          </a:stretch>
                        </pic:blipFill>
                        <pic:spPr>
                          <a:xfrm>
                            <a:off x="0" y="0"/>
                            <a:ext cx="1080135" cy="1019810"/>
                          </a:xfrm>
                          <a:prstGeom prst="rect">
                            <a:avLst/>
                          </a:prstGeom>
                          <a:noFill/>
                          <a:ln>
                            <a:noFill/>
                          </a:ln>
                        </pic:spPr>
                      </pic:pic>
                    </a:graphicData>
                  </a:graphic>
                </wp:inline>
              </w:drawing>
            </w:r>
          </w:p>
        </w:tc>
        <w:tc>
          <w:tcPr>
            <w:tcW w:w="797" w:type="pct"/>
            <w:tcBorders>
              <w:tl2br w:val="nil"/>
              <w:tr2bl w:val="nil"/>
            </w:tcBorders>
            <w:noWrap w:val="0"/>
            <w:vAlign w:val="center"/>
          </w:tcPr>
          <w:p w14:paraId="0FDCB6F3">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一般固体废物</w:t>
            </w:r>
          </w:p>
        </w:tc>
        <w:tc>
          <w:tcPr>
            <w:tcW w:w="1381" w:type="pct"/>
            <w:tcBorders>
              <w:tl2br w:val="nil"/>
              <w:tr2bl w:val="nil"/>
            </w:tcBorders>
            <w:noWrap w:val="0"/>
            <w:vAlign w:val="center"/>
          </w:tcPr>
          <w:p w14:paraId="73CF786B">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表示一般固体废物贮存、处置场</w:t>
            </w:r>
          </w:p>
        </w:tc>
      </w:tr>
      <w:tr w14:paraId="22C3AC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8" w:type="pct"/>
            <w:vMerge w:val="continue"/>
            <w:tcBorders>
              <w:tl2br w:val="nil"/>
              <w:tr2bl w:val="nil"/>
            </w:tcBorders>
            <w:noWrap w:val="0"/>
            <w:vAlign w:val="center"/>
          </w:tcPr>
          <w:p w14:paraId="00514527">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p>
        </w:tc>
        <w:tc>
          <w:tcPr>
            <w:tcW w:w="1266" w:type="pct"/>
            <w:vMerge w:val="continue"/>
            <w:tcBorders>
              <w:tl2br w:val="nil"/>
              <w:tr2bl w:val="nil"/>
            </w:tcBorders>
            <w:noWrap w:val="0"/>
            <w:vAlign w:val="center"/>
          </w:tcPr>
          <w:p w14:paraId="09EA7664">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p>
        </w:tc>
        <w:tc>
          <w:tcPr>
            <w:tcW w:w="1165" w:type="pct"/>
            <w:tcBorders>
              <w:tl2br w:val="nil"/>
              <w:tr2bl w:val="nil"/>
            </w:tcBorders>
            <w:noWrap w:val="0"/>
            <w:vAlign w:val="center"/>
          </w:tcPr>
          <w:p w14:paraId="0EA54CBC">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color w:val="auto"/>
                <w:highlight w:val="none"/>
                <w:u w:val="none" w:color="auto"/>
              </w:rPr>
              <w:drawing>
                <wp:inline distT="0" distB="0" distL="114300" distR="114300">
                  <wp:extent cx="1080135" cy="1167765"/>
                  <wp:effectExtent l="0" t="0" r="5715" b="13335"/>
                  <wp:docPr id="4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7"/>
                          <pic:cNvPicPr>
                            <a:picLocks noChangeAspect="1"/>
                          </pic:cNvPicPr>
                        </pic:nvPicPr>
                        <pic:blipFill>
                          <a:blip r:embed="rId130"/>
                          <a:srcRect l="51060" t="10251" r="3076" b="11751"/>
                          <a:stretch>
                            <a:fillRect/>
                          </a:stretch>
                        </pic:blipFill>
                        <pic:spPr>
                          <a:xfrm>
                            <a:off x="0" y="0"/>
                            <a:ext cx="1080135" cy="1167765"/>
                          </a:xfrm>
                          <a:prstGeom prst="rect">
                            <a:avLst/>
                          </a:prstGeom>
                          <a:noFill/>
                          <a:ln>
                            <a:noFill/>
                          </a:ln>
                        </pic:spPr>
                      </pic:pic>
                    </a:graphicData>
                  </a:graphic>
                </wp:inline>
              </w:drawing>
            </w:r>
          </w:p>
        </w:tc>
        <w:tc>
          <w:tcPr>
            <w:tcW w:w="797" w:type="pct"/>
            <w:tcBorders>
              <w:tl2br w:val="nil"/>
              <w:tr2bl w:val="nil"/>
            </w:tcBorders>
            <w:noWrap w:val="0"/>
            <w:vAlign w:val="center"/>
          </w:tcPr>
          <w:p w14:paraId="49132570">
            <w:pPr>
              <w:keepNext w:val="0"/>
              <w:keepLines w:val="0"/>
              <w:pageBreakBefore w:val="0"/>
              <w:widowControl/>
              <w:kinsoku/>
              <w:wordWrap/>
              <w:overflowPunct/>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危险废物</w:t>
            </w:r>
          </w:p>
        </w:tc>
        <w:tc>
          <w:tcPr>
            <w:tcW w:w="1381" w:type="pct"/>
            <w:tcBorders>
              <w:tl2br w:val="nil"/>
              <w:tr2bl w:val="nil"/>
            </w:tcBorders>
            <w:noWrap w:val="0"/>
            <w:vAlign w:val="center"/>
          </w:tcPr>
          <w:p w14:paraId="7363DB57">
            <w:pPr>
              <w:keepNext w:val="0"/>
              <w:keepLines w:val="0"/>
              <w:pageBreakBefore w:val="0"/>
              <w:widowControl/>
              <w:kinsoku/>
              <w:wordWrap/>
              <w:overflowPunct/>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表示危险废物贮存、处置场</w:t>
            </w:r>
          </w:p>
        </w:tc>
      </w:tr>
    </w:tbl>
    <w:p w14:paraId="6E69EA63">
      <w:pPr>
        <w:adjustRightInd w:val="0"/>
        <w:snapToGrid w:val="0"/>
        <w:spacing w:beforeLines="0" w:line="360" w:lineRule="auto"/>
        <w:ind w:firstLine="480"/>
        <w:jc w:val="left"/>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7）标志牌的设置按照国家环保总局制定的《环境保护图形标志实施细则（试行）》的规定，设置与排污口相应的图形标志牌，并保证环保标志明显。标志牌必须保持清晰、完整，当发现有损坏或颜色有变化，应及时修复或更换。检查时间一年两次。</w:t>
      </w:r>
    </w:p>
    <w:p w14:paraId="02C4D24A">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707" w:name="_Toc16806"/>
      <w:bookmarkStart w:id="708" w:name="_Toc22323"/>
      <w:bookmarkStart w:id="709" w:name="_Toc16219"/>
      <w:bookmarkStart w:id="710" w:name="_Toc9761"/>
      <w:bookmarkStart w:id="711" w:name="_Toc3042"/>
      <w:bookmarkStart w:id="712" w:name="_Toc4448"/>
      <w:bookmarkStart w:id="713" w:name="_Toc1799"/>
      <w:r>
        <w:rPr>
          <w:rFonts w:hint="eastAsia" w:ascii="Times New Roman" w:hAnsi="Times New Roman" w:eastAsia="宋体" w:cs="Times New Roman"/>
          <w:color w:val="auto"/>
          <w:sz w:val="30"/>
          <w:szCs w:val="30"/>
          <w:highlight w:val="none"/>
          <w:u w:val="none" w:color="auto"/>
          <w:lang w:val="en-US" w:eastAsia="zh-CN"/>
        </w:rPr>
        <w:t>9</w:t>
      </w:r>
      <w:r>
        <w:rPr>
          <w:rFonts w:hint="default" w:ascii="Times New Roman" w:hAnsi="Times New Roman" w:eastAsia="宋体" w:cs="Times New Roman"/>
          <w:color w:val="auto"/>
          <w:sz w:val="30"/>
          <w:szCs w:val="30"/>
          <w:highlight w:val="none"/>
          <w:u w:val="none" w:color="auto"/>
          <w:lang w:val="en-US"/>
        </w:rPr>
        <w:t>.</w:t>
      </w:r>
      <w:bookmarkEnd w:id="690"/>
      <w:bookmarkEnd w:id="691"/>
      <w:bookmarkEnd w:id="692"/>
      <w:r>
        <w:rPr>
          <w:rFonts w:hint="eastAsia" w:ascii="Times New Roman" w:hAnsi="Times New Roman" w:eastAsia="宋体" w:cs="Times New Roman"/>
          <w:color w:val="auto"/>
          <w:sz w:val="30"/>
          <w:szCs w:val="30"/>
          <w:highlight w:val="none"/>
          <w:u w:val="none" w:color="auto"/>
          <w:lang w:val="en-US" w:eastAsia="zh-CN"/>
        </w:rPr>
        <w:t>5</w:t>
      </w:r>
      <w:r>
        <w:rPr>
          <w:rFonts w:hint="default" w:ascii="Times New Roman" w:hAnsi="Times New Roman" w:eastAsia="宋体" w:cs="Times New Roman"/>
          <w:color w:val="auto"/>
          <w:sz w:val="30"/>
          <w:szCs w:val="30"/>
          <w:highlight w:val="none"/>
          <w:u w:val="none" w:color="auto"/>
          <w:lang w:val="en-US"/>
        </w:rPr>
        <w:t>项目竣工环保验收</w:t>
      </w:r>
      <w:bookmarkEnd w:id="693"/>
      <w:bookmarkEnd w:id="694"/>
      <w:bookmarkEnd w:id="695"/>
      <w:bookmarkEnd w:id="696"/>
      <w:bookmarkEnd w:id="697"/>
      <w:bookmarkEnd w:id="698"/>
      <w:bookmarkEnd w:id="699"/>
      <w:bookmarkEnd w:id="707"/>
      <w:bookmarkEnd w:id="708"/>
      <w:bookmarkEnd w:id="709"/>
      <w:bookmarkEnd w:id="710"/>
      <w:bookmarkEnd w:id="711"/>
      <w:bookmarkEnd w:id="712"/>
      <w:bookmarkEnd w:id="713"/>
    </w:p>
    <w:p w14:paraId="6933FB35">
      <w:pPr>
        <w:pStyle w:val="3"/>
        <w:keepNext w:val="0"/>
        <w:keepLines w:val="0"/>
        <w:pageBreakBefore w:val="0"/>
        <w:widowControl w:val="0"/>
        <w:numPr>
          <w:ilvl w:val="1"/>
          <w:numId w:val="0"/>
        </w:numPr>
        <w:kinsoku/>
        <w:wordWrap/>
        <w:overflowPunct/>
        <w:topLinePunct w:val="0"/>
        <w:autoSpaceDE/>
        <w:autoSpaceDN/>
        <w:bidi w:val="0"/>
        <w:adjustRightInd/>
        <w:snapToGrid w:val="0"/>
        <w:spacing w:before="168" w:beforeLines="50" w:after="0" w:afterLines="0" w:line="360" w:lineRule="auto"/>
        <w:ind w:leftChars="0"/>
        <w:textAlignment w:val="auto"/>
        <w:rPr>
          <w:rFonts w:hint="default" w:ascii="Times New Roman" w:hAnsi="Times New Roman" w:eastAsia="宋体" w:cs="Times New Roman"/>
          <w:b/>
          <w:bCs/>
          <w:color w:val="auto"/>
          <w:sz w:val="28"/>
          <w:szCs w:val="28"/>
          <w:highlight w:val="none"/>
          <w:u w:val="none" w:color="auto"/>
          <w:lang w:val="en-US" w:eastAsia="zh-CN"/>
        </w:rPr>
      </w:pPr>
      <w:bookmarkStart w:id="714" w:name="_Toc11247"/>
      <w:bookmarkStart w:id="715" w:name="_Toc13942"/>
      <w:bookmarkStart w:id="716" w:name="_Toc15153"/>
      <w:bookmarkStart w:id="717" w:name="_Toc16186"/>
      <w:bookmarkStart w:id="718" w:name="_Toc316"/>
      <w:bookmarkStart w:id="719" w:name="_Toc30396"/>
      <w:bookmarkStart w:id="720" w:name="_Toc14420"/>
      <w:r>
        <w:rPr>
          <w:rFonts w:hint="eastAsia" w:ascii="Times New Roman" w:hAnsi="Times New Roman" w:eastAsia="宋体" w:cs="Times New Roman"/>
          <w:b/>
          <w:bCs/>
          <w:color w:val="auto"/>
          <w:sz w:val="28"/>
          <w:szCs w:val="28"/>
          <w:highlight w:val="none"/>
          <w:u w:val="none" w:color="auto"/>
          <w:lang w:val="en-US" w:eastAsia="zh-CN"/>
        </w:rPr>
        <w:t>9.5.1工程竣工验收内容</w:t>
      </w:r>
      <w:bookmarkEnd w:id="714"/>
      <w:bookmarkEnd w:id="715"/>
      <w:bookmarkEnd w:id="716"/>
      <w:bookmarkEnd w:id="717"/>
      <w:bookmarkEnd w:id="718"/>
      <w:bookmarkEnd w:id="719"/>
      <w:bookmarkEnd w:id="720"/>
    </w:p>
    <w:p w14:paraId="64093E7E">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企业自行组织进行工程项目竣工时的环保“三同时”验收，验收内容包括：</w:t>
      </w:r>
    </w:p>
    <w:p w14:paraId="11287873">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（1）项目建设单位是否按照环保部门审查通过的设计方案，配备废气、噪声的处理设施以及固废的暂存、三防设施。</w:t>
      </w:r>
    </w:p>
    <w:p w14:paraId="5622FD19">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（2）各项环保处理设施是否达到规定的指标，由</w:t>
      </w:r>
      <w:r>
        <w:rPr>
          <w:rFonts w:hint="eastAsia" w:cs="Times New Roman"/>
          <w:color w:val="auto"/>
          <w:sz w:val="24"/>
          <w:szCs w:val="24"/>
          <w:highlight w:val="none"/>
          <w:u w:val="none" w:color="auto"/>
          <w:lang w:val="en-US" w:eastAsia="zh-CN"/>
        </w:rPr>
        <w:t>第三方检测单位</w:t>
      </w:r>
      <w:r>
        <w:rPr>
          <w:rFonts w:hint="default" w:ascii="Times New Roman" w:hAnsi="Times New Roman" w:cs="Times New Roman"/>
          <w:color w:val="auto"/>
          <w:sz w:val="24"/>
          <w:szCs w:val="24"/>
          <w:highlight w:val="none"/>
          <w:u w:val="none" w:color="auto"/>
        </w:rPr>
        <w:t>进行监测，并出具验收报告。</w:t>
      </w:r>
    </w:p>
    <w:p w14:paraId="2A369B9F">
      <w:pPr>
        <w:ind w:firstLine="480"/>
        <w:rPr>
          <w:rFonts w:hint="default" w:ascii="Times New Roman" w:hAnsi="Times New Roman" w:cs="Times New Roman"/>
          <w:color w:val="auto"/>
          <w:highlight w:val="none"/>
          <w:u w:val="none" w:color="auto"/>
        </w:rPr>
      </w:pPr>
      <w:r>
        <w:rPr>
          <w:rFonts w:hint="default" w:ascii="Times New Roman" w:hAnsi="Times New Roman" w:cs="Times New Roman"/>
          <w:color w:val="auto"/>
          <w:sz w:val="24"/>
          <w:szCs w:val="24"/>
          <w:highlight w:val="none"/>
          <w:u w:val="none" w:color="auto"/>
        </w:rPr>
        <w:t>（3）对拟定的环境保护管理组织机构、职责和工作计划的内容、配备的检查监督手段等进行审核，同时检查是否配备了污染事故处理的应急计划和进行处理设施和技术。</w:t>
      </w:r>
    </w:p>
    <w:p w14:paraId="57D3C1D2">
      <w:pPr>
        <w:pStyle w:val="3"/>
        <w:keepNext w:val="0"/>
        <w:keepLines w:val="0"/>
        <w:pageBreakBefore w:val="0"/>
        <w:widowControl w:val="0"/>
        <w:numPr>
          <w:ilvl w:val="1"/>
          <w:numId w:val="0"/>
        </w:numPr>
        <w:kinsoku/>
        <w:wordWrap/>
        <w:overflowPunct/>
        <w:topLinePunct w:val="0"/>
        <w:autoSpaceDE/>
        <w:autoSpaceDN/>
        <w:bidi w:val="0"/>
        <w:adjustRightInd/>
        <w:snapToGrid w:val="0"/>
        <w:spacing w:before="168" w:beforeLines="50" w:after="0" w:afterLines="0" w:line="360" w:lineRule="auto"/>
        <w:ind w:leftChars="0"/>
        <w:textAlignment w:val="auto"/>
        <w:rPr>
          <w:rFonts w:hint="default" w:ascii="Times New Roman" w:hAnsi="Times New Roman" w:eastAsia="宋体" w:cs="Times New Roman"/>
          <w:b/>
          <w:bCs/>
          <w:color w:val="auto"/>
          <w:sz w:val="28"/>
          <w:szCs w:val="28"/>
          <w:highlight w:val="none"/>
          <w:u w:val="none" w:color="auto"/>
          <w:lang w:val="en-US" w:eastAsia="zh-CN"/>
        </w:rPr>
      </w:pPr>
      <w:bookmarkStart w:id="721" w:name="_Toc8426"/>
      <w:bookmarkStart w:id="722" w:name="_Toc451"/>
      <w:bookmarkStart w:id="723" w:name="_Toc21871"/>
      <w:bookmarkStart w:id="724" w:name="_Toc28354"/>
      <w:bookmarkStart w:id="725" w:name="_Toc11678"/>
      <w:bookmarkStart w:id="726" w:name="_Toc21796"/>
      <w:bookmarkStart w:id="727" w:name="_Toc8716"/>
      <w:r>
        <w:rPr>
          <w:rFonts w:hint="eastAsia" w:ascii="Times New Roman" w:hAnsi="Times New Roman" w:eastAsia="宋体" w:cs="Times New Roman"/>
          <w:b/>
          <w:bCs/>
          <w:color w:val="auto"/>
          <w:sz w:val="28"/>
          <w:szCs w:val="28"/>
          <w:highlight w:val="none"/>
          <w:u w:val="none" w:color="auto"/>
          <w:lang w:val="en-US" w:eastAsia="zh-CN"/>
        </w:rPr>
        <w:t>9.5.2验收流程</w:t>
      </w:r>
      <w:bookmarkEnd w:id="721"/>
      <w:bookmarkEnd w:id="722"/>
      <w:bookmarkEnd w:id="723"/>
      <w:bookmarkEnd w:id="724"/>
      <w:bookmarkEnd w:id="725"/>
      <w:bookmarkEnd w:id="726"/>
      <w:bookmarkEnd w:id="727"/>
    </w:p>
    <w:p w14:paraId="32BBB41F">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为贯彻落实新修改的《建设项目环境保护管理条例》，规范建设项目竣工后建设单位自主开展环境保护验收的程序和标准。根据《建设项目竣工环境保护验收技术指南 污染影响类》，建设单位是建设项目竣工环境保护验收的责任主体，应当组织对</w:t>
      </w:r>
      <w:r>
        <w:rPr>
          <w:rFonts w:hint="default" w:ascii="Times New Roman" w:hAnsi="Times New Roman" w:cs="Times New Roman"/>
          <w:color w:val="auto"/>
          <w:sz w:val="24"/>
          <w:szCs w:val="24"/>
          <w:highlight w:val="none"/>
          <w:u w:val="none" w:color="auto"/>
          <w:lang w:eastAsia="zh-CN"/>
        </w:rPr>
        <w:t>项目</w:t>
      </w:r>
      <w:r>
        <w:rPr>
          <w:rFonts w:hint="default" w:ascii="Times New Roman" w:hAnsi="Times New Roman" w:cs="Times New Roman"/>
          <w:color w:val="auto"/>
          <w:sz w:val="24"/>
          <w:szCs w:val="24"/>
          <w:highlight w:val="none"/>
          <w:u w:val="none" w:color="auto"/>
        </w:rPr>
        <w:t>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7935AB31">
      <w:pPr>
        <w:spacing w:line="360" w:lineRule="auto"/>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具体验收流程见下图</w:t>
      </w:r>
      <w:r>
        <w:rPr>
          <w:rFonts w:hint="eastAsia" w:cs="Times New Roman"/>
          <w:color w:val="auto"/>
          <w:sz w:val="24"/>
          <w:szCs w:val="24"/>
          <w:highlight w:val="none"/>
          <w:u w:val="none" w:color="auto"/>
          <w:lang w:val="en-US" w:eastAsia="zh-CN"/>
        </w:rPr>
        <w:t>9</w:t>
      </w:r>
      <w:r>
        <w:rPr>
          <w:rFonts w:hint="eastAsia" w:ascii="Times New Roman" w:hAnsi="Times New Roman"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val="en-US" w:eastAsia="zh-CN"/>
        </w:rPr>
        <w:t>5</w:t>
      </w:r>
      <w:r>
        <w:rPr>
          <w:rFonts w:hint="default" w:ascii="Times New Roman" w:hAnsi="Times New Roman" w:cs="Times New Roman"/>
          <w:color w:val="auto"/>
          <w:sz w:val="24"/>
          <w:szCs w:val="24"/>
          <w:highlight w:val="none"/>
          <w:u w:val="none" w:color="auto"/>
        </w:rPr>
        <w:t>-1。</w:t>
      </w:r>
    </w:p>
    <w:p w14:paraId="3FDD850B">
      <w:pPr>
        <w:pStyle w:val="112"/>
        <w:spacing w:line="360" w:lineRule="auto"/>
        <w:ind w:firstLine="0" w:firstLineChars="0"/>
        <w:jc w:val="center"/>
        <w:rPr>
          <w:rStyle w:val="166"/>
          <w:rFonts w:hint="default" w:ascii="Times New Roman" w:hAnsi="Times New Roman" w:cs="Times New Roman"/>
          <w:b/>
          <w:color w:val="auto"/>
          <w:sz w:val="21"/>
          <w:szCs w:val="21"/>
          <w:highlight w:val="none"/>
          <w:u w:val="none" w:color="auto"/>
        </w:rPr>
      </w:pPr>
      <w:r>
        <w:rPr>
          <w:rFonts w:hint="default" w:ascii="Times New Roman" w:hAnsi="Times New Roman" w:cs="Times New Roman"/>
          <w:color w:val="auto"/>
          <w:sz w:val="24"/>
          <w:highlight w:val="none"/>
          <w:u w:val="none" w:color="auto"/>
        </w:rPr>
        <mc:AlternateContent>
          <mc:Choice Requires="wpc">
            <w:drawing>
              <wp:inline distT="0" distB="0" distL="114300" distR="114300">
                <wp:extent cx="5765800" cy="1752600"/>
                <wp:effectExtent l="0" t="0" r="0" b="0"/>
                <wp:docPr id="45" name="画布 45"/>
                <wp:cNvGraphicFramePr/>
                <a:graphic xmlns:a="http://schemas.openxmlformats.org/drawingml/2006/main">
                  <a:graphicData uri="http://schemas.microsoft.com/office/word/2010/wordprocessingCanvas">
                    <wpc:wpc>
                      <wpc:bg>
                        <a:noFill/>
                      </wpc:bg>
                      <wpc:whole>
                        <a:ln>
                          <a:noFill/>
                        </a:ln>
                      </wpc:whole>
                      <wps:wsp>
                        <wps:cNvPr id="24" name="文本框 217"/>
                        <wps:cNvSpPr txBox="1"/>
                        <wps:spPr>
                          <a:xfrm>
                            <a:off x="156210" y="412750"/>
                            <a:ext cx="1196340" cy="29718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D52A23B">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申领排污许可证</w:t>
                              </w:r>
                            </w:p>
                            <w:p w14:paraId="32B957EE">
                              <w:pPr>
                                <w:rPr>
                                  <w:rFonts w:hint="eastAsia"/>
                                  <w:lang w:eastAsia="zh-CN"/>
                                </w:rPr>
                              </w:pPr>
                            </w:p>
                          </w:txbxContent>
                        </wps:txbx>
                        <wps:bodyPr upright="1"/>
                      </wps:wsp>
                      <wps:wsp>
                        <wps:cNvPr id="76" name="文本框 218"/>
                        <wps:cNvSpPr txBox="1"/>
                        <wps:spPr>
                          <a:xfrm>
                            <a:off x="453390" y="1370330"/>
                            <a:ext cx="1254125" cy="292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8D396C9">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网上填报信息</w:t>
                              </w:r>
                            </w:p>
                          </w:txbxContent>
                        </wps:txbx>
                        <wps:bodyPr upright="1"/>
                      </wps:wsp>
                      <wps:wsp>
                        <wps:cNvPr id="93" name="文本框 219"/>
                        <wps:cNvSpPr txBox="1"/>
                        <wps:spPr>
                          <a:xfrm>
                            <a:off x="2123440" y="405765"/>
                            <a:ext cx="1357630" cy="292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1A71813">
                              <w:pPr>
                                <w:spacing w:line="240" w:lineRule="auto"/>
                                <w:ind w:left="0" w:leftChars="0" w:firstLine="0" w:firstLineChars="0"/>
                                <w:rPr>
                                  <w:rFonts w:hint="eastAsia" w:eastAsia="宋体"/>
                                  <w:sz w:val="21"/>
                                  <w:szCs w:val="21"/>
                                  <w:lang w:eastAsia="zh-CN"/>
                                </w:rPr>
                              </w:pPr>
                              <w:r>
                                <w:rPr>
                                  <w:rFonts w:hint="eastAsia"/>
                                  <w:sz w:val="21"/>
                                  <w:szCs w:val="21"/>
                                  <w:lang w:eastAsia="zh-CN"/>
                                </w:rPr>
                                <w:t>查验、调试环保设施</w:t>
                              </w:r>
                            </w:p>
                            <w:p w14:paraId="64AF2174">
                              <w:pPr>
                                <w:rPr>
                                  <w:rFonts w:hint="eastAsia"/>
                                  <w:lang w:eastAsia="zh-CN"/>
                                </w:rPr>
                              </w:pPr>
                            </w:p>
                          </w:txbxContent>
                        </wps:txbx>
                        <wps:bodyPr upright="1"/>
                      </wps:wsp>
                      <wps:wsp>
                        <wps:cNvPr id="103" name="文本框 220"/>
                        <wps:cNvSpPr txBox="1"/>
                        <wps:spPr>
                          <a:xfrm>
                            <a:off x="4251961" y="393700"/>
                            <a:ext cx="1181100" cy="292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69E76F2">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编制验收报告</w:t>
                              </w:r>
                            </w:p>
                          </w:txbxContent>
                        </wps:txbx>
                        <wps:bodyPr upright="1"/>
                      </wps:wsp>
                      <wps:wsp>
                        <wps:cNvPr id="107" name="文本框 221"/>
                        <wps:cNvSpPr txBox="1"/>
                        <wps:spPr>
                          <a:xfrm>
                            <a:off x="4287521" y="1358265"/>
                            <a:ext cx="1181100" cy="292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72973EE">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提出验收意见</w:t>
                              </w:r>
                            </w:p>
                          </w:txbxContent>
                        </wps:txbx>
                        <wps:bodyPr upright="1"/>
                      </wps:wsp>
                      <wps:wsp>
                        <wps:cNvPr id="125" name="文本框 222"/>
                        <wps:cNvSpPr txBox="1"/>
                        <wps:spPr>
                          <a:xfrm>
                            <a:off x="2418715" y="1370330"/>
                            <a:ext cx="1181100" cy="292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7DE4100">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公开验收报告</w:t>
                              </w:r>
                            </w:p>
                          </w:txbxContent>
                        </wps:txbx>
                        <wps:bodyPr upright="1"/>
                      </wps:wsp>
                      <wps:wsp>
                        <wps:cNvPr id="145" name="直接连接符 223"/>
                        <wps:cNvCnPr/>
                        <wps:spPr>
                          <a:xfrm>
                            <a:off x="1372870" y="543560"/>
                            <a:ext cx="749935" cy="635"/>
                          </a:xfrm>
                          <a:prstGeom prst="line">
                            <a:avLst/>
                          </a:prstGeom>
                          <a:ln w="9525" cap="flat" cmpd="sng">
                            <a:solidFill>
                              <a:srgbClr val="000000"/>
                            </a:solidFill>
                            <a:prstDash val="solid"/>
                            <a:headEnd type="none" w="med" len="med"/>
                            <a:tailEnd type="arrow" w="med" len="med"/>
                          </a:ln>
                          <a:effectLst/>
                        </wps:spPr>
                        <wps:bodyPr upright="1"/>
                      </wps:wsp>
                      <wps:wsp>
                        <wps:cNvPr id="146" name="直接连接符 224"/>
                        <wps:cNvCnPr/>
                        <wps:spPr>
                          <a:xfrm>
                            <a:off x="3489326" y="560705"/>
                            <a:ext cx="749300" cy="0"/>
                          </a:xfrm>
                          <a:prstGeom prst="line">
                            <a:avLst/>
                          </a:prstGeom>
                          <a:ln w="9525" cap="flat" cmpd="sng">
                            <a:solidFill>
                              <a:srgbClr val="000000"/>
                            </a:solidFill>
                            <a:prstDash val="solid"/>
                            <a:headEnd type="none" w="med" len="med"/>
                            <a:tailEnd type="arrow" w="med" len="med"/>
                          </a:ln>
                          <a:effectLst/>
                        </wps:spPr>
                        <wps:bodyPr upright="1"/>
                      </wps:wsp>
                      <wps:wsp>
                        <wps:cNvPr id="147" name="直接连接符 225"/>
                        <wps:cNvCnPr/>
                        <wps:spPr>
                          <a:xfrm>
                            <a:off x="4859021" y="703580"/>
                            <a:ext cx="11430" cy="655955"/>
                          </a:xfrm>
                          <a:prstGeom prst="line">
                            <a:avLst/>
                          </a:prstGeom>
                          <a:ln w="9525" cap="flat" cmpd="sng">
                            <a:solidFill>
                              <a:srgbClr val="000000"/>
                            </a:solidFill>
                            <a:prstDash val="solid"/>
                            <a:headEnd type="none" w="med" len="med"/>
                            <a:tailEnd type="arrow" w="med" len="med"/>
                          </a:ln>
                          <a:effectLst/>
                        </wps:spPr>
                        <wps:bodyPr upright="1"/>
                      </wps:wsp>
                      <wps:wsp>
                        <wps:cNvPr id="148" name="直接连接符 226"/>
                        <wps:cNvCnPr/>
                        <wps:spPr>
                          <a:xfrm flipH="1">
                            <a:off x="3597911" y="1512570"/>
                            <a:ext cx="701675" cy="5080"/>
                          </a:xfrm>
                          <a:prstGeom prst="line">
                            <a:avLst/>
                          </a:prstGeom>
                          <a:ln w="9525" cap="flat" cmpd="sng">
                            <a:solidFill>
                              <a:srgbClr val="000000"/>
                            </a:solidFill>
                            <a:prstDash val="solid"/>
                            <a:headEnd type="none" w="med" len="med"/>
                            <a:tailEnd type="arrow" w="med" len="med"/>
                          </a:ln>
                          <a:effectLst/>
                        </wps:spPr>
                        <wps:bodyPr upright="1"/>
                      </wps:wsp>
                      <wps:wsp>
                        <wps:cNvPr id="149" name="直接连接符 227"/>
                        <wps:cNvCnPr/>
                        <wps:spPr>
                          <a:xfrm flipH="1">
                            <a:off x="1703705" y="1513205"/>
                            <a:ext cx="698500" cy="0"/>
                          </a:xfrm>
                          <a:prstGeom prst="line">
                            <a:avLst/>
                          </a:prstGeom>
                          <a:ln w="9525" cap="flat" cmpd="sng">
                            <a:solidFill>
                              <a:srgbClr val="000000"/>
                            </a:solidFill>
                            <a:prstDash val="solid"/>
                            <a:headEnd type="none" w="med" len="med"/>
                            <a:tailEnd type="arrow" w="med" len="med"/>
                          </a:ln>
                          <a:effectLst/>
                        </wps:spPr>
                        <wps:bodyPr upright="1"/>
                      </wps:wsp>
                    </wpc:wpc>
                  </a:graphicData>
                </a:graphic>
              </wp:inline>
            </w:drawing>
          </mc:Choice>
          <mc:Fallback>
            <w:pict>
              <v:group id="_x0000_s1026" o:spid="_x0000_s1026" o:spt="203" style="height:138pt;width:454pt;" coordsize="5765800,1752600" editas="canvas" o:gfxdata="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">
                <o:lock v:ext="edit" aspectratio="f"/>
                <v:shape id="_x0000_s1026" o:spid="_x0000_s1026" style="position:absolute;left:0;top:0;height:1752600;width:5765800;" filled="f" stroked="f" coordsize="21600,21600" o:gfxdata="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">
                  <v:fill on="f" focussize="0,0"/>
                  <v:stroke on="f"/>
                  <v:imagedata o:title=""/>
                  <o:lock v:ext="edit" aspectratio="f"/>
                </v:shape>
                <v:shape id="文本框 217" o:spid="_x0000_s1026" o:spt="202" type="#_x0000_t202" style="position:absolute;left:156210;top:412750;height:297180;width:1196340;" fillcolor="#FFFFFF" filled="t" stroked="t" coordsize="21600,21600" o:gfxdata="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I9mctUAAAAF&#10;AQAADwAAAAAAAAABACAAAAAiAAAAZHJzL2Rvd25yZXYueG1sUEsBAhQAFAAAAAgAh07iQMm+TIUf&#10;AgAAUQQAAA4AAAAAAAAAAQAgAAAAJAEAAGRycy9lMm9Eb2MueG1sUEsFBgAAAAAGAAYAWQEAALUF&#10;AAAAAA==&#10;">
                  <v:fill on="t" focussize="0,0"/>
                  <v:stroke color="#000000" joinstyle="miter"/>
                  <v:imagedata o:title=""/>
                  <o:lock v:ext="edit" aspectratio="f"/>
                  <v:textbox>
                    <w:txbxContent>
                      <w:p w14:paraId="1D52A23B">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申领排污许可证</w:t>
                        </w:r>
                      </w:p>
                      <w:p w14:paraId="32B957EE">
                        <w:pPr>
                          <w:rPr>
                            <w:rFonts w:hint="eastAsia"/>
                            <w:lang w:eastAsia="zh-CN"/>
                          </w:rPr>
                        </w:pPr>
                      </w:p>
                    </w:txbxContent>
                  </v:textbox>
                </v:shape>
                <v:shape id="文本框 218" o:spid="_x0000_s1026" o:spt="202" type="#_x0000_t202" style="position:absolute;left:453390;top:1370330;height:292100;width:1254125;" fillcolor="#FFFFFF" filled="t" stroked="t" coordsize="21600,21600" o:gfxdata="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I9mctUAAAAF&#10;AQAADwAAAAAAAAABACAAAAAiAAAAZHJzL2Rvd25yZXYueG1sUEsBAhQAFAAAAAgAh07iQGC5rUgf&#10;AgAAUgQAAA4AAAAAAAAAAQAgAAAAJAEAAGRycy9lMm9Eb2MueG1sUEsFBgAAAAAGAAYAWQEAALUF&#10;AAAAAA==&#10;">
                  <v:fill on="t" focussize="0,0"/>
                  <v:stroke color="#000000" joinstyle="miter"/>
                  <v:imagedata o:title=""/>
                  <o:lock v:ext="edit" aspectratio="f"/>
                  <v:textbox>
                    <w:txbxContent>
                      <w:p w14:paraId="08D396C9">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网上填报信息</w:t>
                        </w:r>
                      </w:p>
                    </w:txbxContent>
                  </v:textbox>
                </v:shape>
                <v:shape id="文本框 219" o:spid="_x0000_s1026" o:spt="202" type="#_x0000_t202" style="position:absolute;left:2123440;top:405765;height:292100;width:1357630;" fillcolor="#FFFFFF" filled="t" stroked="t" coordsize="21600,21600" o:gfxdata="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I9mctUAAAAF&#10;AQAADwAAAAAAAAABACAAAAAiAAAAZHJzL2Rvd25yZXYueG1sUEsBAhQAFAAAAAgAh07iQP0QewMf&#10;AgAAUgQAAA4AAAAAAAAAAQAgAAAAJAEAAGRycy9lMm9Eb2MueG1sUEsFBgAAAAAGAAYAWQEAALUF&#10;AAAAAA==&#10;">
                  <v:fill on="t" focussize="0,0"/>
                  <v:stroke color="#000000" joinstyle="miter"/>
                  <v:imagedata o:title=""/>
                  <o:lock v:ext="edit" aspectratio="f"/>
                  <v:textbox>
                    <w:txbxContent>
                      <w:p w14:paraId="01A71813">
                        <w:pPr>
                          <w:spacing w:line="240" w:lineRule="auto"/>
                          <w:ind w:left="0" w:leftChars="0" w:firstLine="0" w:firstLineChars="0"/>
                          <w:rPr>
                            <w:rFonts w:hint="eastAsia" w:eastAsia="宋体"/>
                            <w:sz w:val="21"/>
                            <w:szCs w:val="21"/>
                            <w:lang w:eastAsia="zh-CN"/>
                          </w:rPr>
                        </w:pPr>
                        <w:r>
                          <w:rPr>
                            <w:rFonts w:hint="eastAsia"/>
                            <w:sz w:val="21"/>
                            <w:szCs w:val="21"/>
                            <w:lang w:eastAsia="zh-CN"/>
                          </w:rPr>
                          <w:t>查验、调试环保设施</w:t>
                        </w:r>
                      </w:p>
                      <w:p w14:paraId="64AF2174">
                        <w:pPr>
                          <w:rPr>
                            <w:rFonts w:hint="eastAsia"/>
                            <w:lang w:eastAsia="zh-CN"/>
                          </w:rPr>
                        </w:pPr>
                      </w:p>
                    </w:txbxContent>
                  </v:textbox>
                </v:shape>
                <v:shape id="文本框 220" o:spid="_x0000_s1026" o:spt="202" type="#_x0000_t202" style="position:absolute;left:4251961;top:393700;height:292100;width:1181100;" fillcolor="#FFFFFF" filled="t" stroked="t" coordsize="21600,21600" o:gfxdata="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NI9mctUAAAAFAQAA&#10;DwAAAAAAAAABACAAAAAiAAAAZHJzL2Rvd25yZXYueG1sUEsBAhQAFAAAAAgAh07iQOIKLpkcAgAA&#10;UwQAAA4AAAAAAAAAAQAgAAAAJAEAAGRycy9lMm9Eb2MueG1sUEsFBgAAAAAGAAYAWQEAALIFAAAA&#10;AA==&#10;">
                  <v:fill on="t" focussize="0,0"/>
                  <v:stroke color="#000000" joinstyle="miter"/>
                  <v:imagedata o:title=""/>
                  <o:lock v:ext="edit" aspectratio="f"/>
                  <v:textbox>
                    <w:txbxContent>
                      <w:p w14:paraId="069E76F2">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编制验收报告</w:t>
                        </w:r>
                      </w:p>
                    </w:txbxContent>
                  </v:textbox>
                </v:shape>
                <v:shape id="文本框 221" o:spid="_x0000_s1026" o:spt="202" type="#_x0000_t202" style="position:absolute;left:4287521;top:1358265;height:292100;width:1181100;" fillcolor="#FFFFFF" filled="t" stroked="t" coordsize="21600,21600" o:gfxdata="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SPZnLVAAAABQEA&#10;AA8AAAAAAAAAAQAgAAAAIgAAAGRycy9kb3ducmV2LnhtbFBLAQIUABQAAAAIAIdO4kBTE74+HQIA&#10;AFQEAAAOAAAAAAAAAAEAIAAAACQBAABkcnMvZTJvRG9jLnhtbFBLBQYAAAAABgAGAFkBAACzBQAA&#10;AAA=&#10;">
                  <v:fill on="t" focussize="0,0"/>
                  <v:stroke color="#000000" joinstyle="miter"/>
                  <v:imagedata o:title=""/>
                  <o:lock v:ext="edit" aspectratio="f"/>
                  <v:textbox>
                    <w:txbxContent>
                      <w:p w14:paraId="072973EE">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提出验收意见</w:t>
                        </w:r>
                      </w:p>
                    </w:txbxContent>
                  </v:textbox>
                </v:shape>
                <v:shape id="文本框 222" o:spid="_x0000_s1026" o:spt="202" type="#_x0000_t202" style="position:absolute;left:2418715;top:1370330;height:292100;width:1181100;" fillcolor="#FFFFFF" filled="t" stroked="t" coordsize="21600,21600" o:gfxdata="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0j2Zy1QAAAAUBAAAP&#10;AAAAAAAAAAEAIAAAACIAAABkcnMvZG93bnJldi54bWxQSwECFAAUAAAACACHTuJAhca8eRsCAABU&#10;BAAADgAAAAAAAAABACAAAAAkAQAAZHJzL2Uyb0RvYy54bWxQSwUGAAAAAAYABgBZAQAAsQUAAAAA&#10;">
                  <v:fill on="t" focussize="0,0"/>
                  <v:stroke color="#000000" joinstyle="miter"/>
                  <v:imagedata o:title=""/>
                  <o:lock v:ext="edit" aspectratio="f"/>
                  <v:textbox>
                    <w:txbxContent>
                      <w:p w14:paraId="07DE4100">
                        <w:pPr>
                          <w:spacing w:line="240" w:lineRule="auto"/>
                          <w:ind w:left="0" w:leftChars="0" w:firstLine="0" w:firstLineChars="0"/>
                          <w:jc w:val="center"/>
                          <w:rPr>
                            <w:rFonts w:hint="eastAsia" w:eastAsia="宋体"/>
                            <w:sz w:val="21"/>
                            <w:szCs w:val="21"/>
                            <w:lang w:eastAsia="zh-CN"/>
                          </w:rPr>
                        </w:pPr>
                        <w:r>
                          <w:rPr>
                            <w:rFonts w:hint="eastAsia"/>
                            <w:sz w:val="21"/>
                            <w:szCs w:val="21"/>
                            <w:lang w:eastAsia="zh-CN"/>
                          </w:rPr>
                          <w:t>公开验收报告</w:t>
                        </w:r>
                      </w:p>
                    </w:txbxContent>
                  </v:textbox>
                </v:shape>
                <v:line id="直接连接符 223" o:spid="_x0000_s1026" o:spt="20" style="position:absolute;left:1372870;top:543560;height:635;width:749935;" filled="f" stroked="t" coordsize="21600,21600" o:gfxdata="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2qMbfWAAAABQEAAA8AAAAAAAAAAQAgAAAA&#10;IgAAAGRycy9kb3ducmV2LnhtbFBLAQIUABQAAAAIAIdO4kA7JRsPDQIAAAMEAAAOAAAAAAAAAAEA&#10;IAAAACUBAABkcnMvZTJvRG9jLnhtbFBLBQYAAAAABgAGAFkBAACkBQAAAAA=&#10;">
                  <v:fill on="f" focussize="0,0"/>
                  <v:stroke color="#000000" joinstyle="round" endarrow="open"/>
                  <v:imagedata o:title=""/>
                  <o:lock v:ext="edit" aspectratio="f"/>
                </v:line>
                <v:line id="直接连接符 224" o:spid="_x0000_s1026" o:spt="20" style="position:absolute;left:3489326;top:560705;height:0;width:749300;" filled="f" stroked="t" coordsize="21600,21600" o:gfxdata="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qjG31gAAAAUBAAAPAAAAAAAAAAEA&#10;IAAAACIAAABkcnMvZG93bnJldi54bWxQSwECFAAUAAAACACHTuJAsLd23hECAAABBAAADgAAAAAA&#10;AAABACAAAAAlAQAAZHJzL2Uyb0RvYy54bWxQSwUGAAAAAAYABgBZAQAAqAUAAAAA&#10;">
                  <v:fill on="f" focussize="0,0"/>
                  <v:stroke color="#000000" joinstyle="round" endarrow="open"/>
                  <v:imagedata o:title=""/>
                  <o:lock v:ext="edit" aspectratio="f"/>
                </v:line>
                <v:line id="直接连接符 225" o:spid="_x0000_s1026" o:spt="20" style="position:absolute;left:4859021;top:703580;height:655955;width:11430;" filled="f" stroked="t" coordsize="21600,21600" o:gfxdata="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NqjG31gAAAAUBAAAPAAAAAAAA&#10;AAEAIAAAACIAAABkcnMvZG93bnJldi54bWxQSwECFAAUAAAACACHTuJA9uYTTRQCAAAFBAAADgAA&#10;AAAAAAABACAAAAAlAQAAZHJzL2Uyb0RvYy54bWxQSwUGAAAAAAYABgBZAQAAqwUAAAAA&#10;">
                  <v:fill on="f" focussize="0,0"/>
                  <v:stroke color="#000000" joinstyle="round" endarrow="open"/>
                  <v:imagedata o:title=""/>
                  <o:lock v:ext="edit" aspectratio="f"/>
                </v:line>
                <v:line id="直接连接符 226" o:spid="_x0000_s1026" o:spt="20" style="position:absolute;left:3597911;top:1512570;flip:x;height:5080;width:701675;" filled="f" stroked="t" coordsize="21600,21600" o:gfxdata="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xQYKdQAAAAFAQAADwAA&#10;AAAAAAABACAAAAAiAAAAZHJzL2Rvd25yZXYueG1sUEsBAhQAFAAAAAgAh07iQOsbphgaAgAADwQA&#10;AA4AAAAAAAAAAQAgAAAAIwEAAGRycy9lMm9Eb2MueG1sUEsFBgAAAAAGAAYAWQEAAK8FAAAAAA==&#10;">
                  <v:fill on="f" focussize="0,0"/>
                  <v:stroke color="#000000" joinstyle="round" endarrow="open"/>
                  <v:imagedata o:title=""/>
                  <o:lock v:ext="edit" aspectratio="f"/>
                </v:line>
                <v:line id="直接连接符 227" o:spid="_x0000_s1026" o:spt="20" style="position:absolute;left:1703705;top:1513205;flip:x;height:0;width:698500;" filled="f" stroked="t" coordsize="21600,21600" o:gfxdata="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txQYKdQAAAAFAQAADwAAAAAA&#10;AAABACAAAAAiAAAAZHJzL2Rvd25yZXYueG1sUEsBAhQAFAAAAAgAh07iQIY/1tsXAgAADAQAAA4A&#10;AAAAAAAAAQAgAAAAIwEAAGRycy9lMm9Eb2MueG1sUEsFBgAAAAAGAAYAWQEAAKwFAAAAAA==&#10;">
                  <v:fill on="f" focussize="0,0"/>
                  <v:stroke color="#000000" joinstyle="round" endarrow="open"/>
                  <v:imagedata o:title=""/>
                  <o:lock v:ext="edit" aspectratio="f"/>
                </v:line>
                <w10:wrap type="none"/>
                <w10:anchorlock/>
              </v:group>
            </w:pict>
          </mc:Fallback>
        </mc:AlternateContent>
      </w:r>
    </w:p>
    <w:p w14:paraId="769D7D3D">
      <w:pPr>
        <w:pStyle w:val="112"/>
        <w:ind w:firstLine="0" w:firstLineChars="0"/>
        <w:jc w:val="center"/>
        <w:rPr>
          <w:rStyle w:val="166"/>
          <w:rFonts w:hint="default" w:ascii="Times New Roman" w:hAnsi="Times New Roman" w:cs="Times New Roman"/>
          <w:b/>
          <w:color w:val="auto"/>
          <w:highlight w:val="none"/>
          <w:u w:val="none" w:color="auto"/>
        </w:rPr>
      </w:pPr>
      <w:r>
        <w:rPr>
          <w:rStyle w:val="166"/>
          <w:rFonts w:hint="default" w:ascii="Times New Roman" w:hAnsi="Times New Roman" w:cs="Times New Roman"/>
          <w:b/>
          <w:color w:val="auto"/>
          <w:sz w:val="21"/>
          <w:szCs w:val="21"/>
          <w:highlight w:val="none"/>
          <w:u w:val="none" w:color="auto"/>
        </w:rPr>
        <w:t>图</w:t>
      </w:r>
      <w:r>
        <w:rPr>
          <w:rStyle w:val="166"/>
          <w:rFonts w:hint="eastAsia" w:ascii="Times New Roman" w:hAnsi="Times New Roman" w:cs="Times New Roman"/>
          <w:b/>
          <w:color w:val="auto"/>
          <w:sz w:val="21"/>
          <w:szCs w:val="21"/>
          <w:highlight w:val="none"/>
          <w:u w:val="none" w:color="auto"/>
          <w:lang w:val="en-US" w:eastAsia="zh-CN"/>
        </w:rPr>
        <w:t>9.5</w:t>
      </w:r>
      <w:r>
        <w:rPr>
          <w:rStyle w:val="166"/>
          <w:rFonts w:hint="default" w:ascii="Times New Roman" w:hAnsi="Times New Roman" w:cs="Times New Roman"/>
          <w:b/>
          <w:color w:val="auto"/>
          <w:sz w:val="21"/>
          <w:szCs w:val="21"/>
          <w:highlight w:val="none"/>
          <w:u w:val="none" w:color="auto"/>
        </w:rPr>
        <w:t>-1  竣工验收流程图</w:t>
      </w:r>
    </w:p>
    <w:p w14:paraId="41D88179">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验收程序简述及相关要求</w:t>
      </w:r>
    </w:p>
    <w:p w14:paraId="62D6CC90">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建设单位如实查验、监测记载环保设施的建设和调试情况。调试期间，建设单位应当确保该期间污染物排放符合国家和地方的有关污染物排放标准和排污许可等相关规定。环境保护设施未与主体工程同时建成的，或者应当取得排污许可证但未取得的，建设单位不得对该建设项目环境保护设施进行调试。</w:t>
      </w:r>
    </w:p>
    <w:p w14:paraId="4AEFEF78">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（2）编制验收监测报告，本</w:t>
      </w:r>
      <w:r>
        <w:rPr>
          <w:rFonts w:hint="eastAsia" w:cs="Times New Roman"/>
          <w:color w:val="auto"/>
          <w:sz w:val="24"/>
          <w:szCs w:val="24"/>
          <w:highlight w:val="none"/>
          <w:u w:val="none" w:color="auto"/>
          <w:lang w:eastAsia="zh-CN"/>
        </w:rPr>
        <w:t>项目</w:t>
      </w:r>
      <w:r>
        <w:rPr>
          <w:rFonts w:hint="default" w:ascii="Times New Roman" w:hAnsi="Times New Roman" w:cs="Times New Roman"/>
          <w:color w:val="auto"/>
          <w:sz w:val="24"/>
          <w:szCs w:val="24"/>
          <w:highlight w:val="none"/>
          <w:u w:val="none" w:color="auto"/>
        </w:rPr>
        <w:t>以排放污染物为主的建设项目，参照《建设项目竣工环境保护验收技术指南 污染影响类》编制验收监测报告，建设单位不具备自主验收能力的可以委托有能力的技术机构编制。</w:t>
      </w:r>
    </w:p>
    <w:p w14:paraId="28A942A2">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3）验收监测报告编制完成后，建设单位应当根据验收监测报告结论，逐一检查是否存在《建设项目竣工环保验收暂行办法》中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w:t>
      </w:r>
    </w:p>
    <w:p w14:paraId="75119365">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（4）验收报告编制完成后5个工作日内，公开验收报告，公示的期限不得少于20个工作日，同步公开环保设施竣工日期以及对环保设施公开调试的起始日期。建设单</w:t>
      </w:r>
      <w:r>
        <w:rPr>
          <w:rFonts w:hint="eastAsia" w:cs="Times New Roman"/>
          <w:color w:val="auto"/>
          <w:sz w:val="24"/>
          <w:szCs w:val="24"/>
          <w:highlight w:val="none"/>
          <w:u w:val="none" w:color="auto"/>
          <w:lang w:eastAsia="zh-CN"/>
        </w:rPr>
        <w:t>位在</w:t>
      </w:r>
      <w:r>
        <w:rPr>
          <w:rFonts w:hint="default" w:ascii="Times New Roman" w:hAnsi="Times New Roman" w:cs="Times New Roman"/>
          <w:color w:val="auto"/>
          <w:sz w:val="24"/>
          <w:szCs w:val="24"/>
          <w:highlight w:val="none"/>
          <w:u w:val="none" w:color="auto"/>
        </w:rPr>
        <w:t>公开上述信息的同时，应当向所在地县级以上环境保护主管部门报送相关信息，并接受监督检查。</w:t>
      </w:r>
    </w:p>
    <w:p w14:paraId="6000920F">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（5）验收报告公示期满后5个工作日内，建设单位应当登录全国建设项目竣工环境保护验收信息平台，填报建设项目基本信息、环境保护设施验收情况等相关信息，环境保护主管部门对上述信息予以公开。</w:t>
      </w:r>
    </w:p>
    <w:p w14:paraId="11F0BA05">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6）纳入排污许可管理的建设项目，排污单位应当在项目产生实际污染物排放之前，按照国家排污许可有关管理规定要求，申请排污许可证。建设项目验收报告中与污染物排放相关的主要内容应当纳入该项目验收完成当年排污许可证执行年报。</w:t>
      </w:r>
    </w:p>
    <w:p w14:paraId="6936E7EB">
      <w:pPr>
        <w:ind w:firstLine="480"/>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eastAsia="zh-CN"/>
        </w:rPr>
        <w:t>本项目</w:t>
      </w:r>
      <w:r>
        <w:rPr>
          <w:rFonts w:hint="default" w:ascii="Times New Roman" w:hAnsi="Times New Roman" w:cs="Times New Roman"/>
          <w:color w:val="auto"/>
          <w:sz w:val="24"/>
          <w:szCs w:val="24"/>
          <w:highlight w:val="none"/>
          <w:u w:val="none" w:color="auto"/>
        </w:rPr>
        <w:t>环保竣工验收由建设单位自行组织进行验收，企业加强项目环境管理，使项目的环境保护工作落到实处，将项目环境保护措施、竣工验收的主要内容、要求见表</w:t>
      </w:r>
      <w:r>
        <w:rPr>
          <w:rFonts w:hint="eastAsia" w:cs="Times New Roman"/>
          <w:color w:val="auto"/>
          <w:sz w:val="24"/>
          <w:szCs w:val="24"/>
          <w:highlight w:val="none"/>
          <w:u w:val="none" w:color="auto"/>
          <w:lang w:val="en-US" w:eastAsia="zh-CN"/>
        </w:rPr>
        <w:t>9</w:t>
      </w:r>
      <w:r>
        <w:rPr>
          <w:rFonts w:hint="eastAsia" w:ascii="Times New Roman" w:hAnsi="Times New Roman" w:cs="Times New Roman"/>
          <w:color w:val="auto"/>
          <w:sz w:val="24"/>
          <w:szCs w:val="24"/>
          <w:highlight w:val="none"/>
          <w:u w:val="none" w:color="auto"/>
          <w:lang w:val="en-US" w:eastAsia="zh-CN"/>
        </w:rPr>
        <w:t>.5-1</w:t>
      </w:r>
      <w:r>
        <w:rPr>
          <w:rFonts w:hint="default" w:ascii="Times New Roman" w:hAnsi="Times New Roman" w:cs="Times New Roman"/>
          <w:color w:val="auto"/>
          <w:sz w:val="24"/>
          <w:szCs w:val="24"/>
          <w:highlight w:val="none"/>
          <w:u w:val="none" w:color="auto"/>
        </w:rPr>
        <w:t>。</w:t>
      </w:r>
    </w:p>
    <w:p w14:paraId="29463384">
      <w:pPr>
        <w:ind w:firstLine="480"/>
        <w:rPr>
          <w:rFonts w:hint="default" w:ascii="Times New Roman" w:hAnsi="Times New Roman" w:cs="Times New Roman"/>
          <w:color w:val="auto"/>
          <w:highlight w:val="none"/>
          <w:u w:val="none" w:color="auto"/>
        </w:rPr>
        <w:sectPr>
          <w:pgSz w:w="11906" w:h="16838"/>
          <w:pgMar w:top="1417" w:right="1417" w:bottom="1417" w:left="1417" w:header="851" w:footer="851" w:gutter="0"/>
          <w:pgBorders>
            <w:top w:val="none" w:sz="0" w:space="0"/>
            <w:left w:val="none" w:sz="0" w:space="0"/>
            <w:bottom w:val="none" w:sz="0" w:space="0"/>
            <w:right w:val="none" w:sz="0" w:space="0"/>
          </w:pgBorders>
          <w:pgNumType w:fmt="decimal"/>
          <w:cols w:space="720" w:num="1"/>
          <w:docGrid w:type="lines" w:linePitch="333" w:charSpace="0"/>
        </w:sectPr>
      </w:pPr>
    </w:p>
    <w:p w14:paraId="252B9FED">
      <w:pPr>
        <w:adjustRightInd w:val="0"/>
        <w:snapToGrid w:val="0"/>
        <w:spacing w:line="240" w:lineRule="auto"/>
        <w:ind w:firstLine="422" w:firstLineChars="200"/>
        <w:jc w:val="center"/>
        <w:rPr>
          <w:rFonts w:hint="default" w:ascii="Times New Roman" w:hAnsi="Times New Roman" w:cs="Times New Roman"/>
          <w:b/>
          <w:snapToGrid w:val="0"/>
          <w:color w:val="auto"/>
          <w:sz w:val="21"/>
          <w:szCs w:val="21"/>
          <w:highlight w:val="none"/>
          <w:u w:val="none" w:color="auto"/>
        </w:rPr>
      </w:pPr>
      <w:r>
        <w:rPr>
          <w:rFonts w:hint="default" w:ascii="Times New Roman" w:hAnsi="Times New Roman" w:cs="Times New Roman"/>
          <w:b/>
          <w:snapToGrid w:val="0"/>
          <w:color w:val="auto"/>
          <w:sz w:val="21"/>
          <w:szCs w:val="21"/>
          <w:highlight w:val="none"/>
          <w:u w:val="none" w:color="auto"/>
        </w:rPr>
        <w:t>表</w:t>
      </w:r>
      <w:r>
        <w:rPr>
          <w:rFonts w:hint="eastAsia" w:cs="Times New Roman"/>
          <w:b/>
          <w:snapToGrid w:val="0"/>
          <w:color w:val="auto"/>
          <w:sz w:val="21"/>
          <w:szCs w:val="21"/>
          <w:highlight w:val="none"/>
          <w:u w:val="none" w:color="auto"/>
          <w:lang w:val="en-US" w:eastAsia="zh-CN"/>
        </w:rPr>
        <w:t>9</w:t>
      </w:r>
      <w:r>
        <w:rPr>
          <w:rFonts w:hint="eastAsia" w:ascii="Times New Roman" w:hAnsi="Times New Roman" w:cs="Times New Roman"/>
          <w:b/>
          <w:snapToGrid w:val="0"/>
          <w:color w:val="auto"/>
          <w:sz w:val="21"/>
          <w:szCs w:val="21"/>
          <w:highlight w:val="none"/>
          <w:u w:val="none" w:color="auto"/>
          <w:lang w:val="en-US" w:eastAsia="zh-CN"/>
        </w:rPr>
        <w:t>.5</w:t>
      </w:r>
      <w:r>
        <w:rPr>
          <w:rFonts w:hint="default" w:ascii="Times New Roman" w:hAnsi="Times New Roman" w:cs="Times New Roman"/>
          <w:b/>
          <w:snapToGrid w:val="0"/>
          <w:color w:val="auto"/>
          <w:sz w:val="21"/>
          <w:szCs w:val="21"/>
          <w:highlight w:val="none"/>
          <w:u w:val="none" w:color="auto"/>
        </w:rPr>
        <w:t xml:space="preserve">-1  </w:t>
      </w:r>
      <w:r>
        <w:rPr>
          <w:rFonts w:hint="eastAsia" w:cs="Times New Roman"/>
          <w:b/>
          <w:snapToGrid w:val="0"/>
          <w:color w:val="auto"/>
          <w:sz w:val="21"/>
          <w:szCs w:val="21"/>
          <w:highlight w:val="none"/>
          <w:u w:val="none" w:color="auto"/>
          <w:lang w:eastAsia="zh-CN"/>
        </w:rPr>
        <w:t>本项目</w:t>
      </w:r>
      <w:r>
        <w:rPr>
          <w:rFonts w:hint="default" w:ascii="Times New Roman" w:hAnsi="Times New Roman" w:cs="Times New Roman"/>
          <w:b/>
          <w:snapToGrid w:val="0"/>
          <w:color w:val="auto"/>
          <w:sz w:val="21"/>
          <w:szCs w:val="21"/>
          <w:highlight w:val="none"/>
          <w:u w:val="none" w:color="auto"/>
        </w:rPr>
        <w:t>竣工环保自验收</w:t>
      </w:r>
      <w:r>
        <w:rPr>
          <w:rFonts w:hint="eastAsia" w:ascii="Times New Roman" w:hAnsi="Times New Roman" w:cs="Times New Roman"/>
          <w:b/>
          <w:snapToGrid w:val="0"/>
          <w:color w:val="auto"/>
          <w:sz w:val="21"/>
          <w:szCs w:val="21"/>
          <w:highlight w:val="none"/>
          <w:u w:val="none" w:color="auto"/>
          <w:lang w:val="en-US" w:eastAsia="zh-CN"/>
        </w:rPr>
        <w:t>要求</w:t>
      </w:r>
      <w:r>
        <w:rPr>
          <w:rFonts w:hint="default" w:ascii="Times New Roman" w:hAnsi="Times New Roman" w:cs="Times New Roman"/>
          <w:b/>
          <w:snapToGrid w:val="0"/>
          <w:color w:val="auto"/>
          <w:sz w:val="21"/>
          <w:szCs w:val="21"/>
          <w:highlight w:val="none"/>
          <w:u w:val="none" w:color="auto"/>
        </w:rPr>
        <w:t>一览表</w:t>
      </w:r>
    </w:p>
    <w:tbl>
      <w:tblPr>
        <w:tblStyle w:val="111"/>
        <w:tblW w:w="14212"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80"/>
        <w:gridCol w:w="3257"/>
        <w:gridCol w:w="4693"/>
        <w:gridCol w:w="5082"/>
      </w:tblGrid>
      <w:tr w14:paraId="4F2985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8" w:hRule="atLeast"/>
        </w:trPr>
        <w:tc>
          <w:tcPr>
            <w:tcW w:w="1180" w:type="dxa"/>
            <w:tcBorders>
              <w:tl2br w:val="nil"/>
              <w:tr2bl w:val="nil"/>
            </w:tcBorders>
            <w:vAlign w:val="center"/>
          </w:tcPr>
          <w:p w14:paraId="6EB223E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污染类别</w:t>
            </w:r>
          </w:p>
        </w:tc>
        <w:tc>
          <w:tcPr>
            <w:tcW w:w="3257" w:type="dxa"/>
            <w:tcBorders>
              <w:tl2br w:val="nil"/>
              <w:tr2bl w:val="nil"/>
            </w:tcBorders>
            <w:vAlign w:val="center"/>
          </w:tcPr>
          <w:p w14:paraId="3856C7D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监测因子</w:t>
            </w:r>
          </w:p>
        </w:tc>
        <w:tc>
          <w:tcPr>
            <w:tcW w:w="4693" w:type="dxa"/>
            <w:tcBorders>
              <w:tl2br w:val="nil"/>
              <w:tr2bl w:val="nil"/>
            </w:tcBorders>
            <w:vAlign w:val="center"/>
          </w:tcPr>
          <w:p w14:paraId="74585BD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环保设施</w:t>
            </w:r>
            <w:r>
              <w:rPr>
                <w:rFonts w:ascii="Times New Roman" w:hAnsi="Times New Roman" w:eastAsia="Times New Roman" w:cs="Times New Roman"/>
                <w:b/>
                <w:bCs/>
                <w:spacing w:val="6"/>
              </w:rPr>
              <w:t>/</w:t>
            </w:r>
            <w:r>
              <w:rPr>
                <w:b/>
                <w:bCs/>
                <w:spacing w:val="6"/>
              </w:rPr>
              <w:t>措施</w:t>
            </w:r>
          </w:p>
        </w:tc>
        <w:tc>
          <w:tcPr>
            <w:tcW w:w="5082" w:type="dxa"/>
            <w:tcBorders>
              <w:tl2br w:val="nil"/>
              <w:tr2bl w:val="nil"/>
            </w:tcBorders>
            <w:vAlign w:val="center"/>
          </w:tcPr>
          <w:p w14:paraId="0FC7A40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b/>
                <w:bCs/>
                <w:spacing w:val="6"/>
              </w:rPr>
              <w:t>预期治理效果</w:t>
            </w:r>
          </w:p>
        </w:tc>
      </w:tr>
      <w:tr w14:paraId="24FCCB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0" w:hRule="atLeast"/>
        </w:trPr>
        <w:tc>
          <w:tcPr>
            <w:tcW w:w="1180" w:type="dxa"/>
            <w:tcBorders>
              <w:tl2br w:val="nil"/>
              <w:tr2bl w:val="nil"/>
            </w:tcBorders>
            <w:vAlign w:val="center"/>
          </w:tcPr>
          <w:p w14:paraId="5CE3E95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废渣治理</w:t>
            </w:r>
          </w:p>
        </w:tc>
        <w:tc>
          <w:tcPr>
            <w:tcW w:w="3257" w:type="dxa"/>
            <w:tcBorders>
              <w:tl2br w:val="nil"/>
              <w:tr2bl w:val="nil"/>
            </w:tcBorders>
            <w:vAlign w:val="center"/>
          </w:tcPr>
          <w:p w14:paraId="24D4AB9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rPr>
              <w:t>pH</w:t>
            </w:r>
            <w:r>
              <w:rPr>
                <w:spacing w:val="8"/>
              </w:rPr>
              <w:t>、砷、镍、铅、镉、总铬、</w:t>
            </w:r>
            <w:r>
              <w:rPr>
                <w:spacing w:val="9"/>
              </w:rPr>
              <w:t>铬（六价）、汞、铜、锌、氰</w:t>
            </w:r>
            <w:r>
              <w:rPr>
                <w:spacing w:val="4"/>
              </w:rPr>
              <w:t>化物</w:t>
            </w:r>
          </w:p>
        </w:tc>
        <w:tc>
          <w:tcPr>
            <w:tcW w:w="4693" w:type="dxa"/>
            <w:tcBorders>
              <w:tl2br w:val="nil"/>
              <w:tr2bl w:val="nil"/>
            </w:tcBorders>
            <w:vAlign w:val="center"/>
          </w:tcPr>
          <w:p w14:paraId="28F7F9D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清挖后的基坑进行检测</w:t>
            </w:r>
          </w:p>
        </w:tc>
        <w:tc>
          <w:tcPr>
            <w:tcW w:w="5082" w:type="dxa"/>
            <w:tcBorders>
              <w:tl2br w:val="nil"/>
              <w:tr2bl w:val="nil"/>
            </w:tcBorders>
            <w:vAlign w:val="center"/>
          </w:tcPr>
          <w:p w14:paraId="2D9FE5AD">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9"/>
              </w:rPr>
              <w:t>废渣全部清理，基坑生态恢复</w:t>
            </w:r>
          </w:p>
        </w:tc>
      </w:tr>
      <w:tr w14:paraId="1D6271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9" w:hRule="atLeast"/>
        </w:trPr>
        <w:tc>
          <w:tcPr>
            <w:tcW w:w="1180" w:type="dxa"/>
            <w:tcBorders>
              <w:tl2br w:val="nil"/>
              <w:tr2bl w:val="nil"/>
            </w:tcBorders>
            <w:vAlign w:val="center"/>
          </w:tcPr>
          <w:p w14:paraId="6791810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废气</w:t>
            </w:r>
          </w:p>
        </w:tc>
        <w:tc>
          <w:tcPr>
            <w:tcW w:w="3257" w:type="dxa"/>
            <w:tcBorders>
              <w:tl2br w:val="nil"/>
              <w:tr2bl w:val="nil"/>
            </w:tcBorders>
            <w:vAlign w:val="center"/>
          </w:tcPr>
          <w:p w14:paraId="16191934">
            <w:pPr>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TSP</w:t>
            </w:r>
          </w:p>
        </w:tc>
        <w:tc>
          <w:tcPr>
            <w:tcW w:w="4693" w:type="dxa"/>
            <w:tcBorders>
              <w:tl2br w:val="nil"/>
              <w:tr2bl w:val="nil"/>
            </w:tcBorders>
            <w:vAlign w:val="center"/>
          </w:tcPr>
          <w:p w14:paraId="43D5B31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场地及路面洒水、运输车辆篷布及密闭运输、</w:t>
            </w:r>
            <w:r>
              <w:rPr>
                <w:spacing w:val="5"/>
              </w:rPr>
              <w:t>裸露</w:t>
            </w:r>
            <w:r>
              <w:rPr>
                <w:spacing w:val="9"/>
              </w:rPr>
              <w:t>地面及堆场防尘覆盖、设置车辆冲洗平台</w:t>
            </w:r>
          </w:p>
        </w:tc>
        <w:tc>
          <w:tcPr>
            <w:tcW w:w="5082" w:type="dxa"/>
            <w:tcBorders>
              <w:tl2br w:val="nil"/>
              <w:tr2bl w:val="nil"/>
            </w:tcBorders>
            <w:vAlign w:val="center"/>
          </w:tcPr>
          <w:p w14:paraId="6C88BB7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rPr>
              <w:t>TSP</w:t>
            </w:r>
            <w:r>
              <w:rPr>
                <w:spacing w:val="10"/>
              </w:rPr>
              <w:t>达标排放，根据监理监测数据进行回顾性分析</w:t>
            </w:r>
          </w:p>
        </w:tc>
      </w:tr>
      <w:tr w14:paraId="3BB5C2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32" w:hRule="atLeast"/>
        </w:trPr>
        <w:tc>
          <w:tcPr>
            <w:tcW w:w="1180" w:type="dxa"/>
            <w:tcBorders>
              <w:tl2br w:val="nil"/>
              <w:tr2bl w:val="nil"/>
            </w:tcBorders>
            <w:vAlign w:val="center"/>
          </w:tcPr>
          <w:p w14:paraId="6AA0FF56">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废水</w:t>
            </w:r>
          </w:p>
        </w:tc>
        <w:tc>
          <w:tcPr>
            <w:tcW w:w="3257" w:type="dxa"/>
            <w:tcBorders>
              <w:tl2br w:val="nil"/>
              <w:tr2bl w:val="nil"/>
            </w:tcBorders>
            <w:vAlign w:val="center"/>
          </w:tcPr>
          <w:p w14:paraId="40E6BC3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rFonts w:ascii="Times New Roman" w:hAnsi="Times New Roman" w:eastAsia="Times New Roman" w:cs="Times New Roman"/>
              </w:rPr>
              <w:t>pH</w:t>
            </w:r>
            <w:r>
              <w:rPr>
                <w:spacing w:val="8"/>
              </w:rPr>
              <w:t>、砷、镍、铅、镉、总铬、</w:t>
            </w:r>
            <w:r>
              <w:rPr>
                <w:spacing w:val="9"/>
              </w:rPr>
              <w:t>铬（六价）、汞、铜、锌、氰</w:t>
            </w:r>
            <w:r>
              <w:rPr>
                <w:spacing w:val="4"/>
              </w:rPr>
              <w:t>化物</w:t>
            </w:r>
          </w:p>
        </w:tc>
        <w:tc>
          <w:tcPr>
            <w:tcW w:w="4693" w:type="dxa"/>
            <w:tcBorders>
              <w:tl2br w:val="nil"/>
              <w:tr2bl w:val="nil"/>
            </w:tcBorders>
            <w:vAlign w:val="center"/>
          </w:tcPr>
          <w:p w14:paraId="1EF06DD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9"/>
              </w:rPr>
              <w:t>排水沟、渗滤液收集池、一体化污水处理设备等</w:t>
            </w:r>
          </w:p>
        </w:tc>
        <w:tc>
          <w:tcPr>
            <w:tcW w:w="5082" w:type="dxa"/>
            <w:tcBorders>
              <w:tl2br w:val="nil"/>
              <w:tr2bl w:val="nil"/>
            </w:tcBorders>
            <w:vAlign w:val="center"/>
          </w:tcPr>
          <w:p w14:paraId="3452938C">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施工废水经一体化设施处理后回用于洒水抑尘等；渗滤</w:t>
            </w:r>
            <w:r>
              <w:rPr>
                <w:spacing w:val="9"/>
              </w:rPr>
              <w:t>液经一体化设备处理后经槽罐车托运至湖南黄金天岳</w:t>
            </w:r>
            <w:r>
              <w:rPr>
                <w:spacing w:val="8"/>
              </w:rPr>
              <w:t>矿业有限公司垂拱洞尾矿库废水处理站进行处理。根据</w:t>
            </w:r>
            <w:r>
              <w:rPr>
                <w:spacing w:val="9"/>
              </w:rPr>
              <w:t>监理监测数据进行回顾性分析</w:t>
            </w:r>
          </w:p>
        </w:tc>
      </w:tr>
      <w:tr w14:paraId="07D3E2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1" w:hRule="atLeast"/>
        </w:trPr>
        <w:tc>
          <w:tcPr>
            <w:tcW w:w="1180" w:type="dxa"/>
            <w:tcBorders>
              <w:tl2br w:val="nil"/>
              <w:tr2bl w:val="nil"/>
            </w:tcBorders>
            <w:vAlign w:val="center"/>
          </w:tcPr>
          <w:p w14:paraId="5997DD14">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1"/>
              </w:rPr>
              <w:t>噪声</w:t>
            </w:r>
          </w:p>
        </w:tc>
        <w:tc>
          <w:tcPr>
            <w:tcW w:w="3257" w:type="dxa"/>
            <w:tcBorders>
              <w:tl2br w:val="nil"/>
              <w:tr2bl w:val="nil"/>
            </w:tcBorders>
            <w:vAlign w:val="center"/>
          </w:tcPr>
          <w:p w14:paraId="7DD890D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3"/>
              </w:rPr>
              <w:t>等效</w:t>
            </w:r>
            <w:r>
              <w:rPr>
                <w:rFonts w:ascii="Times New Roman" w:hAnsi="Times New Roman" w:eastAsia="Times New Roman" w:cs="Times New Roman"/>
                <w:spacing w:val="3"/>
              </w:rPr>
              <w:t>A</w:t>
            </w:r>
            <w:r>
              <w:rPr>
                <w:spacing w:val="3"/>
              </w:rPr>
              <w:t>声级</w:t>
            </w:r>
          </w:p>
        </w:tc>
        <w:tc>
          <w:tcPr>
            <w:tcW w:w="4693" w:type="dxa"/>
            <w:tcBorders>
              <w:tl2br w:val="nil"/>
              <w:tr2bl w:val="nil"/>
            </w:tcBorders>
            <w:vAlign w:val="center"/>
          </w:tcPr>
          <w:p w14:paraId="6F6578D0">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减少夜间施工量、合理布局施工现场、选用低噪声</w:t>
            </w:r>
            <w:r>
              <w:rPr>
                <w:spacing w:val="5"/>
              </w:rPr>
              <w:t>设备和工艺、厂界设置施工围挡、运输应尽量安排</w:t>
            </w:r>
            <w:r>
              <w:rPr>
                <w:spacing w:val="8"/>
              </w:rPr>
              <w:t>在昼间进行</w:t>
            </w:r>
          </w:p>
        </w:tc>
        <w:tc>
          <w:tcPr>
            <w:tcW w:w="5082" w:type="dxa"/>
            <w:tcBorders>
              <w:tl2br w:val="nil"/>
              <w:tr2bl w:val="nil"/>
            </w:tcBorders>
            <w:vAlign w:val="center"/>
          </w:tcPr>
          <w:p w14:paraId="7E952A5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9"/>
              </w:rPr>
              <w:t>厂界噪声满足</w:t>
            </w:r>
            <w:r>
              <w:rPr>
                <w:rFonts w:hint="eastAsia" w:eastAsia="宋体"/>
                <w:spacing w:val="9"/>
                <w:lang w:eastAsia="zh-CN"/>
              </w:rPr>
              <w:t>《建筑施工噪声排放标准》（GB12523-2025）</w:t>
            </w:r>
            <w:r>
              <w:rPr>
                <w:spacing w:val="16"/>
              </w:rPr>
              <w:t>；</w:t>
            </w:r>
            <w:r>
              <w:rPr>
                <w:spacing w:val="7"/>
              </w:rPr>
              <w:t>根据监理监测数据进行回顾性分析</w:t>
            </w:r>
          </w:p>
        </w:tc>
      </w:tr>
      <w:tr w14:paraId="6673B1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0" w:hRule="atLeast"/>
        </w:trPr>
        <w:tc>
          <w:tcPr>
            <w:tcW w:w="4437" w:type="dxa"/>
            <w:gridSpan w:val="2"/>
            <w:tcBorders>
              <w:tl2br w:val="nil"/>
              <w:tr2bl w:val="nil"/>
            </w:tcBorders>
            <w:vAlign w:val="center"/>
          </w:tcPr>
          <w:p w14:paraId="480E1B38">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固废</w:t>
            </w:r>
          </w:p>
        </w:tc>
        <w:tc>
          <w:tcPr>
            <w:tcW w:w="4693" w:type="dxa"/>
            <w:tcBorders>
              <w:tl2br w:val="nil"/>
              <w:tr2bl w:val="nil"/>
            </w:tcBorders>
            <w:vAlign w:val="center"/>
          </w:tcPr>
          <w:p w14:paraId="0A8219B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废渣清</w:t>
            </w:r>
            <w:r>
              <w:rPr>
                <w:rFonts w:hint="eastAsia" w:eastAsia="宋体"/>
                <w:spacing w:val="6"/>
                <w:lang w:eastAsia="zh-CN"/>
              </w:rPr>
              <w:t>运按</w:t>
            </w:r>
            <w:r>
              <w:rPr>
                <w:spacing w:val="6"/>
              </w:rPr>
              <w:t>照相关规定进行，密闭运输至废渣填</w:t>
            </w:r>
            <w:r>
              <w:rPr>
                <w:spacing w:val="5"/>
              </w:rPr>
              <w:t>埋场</w:t>
            </w:r>
            <w:r>
              <w:rPr>
                <w:spacing w:val="9"/>
              </w:rPr>
              <w:t>进行处置；生活垃圾委托环卫部门及时清运处置</w:t>
            </w:r>
          </w:p>
        </w:tc>
        <w:tc>
          <w:tcPr>
            <w:tcW w:w="5082" w:type="dxa"/>
            <w:tcBorders>
              <w:tl2br w:val="nil"/>
              <w:tr2bl w:val="nil"/>
            </w:tcBorders>
            <w:vAlign w:val="center"/>
          </w:tcPr>
          <w:p w14:paraId="21A1174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一般固体废物处置执行《一般工业固体废物贮存和填埋</w:t>
            </w:r>
            <w:r>
              <w:rPr>
                <w:spacing w:val="6"/>
              </w:rPr>
              <w:t>污染控制标准》（</w:t>
            </w:r>
            <w:r>
              <w:rPr>
                <w:rFonts w:ascii="Times New Roman" w:hAnsi="Times New Roman" w:eastAsia="Times New Roman" w:cs="Times New Roman"/>
              </w:rPr>
              <w:t>GB</w:t>
            </w:r>
            <w:r>
              <w:rPr>
                <w:rFonts w:ascii="Times New Roman" w:hAnsi="Times New Roman" w:eastAsia="Times New Roman" w:cs="Times New Roman"/>
                <w:spacing w:val="6"/>
              </w:rPr>
              <w:t>18599-2020</w:t>
            </w:r>
            <w:r>
              <w:rPr>
                <w:spacing w:val="2"/>
              </w:rPr>
              <w:t>）；</w:t>
            </w:r>
            <w:r>
              <w:rPr>
                <w:spacing w:val="6"/>
              </w:rPr>
              <w:t>生活垃圾执行《生</w:t>
            </w:r>
            <w:r>
              <w:rPr>
                <w:spacing w:val="7"/>
              </w:rPr>
              <w:t>活垃圾填埋场污染控制标准》（</w:t>
            </w:r>
            <w:r>
              <w:rPr>
                <w:rFonts w:ascii="Times New Roman" w:hAnsi="Times New Roman" w:eastAsia="Times New Roman" w:cs="Times New Roman"/>
              </w:rPr>
              <w:t>GB</w:t>
            </w:r>
            <w:r>
              <w:rPr>
                <w:rFonts w:ascii="Times New Roman" w:hAnsi="Times New Roman" w:eastAsia="Times New Roman" w:cs="Times New Roman"/>
                <w:spacing w:val="7"/>
              </w:rPr>
              <w:t>16889-2024</w:t>
            </w:r>
            <w:r>
              <w:rPr>
                <w:spacing w:val="7"/>
              </w:rPr>
              <w:t>）</w:t>
            </w:r>
          </w:p>
        </w:tc>
      </w:tr>
      <w:tr w14:paraId="3D4642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9" w:hRule="atLeast"/>
        </w:trPr>
        <w:tc>
          <w:tcPr>
            <w:tcW w:w="4437" w:type="dxa"/>
            <w:gridSpan w:val="2"/>
            <w:tcBorders>
              <w:tl2br w:val="nil"/>
              <w:tr2bl w:val="nil"/>
            </w:tcBorders>
            <w:vAlign w:val="center"/>
          </w:tcPr>
          <w:p w14:paraId="7375DF93">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风险防范措施</w:t>
            </w:r>
          </w:p>
        </w:tc>
        <w:tc>
          <w:tcPr>
            <w:tcW w:w="9775" w:type="dxa"/>
            <w:gridSpan w:val="2"/>
            <w:tcBorders>
              <w:tl2br w:val="nil"/>
              <w:tr2bl w:val="nil"/>
            </w:tcBorders>
            <w:vAlign w:val="center"/>
          </w:tcPr>
          <w:p w14:paraId="7EEA931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5"/>
              </w:rPr>
              <w:t>截排水沟、雨水收集池、场地四周防渗且渗透系数达到要求、对开挖面覆盖防雨布、设置</w:t>
            </w:r>
            <w:r>
              <w:rPr>
                <w:rFonts w:ascii="Times New Roman" w:hAnsi="Times New Roman" w:eastAsia="Times New Roman" w:cs="Times New Roman"/>
                <w:spacing w:val="5"/>
              </w:rPr>
              <w:t>8</w:t>
            </w:r>
            <w:r>
              <w:rPr>
                <w:spacing w:val="5"/>
              </w:rPr>
              <w:t>个地下水监测</w:t>
            </w:r>
            <w:r>
              <w:rPr>
                <w:spacing w:val="4"/>
              </w:rPr>
              <w:t>井、</w:t>
            </w:r>
            <w:r>
              <w:rPr>
                <w:rFonts w:ascii="Times New Roman" w:hAnsi="Times New Roman" w:eastAsia="Times New Roman" w:cs="Times New Roman"/>
                <w:spacing w:val="5"/>
              </w:rPr>
              <w:t>1</w:t>
            </w:r>
            <w:r>
              <w:rPr>
                <w:spacing w:val="5"/>
              </w:rPr>
              <w:t>座渗滤液收集池</w:t>
            </w:r>
          </w:p>
        </w:tc>
      </w:tr>
      <w:tr w14:paraId="1185C8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4437" w:type="dxa"/>
            <w:gridSpan w:val="2"/>
            <w:tcBorders>
              <w:tl2br w:val="nil"/>
              <w:tr2bl w:val="nil"/>
            </w:tcBorders>
            <w:vAlign w:val="center"/>
          </w:tcPr>
          <w:p w14:paraId="658F5D19">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6"/>
              </w:rPr>
              <w:t>生态保护</w:t>
            </w:r>
          </w:p>
        </w:tc>
        <w:tc>
          <w:tcPr>
            <w:tcW w:w="9775" w:type="dxa"/>
            <w:gridSpan w:val="2"/>
            <w:tcBorders>
              <w:tl2br w:val="nil"/>
              <w:tr2bl w:val="nil"/>
            </w:tcBorders>
            <w:vAlign w:val="center"/>
          </w:tcPr>
          <w:p w14:paraId="48019982">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rPr>
                <w:rFonts w:ascii="Times New Roman" w:hAnsi="Times New Roman" w:eastAsia="Times New Roman" w:cs="Times New Roman"/>
                <w:sz w:val="13"/>
                <w:szCs w:val="13"/>
              </w:rPr>
            </w:pPr>
            <w:r>
              <w:rPr>
                <w:spacing w:val="7"/>
              </w:rPr>
              <w:t>临时占地恢复生态、进行绿化，绿化面积为</w:t>
            </w:r>
            <w:r>
              <w:rPr>
                <w:rFonts w:ascii="Times New Roman" w:hAnsi="Times New Roman" w:eastAsia="Times New Roman" w:cs="Times New Roman"/>
                <w:spacing w:val="7"/>
              </w:rPr>
              <w:t>8517.8m</w:t>
            </w:r>
            <w:r>
              <w:rPr>
                <w:rFonts w:ascii="Times New Roman" w:hAnsi="Times New Roman" w:eastAsia="Times New Roman" w:cs="Times New Roman"/>
                <w:spacing w:val="7"/>
                <w:position w:val="6"/>
                <w:sz w:val="13"/>
                <w:szCs w:val="13"/>
              </w:rPr>
              <w:t>2</w:t>
            </w:r>
          </w:p>
        </w:tc>
      </w:tr>
      <w:tr w14:paraId="57E15E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9" w:hRule="atLeast"/>
        </w:trPr>
        <w:tc>
          <w:tcPr>
            <w:tcW w:w="4437" w:type="dxa"/>
            <w:gridSpan w:val="2"/>
            <w:tcBorders>
              <w:tl2br w:val="nil"/>
              <w:tr2bl w:val="nil"/>
            </w:tcBorders>
            <w:vAlign w:val="center"/>
          </w:tcPr>
          <w:p w14:paraId="1887E04F">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环境监理</w:t>
            </w:r>
          </w:p>
        </w:tc>
        <w:tc>
          <w:tcPr>
            <w:tcW w:w="4693" w:type="dxa"/>
            <w:tcBorders>
              <w:tl2br w:val="nil"/>
              <w:tr2bl w:val="nil"/>
            </w:tcBorders>
            <w:vAlign w:val="center"/>
          </w:tcPr>
          <w:p w14:paraId="1350FFEB">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9"/>
              </w:rPr>
              <w:t>环境监理方案、监理总结报告</w:t>
            </w:r>
          </w:p>
        </w:tc>
        <w:tc>
          <w:tcPr>
            <w:tcW w:w="5082" w:type="dxa"/>
            <w:tcBorders>
              <w:tl2br w:val="nil"/>
              <w:tr2bl w:val="nil"/>
            </w:tcBorders>
            <w:vAlign w:val="center"/>
          </w:tcPr>
          <w:p w14:paraId="5E839EF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8"/>
              </w:rPr>
              <w:t>施工过程中的二次污染防护有效落实，治理过程中的效</w:t>
            </w:r>
            <w:r>
              <w:rPr>
                <w:spacing w:val="5"/>
              </w:rPr>
              <w:t>果监督</w:t>
            </w:r>
          </w:p>
        </w:tc>
      </w:tr>
      <w:tr w14:paraId="7DC407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4437" w:type="dxa"/>
            <w:gridSpan w:val="2"/>
            <w:tcBorders>
              <w:tl2br w:val="nil"/>
              <w:tr2bl w:val="nil"/>
            </w:tcBorders>
            <w:vAlign w:val="center"/>
          </w:tcPr>
          <w:p w14:paraId="5CDE9ACE">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7"/>
              </w:rPr>
              <w:t>环境监测</w:t>
            </w:r>
          </w:p>
        </w:tc>
        <w:tc>
          <w:tcPr>
            <w:tcW w:w="4693" w:type="dxa"/>
            <w:tcBorders>
              <w:tl2br w:val="nil"/>
              <w:tr2bl w:val="nil"/>
            </w:tcBorders>
            <w:vAlign w:val="center"/>
          </w:tcPr>
          <w:p w14:paraId="09C0643A">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9"/>
              </w:rPr>
              <w:t>施工过程监测报告、治理效果监测报告</w:t>
            </w:r>
          </w:p>
        </w:tc>
        <w:tc>
          <w:tcPr>
            <w:tcW w:w="5082" w:type="dxa"/>
            <w:tcBorders>
              <w:tl2br w:val="nil"/>
              <w:tr2bl w:val="nil"/>
            </w:tcBorders>
            <w:vAlign w:val="center"/>
          </w:tcPr>
          <w:p w14:paraId="069919E5">
            <w:pPr>
              <w:pStyle w:val="197"/>
              <w:keepNext w:val="0"/>
              <w:keepLines w:val="0"/>
              <w:pageBreakBefore w:val="0"/>
              <w:widowControl/>
              <w:kinsoku/>
              <w:wordWrap/>
              <w:overflowPunct/>
              <w:topLinePunct/>
              <w:autoSpaceDE/>
              <w:autoSpaceDN/>
              <w:bidi w:val="0"/>
              <w:adjustRightInd/>
              <w:snapToGrid/>
              <w:spacing w:line="240" w:lineRule="auto"/>
              <w:ind w:left="0" w:right="0" w:firstLine="0" w:firstLineChars="0"/>
              <w:jc w:val="center"/>
              <w:textAlignment w:val="auto"/>
            </w:pPr>
            <w:r>
              <w:rPr>
                <w:spacing w:val="9"/>
              </w:rPr>
              <w:t>施工过程中污染物排放达标，治理效果达标</w:t>
            </w:r>
          </w:p>
        </w:tc>
      </w:tr>
    </w:tbl>
    <w:p w14:paraId="2D07FEBA">
      <w:pPr>
        <w:pStyle w:val="45"/>
        <w:ind w:left="0" w:leftChars="0" w:firstLine="0" w:firstLineChars="0"/>
        <w:rPr>
          <w:rFonts w:hint="default"/>
          <w:color w:val="auto"/>
          <w:highlight w:val="none"/>
          <w:u w:val="none" w:color="auto"/>
        </w:rPr>
        <w:sectPr>
          <w:pgSz w:w="16838" w:h="11906" w:orient="landscape"/>
          <w:pgMar w:top="1417" w:right="1417" w:bottom="1417" w:left="1417" w:header="851" w:footer="851" w:gutter="0"/>
          <w:pgBorders>
            <w:top w:val="none" w:sz="0" w:space="0"/>
            <w:left w:val="none" w:sz="0" w:space="0"/>
            <w:bottom w:val="none" w:sz="0" w:space="0"/>
            <w:right w:val="none" w:sz="0" w:space="0"/>
          </w:pgBorders>
          <w:pgNumType w:fmt="decimal"/>
          <w:cols w:space="720" w:num="1"/>
          <w:docGrid w:type="lines" w:linePitch="333" w:charSpace="0"/>
        </w:sectPr>
      </w:pPr>
    </w:p>
    <w:bookmarkEnd w:id="610"/>
    <w:bookmarkEnd w:id="611"/>
    <w:bookmarkEnd w:id="612"/>
    <w:bookmarkEnd w:id="613"/>
    <w:bookmarkEnd w:id="614"/>
    <w:bookmarkEnd w:id="615"/>
    <w:bookmarkEnd w:id="616"/>
    <w:bookmarkEnd w:id="617"/>
    <w:bookmarkEnd w:id="618"/>
    <w:p w14:paraId="7BF76EF1">
      <w:pPr>
        <w:pStyle w:val="2"/>
        <w:keepNext w:val="0"/>
        <w:keepLines w:val="0"/>
        <w:numPr>
          <w:ilvl w:val="0"/>
          <w:numId w:val="0"/>
        </w:numPr>
        <w:topLinePunct w:val="0"/>
        <w:rPr>
          <w:rFonts w:hint="default" w:ascii="Times New Roman" w:hAnsi="Times New Roman" w:cs="Times New Roman"/>
          <w:color w:val="auto"/>
          <w:sz w:val="36"/>
          <w:szCs w:val="36"/>
          <w:highlight w:val="none"/>
          <w:u w:val="none" w:color="auto"/>
        </w:rPr>
      </w:pPr>
      <w:bookmarkStart w:id="728" w:name="_Toc29397"/>
      <w:bookmarkStart w:id="729" w:name="_Toc27538"/>
      <w:bookmarkStart w:id="730" w:name="_Toc20916"/>
      <w:bookmarkStart w:id="731" w:name="_Toc14438"/>
      <w:bookmarkStart w:id="732" w:name="_Toc22311"/>
      <w:bookmarkStart w:id="733" w:name="_Toc18410"/>
      <w:r>
        <w:rPr>
          <w:rFonts w:hint="eastAsia" w:cs="Times New Roman"/>
          <w:color w:val="auto"/>
          <w:sz w:val="36"/>
          <w:szCs w:val="36"/>
          <w:highlight w:val="none"/>
          <w:u w:val="none" w:color="auto"/>
          <w:lang w:val="en-US" w:eastAsia="zh-CN"/>
        </w:rPr>
        <w:t>10</w:t>
      </w:r>
      <w:r>
        <w:rPr>
          <w:rFonts w:hint="default" w:ascii="Times New Roman" w:hAnsi="Times New Roman" w:cs="Times New Roman"/>
          <w:color w:val="auto"/>
          <w:sz w:val="36"/>
          <w:szCs w:val="36"/>
          <w:highlight w:val="none"/>
          <w:u w:val="none" w:color="auto"/>
        </w:rPr>
        <w:t xml:space="preserve"> 评价结论与建议</w:t>
      </w:r>
      <w:bookmarkEnd w:id="728"/>
      <w:bookmarkEnd w:id="729"/>
      <w:bookmarkEnd w:id="730"/>
      <w:bookmarkEnd w:id="731"/>
      <w:bookmarkEnd w:id="732"/>
      <w:bookmarkEnd w:id="733"/>
    </w:p>
    <w:p w14:paraId="3FE60F63">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734" w:name="_Toc12633"/>
      <w:bookmarkStart w:id="735" w:name="_Toc15632"/>
      <w:bookmarkStart w:id="736" w:name="_Toc7381"/>
      <w:bookmarkStart w:id="737" w:name="_Toc28869"/>
      <w:bookmarkStart w:id="738" w:name="_Toc1170"/>
      <w:bookmarkStart w:id="739" w:name="_Toc14571"/>
      <w:bookmarkStart w:id="740" w:name="_Toc9569"/>
      <w:bookmarkStart w:id="741" w:name="_Toc7406"/>
      <w:bookmarkStart w:id="742" w:name="_Toc24164"/>
      <w:bookmarkStart w:id="743" w:name="_Toc25365"/>
      <w:bookmarkStart w:id="744" w:name="_Toc7567"/>
      <w:bookmarkStart w:id="745" w:name="_Toc12335"/>
      <w:bookmarkStart w:id="746" w:name="_Toc8636"/>
      <w:bookmarkStart w:id="747" w:name="_Toc27791"/>
      <w:bookmarkStart w:id="748" w:name="_Toc3684"/>
      <w:r>
        <w:rPr>
          <w:rFonts w:hint="default" w:ascii="Times New Roman" w:hAnsi="Times New Roman" w:eastAsia="宋体" w:cs="Times New Roman"/>
          <w:color w:val="auto"/>
          <w:sz w:val="30"/>
          <w:szCs w:val="30"/>
          <w:highlight w:val="none"/>
          <w:u w:val="none" w:color="auto"/>
          <w:lang w:val="en-US"/>
        </w:rPr>
        <w:t>1</w:t>
      </w:r>
      <w:r>
        <w:rPr>
          <w:rFonts w:hint="eastAsia" w:ascii="Times New Roman" w:hAnsi="Times New Roman" w:eastAsia="宋体" w:cs="Times New Roman"/>
          <w:color w:val="auto"/>
          <w:sz w:val="30"/>
          <w:szCs w:val="30"/>
          <w:highlight w:val="none"/>
          <w:u w:val="none" w:color="auto"/>
          <w:lang w:val="en-US" w:eastAsia="zh-CN"/>
        </w:rPr>
        <w:t>0</w:t>
      </w:r>
      <w:r>
        <w:rPr>
          <w:rFonts w:hint="default" w:ascii="Times New Roman" w:hAnsi="Times New Roman" w:eastAsia="宋体" w:cs="Times New Roman"/>
          <w:color w:val="auto"/>
          <w:sz w:val="30"/>
          <w:szCs w:val="30"/>
          <w:highlight w:val="none"/>
          <w:u w:val="none" w:color="auto"/>
          <w:lang w:val="en-US"/>
        </w:rPr>
        <w:t>.1项目概况</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p>
    <w:p w14:paraId="15C5FF41">
      <w:pPr>
        <w:topLinePunct w:val="0"/>
        <w:ind w:firstLine="480"/>
        <w:rPr>
          <w:rFonts w:hint="default" w:ascii="Times New Roman" w:hAnsi="Times New Roman" w:cs="Times New Roman"/>
          <w:color w:val="auto"/>
          <w:kern w:val="0"/>
          <w:sz w:val="24"/>
          <w:szCs w:val="24"/>
          <w:highlight w:val="none"/>
          <w:u w:val="none" w:color="auto"/>
        </w:rPr>
      </w:pPr>
      <w:bookmarkStart w:id="749" w:name="_Toc25261"/>
      <w:bookmarkStart w:id="750" w:name="_Toc16238"/>
      <w:bookmarkStart w:id="751" w:name="_Toc28320"/>
      <w:bookmarkStart w:id="752" w:name="_Toc3054"/>
      <w:bookmarkStart w:id="753" w:name="_Toc21892"/>
      <w:bookmarkStart w:id="754" w:name="_Toc19829"/>
      <w:bookmarkStart w:id="755" w:name="_Toc1965"/>
      <w:bookmarkStart w:id="756" w:name="_Toc1978"/>
      <w:bookmarkStart w:id="757" w:name="_Toc28822"/>
      <w:r>
        <w:rPr>
          <w:rFonts w:hint="default" w:ascii="Times New Roman" w:hAnsi="Times New Roman" w:cs="Times New Roman"/>
          <w:color w:val="auto"/>
          <w:kern w:val="0"/>
          <w:sz w:val="24"/>
          <w:szCs w:val="24"/>
          <w:highlight w:val="none"/>
          <w:u w:val="none" w:color="auto"/>
        </w:rPr>
        <w:t>项目名称：平江县三阳乡万古村万古水库周边历史遗留重金属废渣整治项目；</w:t>
      </w:r>
    </w:p>
    <w:p w14:paraId="4D5D9AD1">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建设单位：平江县三阳乡人民政府；</w:t>
      </w:r>
    </w:p>
    <w:p w14:paraId="26AA3B6E">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建设地点：平江县三阳乡万古村（中心经纬度113°33,6.75″E，28°38,51.27″N），详细地理位置图见附图1；</w:t>
      </w:r>
    </w:p>
    <w:p w14:paraId="77FE2CFC">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建设性质：新建</w:t>
      </w:r>
    </w:p>
    <w:p w14:paraId="13DA463E">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占地面积：</w:t>
      </w:r>
      <w:r>
        <w:rPr>
          <w:rFonts w:hint="eastAsia"/>
          <w:sz w:val="24"/>
          <w:szCs w:val="24"/>
          <w:highlight w:val="none"/>
          <w:u w:val="none" w:color="auto"/>
          <w:lang w:val="en-US" w:eastAsia="zh-CN"/>
        </w:rPr>
        <w:t>34557.68</w:t>
      </w:r>
      <w:r>
        <w:rPr>
          <w:rFonts w:hint="eastAsia"/>
          <w:sz w:val="24"/>
          <w:szCs w:val="24"/>
          <w:highlight w:val="none"/>
          <w:u w:val="none" w:color="auto"/>
        </w:rPr>
        <w:t>m</w:t>
      </w:r>
      <w:r>
        <w:rPr>
          <w:rFonts w:hint="eastAsia"/>
          <w:sz w:val="24"/>
          <w:szCs w:val="24"/>
          <w:highlight w:val="none"/>
          <w:u w:val="none" w:color="auto"/>
          <w:vertAlign w:val="superscript"/>
        </w:rPr>
        <w:t>2</w:t>
      </w:r>
      <w:r>
        <w:rPr>
          <w:rFonts w:hint="eastAsia"/>
          <w:sz w:val="24"/>
          <w:szCs w:val="24"/>
          <w:highlight w:val="none"/>
          <w:u w:val="none" w:color="auto"/>
        </w:rPr>
        <w:t>（废渣治理区</w:t>
      </w:r>
      <w:r>
        <w:rPr>
          <w:rFonts w:hint="eastAsia"/>
          <w:sz w:val="24"/>
          <w:szCs w:val="24"/>
          <w:highlight w:val="none"/>
          <w:u w:val="none" w:color="auto"/>
          <w:lang w:val="en-US" w:eastAsia="zh-CN"/>
        </w:rPr>
        <w:t>13047m</w:t>
      </w:r>
      <w:r>
        <w:rPr>
          <w:rFonts w:hint="eastAsia"/>
          <w:sz w:val="24"/>
          <w:szCs w:val="24"/>
          <w:highlight w:val="none"/>
          <w:u w:val="none" w:color="auto"/>
          <w:vertAlign w:val="superscript"/>
          <w:lang w:val="en-US" w:eastAsia="zh-CN"/>
        </w:rPr>
        <w:t>2</w:t>
      </w:r>
      <w:r>
        <w:rPr>
          <w:rFonts w:hint="eastAsia"/>
          <w:sz w:val="24"/>
          <w:szCs w:val="24"/>
          <w:highlight w:val="none"/>
          <w:u w:val="none" w:color="auto"/>
          <w:lang w:val="en-US" w:eastAsia="zh-CN"/>
        </w:rPr>
        <w:t>、</w:t>
      </w:r>
      <w:r>
        <w:rPr>
          <w:rFonts w:hint="eastAsia"/>
          <w:sz w:val="24"/>
          <w:szCs w:val="24"/>
          <w:highlight w:val="none"/>
          <w:u w:val="none" w:color="auto"/>
        </w:rPr>
        <w:t>废渣填埋场</w:t>
      </w:r>
      <w:r>
        <w:rPr>
          <w:rFonts w:hint="eastAsia"/>
          <w:sz w:val="24"/>
          <w:szCs w:val="24"/>
          <w:highlight w:val="none"/>
          <w:u w:val="none" w:color="auto"/>
          <w:lang w:val="en-US" w:eastAsia="zh-CN"/>
        </w:rPr>
        <w:t>8517.35</w:t>
      </w:r>
      <w:r>
        <w:rPr>
          <w:rFonts w:hint="eastAsia"/>
          <w:sz w:val="24"/>
          <w:szCs w:val="24"/>
          <w:highlight w:val="none"/>
          <w:u w:val="none" w:color="auto"/>
        </w:rPr>
        <w:t>m</w:t>
      </w:r>
      <w:r>
        <w:rPr>
          <w:rFonts w:hint="eastAsia"/>
          <w:sz w:val="24"/>
          <w:szCs w:val="24"/>
          <w:highlight w:val="none"/>
          <w:u w:val="none" w:color="auto"/>
          <w:vertAlign w:val="superscript"/>
        </w:rPr>
        <w:t>2</w:t>
      </w:r>
      <w:r>
        <w:rPr>
          <w:rFonts w:hint="eastAsia"/>
          <w:sz w:val="24"/>
          <w:szCs w:val="24"/>
          <w:highlight w:val="none"/>
          <w:u w:val="none" w:color="auto"/>
        </w:rPr>
        <w:t>、取土场</w:t>
      </w:r>
      <w:r>
        <w:rPr>
          <w:rFonts w:hint="eastAsia"/>
          <w:sz w:val="24"/>
          <w:szCs w:val="24"/>
          <w:highlight w:val="none"/>
          <w:u w:val="none" w:color="auto"/>
          <w:lang w:val="en-US" w:eastAsia="zh-CN"/>
        </w:rPr>
        <w:t>2459.24</w:t>
      </w:r>
      <w:r>
        <w:rPr>
          <w:rFonts w:hint="eastAsia"/>
          <w:sz w:val="24"/>
          <w:szCs w:val="24"/>
          <w:highlight w:val="none"/>
          <w:u w:val="none" w:color="auto"/>
        </w:rPr>
        <w:t>m</w:t>
      </w:r>
      <w:r>
        <w:rPr>
          <w:rFonts w:hint="eastAsia"/>
          <w:sz w:val="24"/>
          <w:szCs w:val="24"/>
          <w:highlight w:val="none"/>
          <w:u w:val="none" w:color="auto"/>
          <w:vertAlign w:val="superscript"/>
        </w:rPr>
        <w:t>2</w:t>
      </w:r>
      <w:r>
        <w:rPr>
          <w:rFonts w:hint="eastAsia"/>
          <w:sz w:val="24"/>
          <w:szCs w:val="24"/>
          <w:highlight w:val="none"/>
          <w:u w:val="none" w:color="auto"/>
          <w:vertAlign w:val="baseline"/>
          <w:lang w:eastAsia="zh-CN"/>
        </w:rPr>
        <w:t>、</w:t>
      </w:r>
      <w:r>
        <w:rPr>
          <w:rFonts w:hint="eastAsia"/>
          <w:sz w:val="24"/>
          <w:szCs w:val="24"/>
          <w:highlight w:val="none"/>
          <w:u w:val="none" w:color="auto"/>
          <w:vertAlign w:val="baseline"/>
          <w:lang w:val="en-US" w:eastAsia="zh-CN"/>
        </w:rPr>
        <w:t>临时道路10534.09m</w:t>
      </w:r>
      <w:r>
        <w:rPr>
          <w:rFonts w:hint="eastAsia"/>
          <w:sz w:val="24"/>
          <w:szCs w:val="24"/>
          <w:highlight w:val="none"/>
          <w:u w:val="none" w:color="auto"/>
          <w:vertAlign w:val="superscript"/>
          <w:lang w:val="en-US" w:eastAsia="zh-CN"/>
        </w:rPr>
        <w:t>2</w:t>
      </w:r>
      <w:r>
        <w:rPr>
          <w:rFonts w:hint="eastAsia"/>
          <w:sz w:val="24"/>
          <w:szCs w:val="24"/>
          <w:highlight w:val="none"/>
          <w:u w:val="none" w:color="auto"/>
        </w:rPr>
        <w:t>）</w:t>
      </w:r>
    </w:p>
    <w:p w14:paraId="626EF41F">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建设投资：1568.28万元，环保投资为379.83万元；</w:t>
      </w:r>
    </w:p>
    <w:p w14:paraId="54C266AD">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建设内容：</w:t>
      </w:r>
    </w:p>
    <w:p w14:paraId="5BE78D10">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（1）按第</w:t>
      </w:r>
      <w:r>
        <w:rPr>
          <w:rFonts w:hint="eastAsia" w:cs="Times New Roman"/>
          <w:color w:val="auto"/>
          <w:kern w:val="0"/>
          <w:sz w:val="24"/>
          <w:szCs w:val="24"/>
          <w:highlight w:val="none"/>
          <w:u w:val="none" w:color="auto"/>
          <w:lang w:eastAsia="zh-CN"/>
        </w:rPr>
        <w:t>Ⅱ类</w:t>
      </w:r>
      <w:r>
        <w:rPr>
          <w:rFonts w:hint="default" w:ascii="Times New Roman" w:hAnsi="Times New Roman" w:cs="Times New Roman"/>
          <w:color w:val="auto"/>
          <w:kern w:val="0"/>
          <w:sz w:val="24"/>
          <w:szCs w:val="24"/>
          <w:highlight w:val="none"/>
          <w:u w:val="none" w:color="auto"/>
        </w:rPr>
        <w:t>一般工业固体废物填埋场标准在万古村2#废渣点处上方350米处建设一座有效库容为6.0万m</w:t>
      </w:r>
      <w:r>
        <w:rPr>
          <w:rFonts w:hint="default" w:ascii="Times New Roman" w:hAnsi="Times New Roman" w:cs="Times New Roman"/>
          <w:color w:val="auto"/>
          <w:kern w:val="0"/>
          <w:sz w:val="24"/>
          <w:szCs w:val="24"/>
          <w:highlight w:val="none"/>
          <w:u w:val="none" w:color="auto"/>
          <w:vertAlign w:val="superscript"/>
        </w:rPr>
        <w:t>3</w:t>
      </w:r>
      <w:r>
        <w:rPr>
          <w:rFonts w:hint="default" w:ascii="Times New Roman" w:hAnsi="Times New Roman" w:cs="Times New Roman"/>
          <w:color w:val="auto"/>
          <w:kern w:val="0"/>
          <w:sz w:val="24"/>
          <w:szCs w:val="24"/>
          <w:highlight w:val="none"/>
          <w:u w:val="none" w:color="auto"/>
        </w:rPr>
        <w:t>的阻隔场；</w:t>
      </w:r>
    </w:p>
    <w:p w14:paraId="540FF734">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（2）将区域内1#废渣点、2#废渣点、万古水库废渣点3A、万古水库废渣点3B等4处废渣点共计55999.73m</w:t>
      </w:r>
      <w:r>
        <w:rPr>
          <w:rFonts w:hint="default" w:ascii="Times New Roman" w:hAnsi="Times New Roman" w:cs="Times New Roman"/>
          <w:color w:val="auto"/>
          <w:kern w:val="0"/>
          <w:sz w:val="24"/>
          <w:szCs w:val="24"/>
          <w:highlight w:val="none"/>
          <w:u w:val="none" w:color="auto"/>
          <w:vertAlign w:val="superscript"/>
        </w:rPr>
        <w:t>3</w:t>
      </w:r>
      <w:r>
        <w:rPr>
          <w:rFonts w:hint="default" w:ascii="Times New Roman" w:hAnsi="Times New Roman" w:cs="Times New Roman"/>
          <w:color w:val="auto"/>
          <w:kern w:val="0"/>
          <w:sz w:val="24"/>
          <w:szCs w:val="24"/>
          <w:highlight w:val="none"/>
          <w:u w:val="none" w:color="auto"/>
        </w:rPr>
        <w:t>的历史遗留废渣转运至阻隔场中进行集中安全管控；</w:t>
      </w:r>
    </w:p>
    <w:p w14:paraId="47461FD4">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（3）1#废渣点、2#废渣点、万古水库废渣点3A及万古水库废渣点3B遗留废渣全部转运至新建阻隔场后，按相关标准及规范要求进行封场防渗，阻隔场封场防渗面积为8500m</w:t>
      </w:r>
      <w:r>
        <w:rPr>
          <w:rFonts w:hint="default" w:ascii="Times New Roman" w:hAnsi="Times New Roman" w:cs="Times New Roman"/>
          <w:color w:val="auto"/>
          <w:kern w:val="0"/>
          <w:sz w:val="24"/>
          <w:szCs w:val="24"/>
          <w:highlight w:val="none"/>
          <w:u w:val="none" w:color="auto"/>
          <w:vertAlign w:val="superscript"/>
        </w:rPr>
        <w:t>2</w:t>
      </w:r>
      <w:r>
        <w:rPr>
          <w:rFonts w:hint="default" w:ascii="Times New Roman" w:hAnsi="Times New Roman" w:cs="Times New Roman"/>
          <w:color w:val="auto"/>
          <w:kern w:val="0"/>
          <w:sz w:val="24"/>
          <w:szCs w:val="24"/>
          <w:highlight w:val="none"/>
          <w:u w:val="none" w:color="auto"/>
        </w:rPr>
        <w:t>；</w:t>
      </w:r>
    </w:p>
    <w:p w14:paraId="227F7C74">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（4）对原废渣堆区域（1#废渣点、2#废渣点、万古水库废渣点3A及万古水库废渣点3B区域）、阻隔场及临时场地进行生态恢复，面积约26308.8m</w:t>
      </w:r>
      <w:r>
        <w:rPr>
          <w:rFonts w:hint="default" w:ascii="Times New Roman" w:hAnsi="Times New Roman" w:cs="Times New Roman"/>
          <w:color w:val="auto"/>
          <w:kern w:val="0"/>
          <w:sz w:val="24"/>
          <w:szCs w:val="24"/>
          <w:highlight w:val="none"/>
          <w:u w:val="none" w:color="auto"/>
          <w:vertAlign w:val="superscript"/>
        </w:rPr>
        <w:t>2</w:t>
      </w:r>
      <w:r>
        <w:rPr>
          <w:rFonts w:hint="default" w:ascii="Times New Roman" w:hAnsi="Times New Roman" w:cs="Times New Roman"/>
          <w:color w:val="auto"/>
          <w:kern w:val="0"/>
          <w:sz w:val="24"/>
          <w:szCs w:val="24"/>
          <w:highlight w:val="none"/>
          <w:u w:val="none" w:color="auto"/>
        </w:rPr>
        <w:t>；</w:t>
      </w:r>
    </w:p>
    <w:p w14:paraId="6387CAC4">
      <w:pPr>
        <w:topLinePunct w:val="0"/>
        <w:ind w:firstLine="480"/>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（5）分别在原废渣区、废渣填埋区布设截洪沟和排水沟，1#2#渣堆区、万古水库（3A/3B）废渣区共布设截洪沟776m，排水沟446m；废渣填埋区共布设截洪沟760m，排水沟480m；</w:t>
      </w:r>
    </w:p>
    <w:p w14:paraId="2FD70D07">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kern w:val="0"/>
          <w:sz w:val="24"/>
          <w:szCs w:val="24"/>
          <w:highlight w:val="none"/>
          <w:u w:val="none" w:color="auto"/>
        </w:rPr>
      </w:pPr>
      <w:r>
        <w:rPr>
          <w:rFonts w:hint="default" w:ascii="Times New Roman" w:hAnsi="Times New Roman" w:cs="Times New Roman"/>
          <w:color w:val="auto"/>
          <w:kern w:val="0"/>
          <w:sz w:val="24"/>
          <w:szCs w:val="24"/>
          <w:highlight w:val="none"/>
          <w:u w:val="none" w:color="auto"/>
        </w:rPr>
        <w:t>（6）对施工废水进行收集，并采用一套处理规模为30m</w:t>
      </w:r>
      <w:r>
        <w:rPr>
          <w:rFonts w:hint="default" w:ascii="Times New Roman" w:hAnsi="Times New Roman" w:cs="Times New Roman"/>
          <w:color w:val="auto"/>
          <w:kern w:val="0"/>
          <w:sz w:val="24"/>
          <w:szCs w:val="24"/>
          <w:highlight w:val="none"/>
          <w:u w:val="none" w:color="auto"/>
          <w:vertAlign w:val="superscript"/>
        </w:rPr>
        <w:t>3</w:t>
      </w:r>
      <w:r>
        <w:rPr>
          <w:rFonts w:hint="default" w:ascii="Times New Roman" w:hAnsi="Times New Roman" w:cs="Times New Roman"/>
          <w:color w:val="auto"/>
          <w:kern w:val="0"/>
          <w:sz w:val="24"/>
          <w:szCs w:val="24"/>
          <w:highlight w:val="none"/>
          <w:u w:val="none" w:color="auto"/>
        </w:rPr>
        <w:t>/d的一体化废水处理设备进行处理，出水水质达到《污水综合排放标准》（GB8978-1996）一级标准；</w:t>
      </w:r>
    </w:p>
    <w:p w14:paraId="4A5C67B4">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kern w:val="0"/>
          <w:sz w:val="24"/>
          <w:szCs w:val="24"/>
          <w:highlight w:val="none"/>
          <w:u w:val="none" w:color="auto"/>
        </w:rPr>
        <w:t>（7）项目建设完成后，项目区域地表水水质均达到《地表水环境质量标准》（GB3838-2002）</w:t>
      </w:r>
      <w:r>
        <w:rPr>
          <w:rFonts w:hint="eastAsia" w:cs="Times New Roman"/>
          <w:color w:val="auto"/>
          <w:kern w:val="0"/>
          <w:sz w:val="24"/>
          <w:szCs w:val="24"/>
          <w:highlight w:val="none"/>
          <w:u w:val="none" w:color="auto"/>
          <w:lang w:eastAsia="zh-CN"/>
        </w:rPr>
        <w:t>Ⅲ</w:t>
      </w:r>
      <w:r>
        <w:rPr>
          <w:rFonts w:hint="default" w:ascii="Times New Roman" w:hAnsi="Times New Roman" w:cs="Times New Roman"/>
          <w:color w:val="auto"/>
          <w:kern w:val="0"/>
          <w:sz w:val="24"/>
          <w:szCs w:val="24"/>
          <w:highlight w:val="none"/>
          <w:u w:val="none" w:color="auto"/>
        </w:rPr>
        <w:t>类标准。</w:t>
      </w:r>
    </w:p>
    <w:p w14:paraId="39B403F2">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758" w:name="_Toc30068"/>
      <w:bookmarkStart w:id="759" w:name="_Toc20951"/>
      <w:bookmarkStart w:id="760" w:name="_Toc27820"/>
      <w:bookmarkStart w:id="761" w:name="_Toc8293"/>
      <w:bookmarkStart w:id="762" w:name="_Toc22502"/>
      <w:bookmarkStart w:id="763" w:name="_Toc31269"/>
      <w:bookmarkStart w:id="764" w:name="_Toc16306"/>
      <w:r>
        <w:rPr>
          <w:rFonts w:hint="default" w:ascii="Times New Roman" w:hAnsi="Times New Roman" w:eastAsia="宋体" w:cs="Times New Roman"/>
          <w:color w:val="auto"/>
          <w:sz w:val="30"/>
          <w:szCs w:val="30"/>
          <w:highlight w:val="none"/>
          <w:u w:val="none" w:color="auto"/>
          <w:lang w:val="en-US"/>
        </w:rPr>
        <w:t>1</w:t>
      </w:r>
      <w:r>
        <w:rPr>
          <w:rFonts w:hint="eastAsia" w:ascii="Times New Roman" w:hAnsi="Times New Roman" w:eastAsia="宋体" w:cs="Times New Roman"/>
          <w:color w:val="auto"/>
          <w:sz w:val="30"/>
          <w:szCs w:val="30"/>
          <w:highlight w:val="none"/>
          <w:u w:val="none" w:color="auto"/>
          <w:lang w:val="en-US" w:eastAsia="zh-CN"/>
        </w:rPr>
        <w:t>0</w:t>
      </w:r>
      <w:r>
        <w:rPr>
          <w:rFonts w:hint="default" w:ascii="Times New Roman" w:hAnsi="Times New Roman" w:eastAsia="宋体" w:cs="Times New Roman"/>
          <w:color w:val="auto"/>
          <w:sz w:val="30"/>
          <w:szCs w:val="30"/>
          <w:highlight w:val="none"/>
          <w:u w:val="none" w:color="auto"/>
          <w:lang w:val="en-US"/>
        </w:rPr>
        <w:t>.2政策符合性</w:t>
      </w:r>
      <w:r>
        <w:rPr>
          <w:rFonts w:hint="eastAsia" w:ascii="Times New Roman" w:hAnsi="Times New Roman" w:eastAsia="宋体" w:cs="Times New Roman"/>
          <w:color w:val="auto"/>
          <w:sz w:val="30"/>
          <w:szCs w:val="30"/>
          <w:highlight w:val="none"/>
          <w:u w:val="none" w:color="auto"/>
          <w:lang w:val="en-US" w:eastAsia="zh-CN"/>
        </w:rPr>
        <w:t>分析</w:t>
      </w:r>
      <w:r>
        <w:rPr>
          <w:rFonts w:hint="default" w:ascii="Times New Roman" w:hAnsi="Times New Roman" w:eastAsia="宋体" w:cs="Times New Roman"/>
          <w:color w:val="auto"/>
          <w:sz w:val="30"/>
          <w:szCs w:val="30"/>
          <w:highlight w:val="none"/>
          <w:u w:val="none" w:color="auto"/>
          <w:lang w:val="en-US"/>
        </w:rPr>
        <w:t>结论</w:t>
      </w:r>
      <w:bookmarkEnd w:id="749"/>
      <w:bookmarkEnd w:id="750"/>
      <w:bookmarkEnd w:id="751"/>
      <w:bookmarkEnd w:id="752"/>
      <w:bookmarkEnd w:id="753"/>
      <w:bookmarkEnd w:id="754"/>
      <w:bookmarkEnd w:id="755"/>
      <w:bookmarkEnd w:id="758"/>
      <w:bookmarkEnd w:id="759"/>
      <w:bookmarkEnd w:id="760"/>
      <w:bookmarkEnd w:id="761"/>
      <w:bookmarkEnd w:id="762"/>
      <w:bookmarkEnd w:id="763"/>
      <w:bookmarkEnd w:id="764"/>
    </w:p>
    <w:p w14:paraId="14BDACF3">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①产业政策符合性分析：本项目行业为N7723固体废物治理，根据《产业结构调整指导目录（2024年本）》，本项目属于鼓励类中第四十二项“环境保护与资源节约综合利用”的第2项“生态环境修复和资源利用”。</w:t>
      </w:r>
    </w:p>
    <w:p w14:paraId="19142ED2">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②规划符合性：与《湖南省“十四五”生态环境保护规划》、《湖南省“十四五”重金属污染防治规划》、《“十四五”土壤、地下水和农业农村生态环境保护规划》（环土壤〔2021〕120号）、《湖南省主体功能区划》等相符。</w:t>
      </w:r>
    </w:p>
    <w:p w14:paraId="24274BC2">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③生态环境管控符合性分析：本项目不属于生态红线区域，在采取环评要求的环保措施后不会突破区域环境质量底线，采取一定的节能环保措施后，不超过资源利用</w:t>
      </w:r>
      <w:r>
        <w:rPr>
          <w:rFonts w:hint="eastAsia" w:cs="Times New Roman"/>
          <w:color w:val="auto"/>
          <w:sz w:val="24"/>
          <w:szCs w:val="24"/>
          <w:highlight w:val="none"/>
          <w:u w:val="none" w:color="auto"/>
          <w:lang w:eastAsia="zh-CN"/>
        </w:rPr>
        <w:t>上限</w:t>
      </w:r>
      <w:r>
        <w:rPr>
          <w:rFonts w:hint="default" w:ascii="Times New Roman" w:hAnsi="Times New Roman" w:cs="Times New Roman"/>
          <w:color w:val="auto"/>
          <w:sz w:val="24"/>
          <w:szCs w:val="24"/>
          <w:highlight w:val="none"/>
          <w:u w:val="none" w:color="auto"/>
        </w:rPr>
        <w:t>，符合《岳阳市其他环境管控单元（省级及以上产业园区除外）生态环境准入清单（2023年版）》要求。</w:t>
      </w:r>
    </w:p>
    <w:p w14:paraId="1645D4A4">
      <w:pPr>
        <w:ind w:firstLine="480"/>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④选址：项目填埋场符合《一般工业固体废物贮存和填埋污染控制标准》（GB18599-2020）中的环境保护要求；取土场占地现状为灌木林地，未占用基本农田和天然保护林及生态公益林，无保护植物分布，也无动物通道分布，没有占用泄洪通道，水利灌溉设施，这样集中取土可以有效地防止多处开挖取土造成的大量的水土流失，取土场选址是合理的。</w:t>
      </w:r>
    </w:p>
    <w:p w14:paraId="68BC8919">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765" w:name="_Toc18197"/>
      <w:bookmarkStart w:id="766" w:name="_Toc24617"/>
      <w:bookmarkStart w:id="767" w:name="_Toc17129"/>
      <w:bookmarkStart w:id="768" w:name="_Toc14591"/>
      <w:bookmarkStart w:id="769" w:name="_Toc26908"/>
      <w:bookmarkStart w:id="770" w:name="_Toc26828"/>
      <w:bookmarkStart w:id="771" w:name="_Toc13869"/>
      <w:bookmarkStart w:id="772" w:name="_Toc15271"/>
      <w:bookmarkStart w:id="773" w:name="_Toc6147"/>
      <w:bookmarkStart w:id="774" w:name="_Toc9960"/>
      <w:bookmarkStart w:id="775" w:name="_Toc14878"/>
      <w:bookmarkStart w:id="776" w:name="_Toc2044"/>
      <w:bookmarkStart w:id="777" w:name="_Toc25803"/>
      <w:bookmarkStart w:id="778" w:name="_Toc1421"/>
      <w:r>
        <w:rPr>
          <w:rFonts w:hint="default" w:ascii="Times New Roman" w:hAnsi="Times New Roman" w:eastAsia="宋体" w:cs="Times New Roman"/>
          <w:color w:val="auto"/>
          <w:sz w:val="30"/>
          <w:szCs w:val="30"/>
          <w:highlight w:val="none"/>
          <w:u w:val="none" w:color="auto"/>
          <w:lang w:val="en-US"/>
        </w:rPr>
        <w:t>1</w:t>
      </w:r>
      <w:r>
        <w:rPr>
          <w:rFonts w:hint="eastAsia" w:ascii="Times New Roman" w:hAnsi="Times New Roman" w:eastAsia="宋体" w:cs="Times New Roman"/>
          <w:color w:val="auto"/>
          <w:sz w:val="30"/>
          <w:szCs w:val="30"/>
          <w:highlight w:val="none"/>
          <w:u w:val="none" w:color="auto"/>
          <w:lang w:val="en-US" w:eastAsia="zh-CN"/>
        </w:rPr>
        <w:t>0</w:t>
      </w:r>
      <w:r>
        <w:rPr>
          <w:rFonts w:hint="default" w:ascii="Times New Roman" w:hAnsi="Times New Roman" w:eastAsia="宋体" w:cs="Times New Roman"/>
          <w:color w:val="auto"/>
          <w:sz w:val="30"/>
          <w:szCs w:val="30"/>
          <w:highlight w:val="none"/>
          <w:u w:val="none" w:color="auto"/>
          <w:lang w:val="en-US"/>
        </w:rPr>
        <w:t>.</w:t>
      </w:r>
      <w:bookmarkEnd w:id="756"/>
      <w:r>
        <w:rPr>
          <w:rFonts w:hint="default" w:ascii="Times New Roman" w:hAnsi="Times New Roman" w:eastAsia="宋体" w:cs="Times New Roman"/>
          <w:color w:val="auto"/>
          <w:sz w:val="30"/>
          <w:szCs w:val="30"/>
          <w:highlight w:val="none"/>
          <w:u w:val="none" w:color="auto"/>
          <w:lang w:val="en-US"/>
        </w:rPr>
        <w:t>3环境质量现状</w:t>
      </w:r>
      <w:bookmarkEnd w:id="757"/>
      <w:r>
        <w:rPr>
          <w:rFonts w:hint="default" w:ascii="Times New Roman" w:hAnsi="Times New Roman" w:eastAsia="宋体" w:cs="Times New Roman"/>
          <w:color w:val="auto"/>
          <w:sz w:val="30"/>
          <w:szCs w:val="30"/>
          <w:highlight w:val="none"/>
          <w:u w:val="none" w:color="auto"/>
          <w:lang w:val="en-US"/>
        </w:rPr>
        <w:t>评价结论</w:t>
      </w:r>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p>
    <w:p w14:paraId="7DC6CF64">
      <w:pPr>
        <w:pStyle w:val="113"/>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left"/>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1、环境空气质量现状</w:t>
      </w:r>
    </w:p>
    <w:p w14:paraId="52A4800A">
      <w:pPr>
        <w:pStyle w:val="113"/>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left"/>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项目所在区域属于环境空气二类区，执行《环境空气质量标准》（GB3095-2026）中过渡阶段浓度限值的二级标准；2024年平江县区域环境空气污染物PM</w:t>
      </w:r>
      <w:r>
        <w:rPr>
          <w:rFonts w:hint="default" w:ascii="Times New Roman" w:hAnsi="Times New Roman" w:cs="Times New Roman"/>
          <w:color w:val="auto"/>
          <w:sz w:val="24"/>
          <w:szCs w:val="24"/>
          <w:highlight w:val="none"/>
          <w:u w:val="none" w:color="auto"/>
          <w:vertAlign w:val="subscript"/>
        </w:rPr>
        <w:t>10</w:t>
      </w:r>
      <w:r>
        <w:rPr>
          <w:rFonts w:hint="default" w:ascii="Times New Roman" w:hAnsi="Times New Roman" w:cs="Times New Roman"/>
          <w:color w:val="auto"/>
          <w:sz w:val="24"/>
          <w:szCs w:val="24"/>
          <w:highlight w:val="none"/>
          <w:u w:val="none" w:color="auto"/>
        </w:rPr>
        <w:t>、SO</w:t>
      </w:r>
      <w:r>
        <w:rPr>
          <w:rFonts w:hint="default" w:ascii="Times New Roman" w:hAnsi="Times New Roman" w:cs="Times New Roman"/>
          <w:color w:val="auto"/>
          <w:sz w:val="24"/>
          <w:szCs w:val="24"/>
          <w:highlight w:val="none"/>
          <w:u w:val="none" w:color="auto"/>
          <w:vertAlign w:val="subscript"/>
        </w:rPr>
        <w:t>2</w:t>
      </w:r>
      <w:r>
        <w:rPr>
          <w:rFonts w:hint="default" w:ascii="Times New Roman" w:hAnsi="Times New Roman" w:cs="Times New Roman"/>
          <w:color w:val="auto"/>
          <w:sz w:val="24"/>
          <w:szCs w:val="24"/>
          <w:highlight w:val="none"/>
          <w:u w:val="none" w:color="auto"/>
        </w:rPr>
        <w:t>、NO</w:t>
      </w:r>
      <w:r>
        <w:rPr>
          <w:rFonts w:hint="default" w:ascii="Times New Roman" w:hAnsi="Times New Roman" w:cs="Times New Roman"/>
          <w:color w:val="auto"/>
          <w:sz w:val="24"/>
          <w:szCs w:val="24"/>
          <w:highlight w:val="none"/>
          <w:u w:val="none" w:color="auto"/>
          <w:vertAlign w:val="subscript"/>
        </w:rPr>
        <w:t>2</w:t>
      </w:r>
      <w:r>
        <w:rPr>
          <w:rFonts w:hint="default" w:ascii="Times New Roman" w:hAnsi="Times New Roman" w:cs="Times New Roman"/>
          <w:color w:val="auto"/>
          <w:sz w:val="24"/>
          <w:szCs w:val="24"/>
          <w:highlight w:val="none"/>
          <w:u w:val="none" w:color="auto"/>
        </w:rPr>
        <w:t>、PM</w:t>
      </w:r>
      <w:r>
        <w:rPr>
          <w:rFonts w:hint="default" w:ascii="Times New Roman" w:hAnsi="Times New Roman" w:cs="Times New Roman"/>
          <w:color w:val="auto"/>
          <w:sz w:val="24"/>
          <w:szCs w:val="24"/>
          <w:highlight w:val="none"/>
          <w:u w:val="none" w:color="auto"/>
          <w:vertAlign w:val="subscript"/>
        </w:rPr>
        <w:t>2.5</w:t>
      </w:r>
      <w:r>
        <w:rPr>
          <w:rFonts w:hint="default" w:ascii="Times New Roman" w:hAnsi="Times New Roman" w:cs="Times New Roman"/>
          <w:color w:val="auto"/>
          <w:sz w:val="24"/>
          <w:szCs w:val="24"/>
          <w:highlight w:val="none"/>
          <w:u w:val="none" w:color="auto"/>
        </w:rPr>
        <w:t>年均浓度，O</w:t>
      </w:r>
      <w:r>
        <w:rPr>
          <w:rFonts w:hint="default" w:ascii="Times New Roman" w:hAnsi="Times New Roman" w:cs="Times New Roman"/>
          <w:color w:val="auto"/>
          <w:sz w:val="24"/>
          <w:szCs w:val="24"/>
          <w:highlight w:val="none"/>
          <w:u w:val="none" w:color="auto"/>
          <w:vertAlign w:val="subscript"/>
        </w:rPr>
        <w:t>3</w:t>
      </w:r>
      <w:r>
        <w:rPr>
          <w:rFonts w:hint="default" w:ascii="Times New Roman" w:hAnsi="Times New Roman" w:cs="Times New Roman"/>
          <w:color w:val="auto"/>
          <w:sz w:val="24"/>
          <w:szCs w:val="24"/>
          <w:highlight w:val="none"/>
          <w:u w:val="none" w:color="auto"/>
        </w:rPr>
        <w:t>日最大8小时平均第90百分位数、CO24小时平均第95百分位数均满足《环境空气质量标准》（GB3095-2012）中过渡阶段浓度限值的二级标准，项目所在区域为环境空气质量达标区。</w:t>
      </w:r>
    </w:p>
    <w:p w14:paraId="6EC1AC61">
      <w:pPr>
        <w:pStyle w:val="113"/>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left"/>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根据引用和现状监测的</w:t>
      </w:r>
      <w:r>
        <w:rPr>
          <w:rFonts w:hint="eastAsia" w:cs="Times New Roman"/>
          <w:color w:val="auto"/>
          <w:sz w:val="24"/>
          <w:szCs w:val="24"/>
          <w:highlight w:val="none"/>
          <w:u w:val="none" w:color="auto"/>
          <w:lang w:eastAsia="zh-CN"/>
        </w:rPr>
        <w:t>其他</w:t>
      </w:r>
      <w:r>
        <w:rPr>
          <w:rFonts w:hint="default" w:ascii="Times New Roman" w:hAnsi="Times New Roman" w:cs="Times New Roman"/>
          <w:color w:val="auto"/>
          <w:sz w:val="24"/>
          <w:szCs w:val="24"/>
          <w:highlight w:val="none"/>
          <w:u w:val="none" w:color="auto"/>
        </w:rPr>
        <w:t>污染物的现状监测数据可知，监测点位TSP满足《环境空气质量标准》（GB3095-2012）中过渡阶段浓度限值的二级标准。</w:t>
      </w:r>
    </w:p>
    <w:p w14:paraId="3A808288">
      <w:pPr>
        <w:keepNext w:val="0"/>
        <w:keepLines w:val="0"/>
        <w:pageBreakBefore w:val="0"/>
        <w:kinsoku/>
        <w:wordWrap/>
        <w:overflowPunct/>
        <w:autoSpaceDE/>
        <w:autoSpaceDN/>
        <w:bidi w:val="0"/>
        <w:adjustRightInd/>
        <w:snapToGrid/>
        <w:spacing w:line="360" w:lineRule="auto"/>
        <w:ind w:left="0" w:right="0" w:firstLine="464" w:firstLineChars="200"/>
        <w:textAlignment w:val="auto"/>
        <w:rPr>
          <w:rFonts w:ascii="宋体" w:hAnsi="宋体" w:eastAsia="宋体" w:cs="宋体"/>
          <w:sz w:val="24"/>
          <w:szCs w:val="24"/>
        </w:rPr>
      </w:pPr>
      <w:r>
        <w:rPr>
          <w:rFonts w:ascii="Times New Roman" w:hAnsi="Times New Roman" w:eastAsia="Times New Roman" w:cs="Times New Roman"/>
          <w:spacing w:val="-4"/>
          <w:sz w:val="24"/>
          <w:szCs w:val="24"/>
        </w:rPr>
        <w:t>2</w:t>
      </w:r>
      <w:r>
        <w:rPr>
          <w:rFonts w:ascii="宋体" w:hAnsi="宋体" w:eastAsia="宋体" w:cs="宋体"/>
          <w:spacing w:val="-4"/>
          <w:sz w:val="24"/>
          <w:szCs w:val="24"/>
        </w:rPr>
        <w:t>、地表水质量现状</w:t>
      </w:r>
    </w:p>
    <w:p w14:paraId="1A5AF5A6">
      <w:pPr>
        <w:keepNext w:val="0"/>
        <w:keepLines w:val="0"/>
        <w:pageBreakBefore w:val="0"/>
        <w:kinsoku/>
        <w:wordWrap/>
        <w:overflowPunct/>
        <w:autoSpaceDE/>
        <w:autoSpaceDN/>
        <w:bidi w:val="0"/>
        <w:adjustRightInd/>
        <w:snapToGrid/>
        <w:spacing w:line="360" w:lineRule="auto"/>
        <w:ind w:left="0" w:right="0" w:firstLine="476" w:firstLineChars="200"/>
        <w:textAlignment w:val="auto"/>
        <w:rPr>
          <w:rFonts w:ascii="宋体" w:hAnsi="宋体" w:eastAsia="宋体" w:cs="宋体"/>
          <w:sz w:val="24"/>
          <w:szCs w:val="24"/>
        </w:rPr>
      </w:pPr>
      <w:r>
        <w:rPr>
          <w:rFonts w:hint="default" w:ascii="Times New Roman" w:hAnsi="Times New Roman" w:eastAsia="宋体" w:cs="Times New Roman"/>
          <w:spacing w:val="-1"/>
          <w:sz w:val="24"/>
          <w:szCs w:val="24"/>
          <w:lang w:val="en-US" w:eastAsia="zh-CN"/>
        </w:rPr>
        <w:t>根据下</w:t>
      </w:r>
      <w:r>
        <w:rPr>
          <w:rFonts w:hint="default" w:ascii="Times New Roman" w:hAnsi="Times New Roman" w:eastAsia="宋体" w:cs="Times New Roman"/>
          <w:spacing w:val="-1"/>
          <w:sz w:val="24"/>
          <w:szCs w:val="24"/>
        </w:rPr>
        <w:t>表，本次评价区域内各监测点各因子除万古（白荆）水库监测点位中总磷超标外，其他监测</w:t>
      </w:r>
      <w:r>
        <w:rPr>
          <w:rFonts w:hint="eastAsia" w:cs="Times New Roman"/>
          <w:spacing w:val="-1"/>
          <w:sz w:val="24"/>
          <w:szCs w:val="24"/>
          <w:lang w:eastAsia="zh-CN"/>
        </w:rPr>
        <w:t>因子</w:t>
      </w:r>
      <w:r>
        <w:rPr>
          <w:rFonts w:hint="default" w:ascii="Times New Roman" w:hAnsi="Times New Roman" w:eastAsia="宋体" w:cs="Times New Roman"/>
          <w:spacing w:val="-1"/>
          <w:sz w:val="24"/>
          <w:szCs w:val="24"/>
        </w:rPr>
        <w:t>均能达到《地表水环境质量标准》（GB 3838-2002）表1中Ⅲ类标准值和表2、3中标准值</w:t>
      </w:r>
      <w:r>
        <w:rPr>
          <w:rFonts w:hint="eastAsia" w:cs="Times New Roman"/>
          <w:spacing w:val="-1"/>
          <w:sz w:val="24"/>
          <w:szCs w:val="24"/>
          <w:lang w:eastAsia="zh-CN"/>
        </w:rPr>
        <w:t>，</w:t>
      </w:r>
      <w:r>
        <w:rPr>
          <w:rFonts w:hint="eastAsia" w:cs="Times New Roman"/>
          <w:spacing w:val="-1"/>
          <w:sz w:val="24"/>
          <w:szCs w:val="24"/>
          <w:lang w:val="en-US" w:eastAsia="zh-CN"/>
        </w:rPr>
        <w:t>其中总磷超标原因为：周边农田化肥使用后的残留形成面源流入水库且水库水流动性较差，长期往后造成水库总磷超标</w:t>
      </w:r>
    </w:p>
    <w:p w14:paraId="2A90DAEA">
      <w:pPr>
        <w:keepNext w:val="0"/>
        <w:keepLines w:val="0"/>
        <w:pageBreakBefore w:val="0"/>
        <w:kinsoku/>
        <w:wordWrap/>
        <w:overflowPunct/>
        <w:autoSpaceDE/>
        <w:autoSpaceDN/>
        <w:bidi w:val="0"/>
        <w:adjustRightInd/>
        <w:snapToGrid/>
        <w:spacing w:line="360" w:lineRule="auto"/>
        <w:ind w:left="0" w:right="0" w:firstLine="464" w:firstLineChars="200"/>
        <w:textAlignment w:val="auto"/>
        <w:rPr>
          <w:rFonts w:ascii="宋体" w:hAnsi="宋体" w:eastAsia="宋体" w:cs="宋体"/>
          <w:sz w:val="24"/>
          <w:szCs w:val="24"/>
        </w:rPr>
      </w:pPr>
      <w:r>
        <w:rPr>
          <w:rFonts w:ascii="Times New Roman" w:hAnsi="Times New Roman" w:eastAsia="Times New Roman" w:cs="Times New Roman"/>
          <w:spacing w:val="-4"/>
          <w:sz w:val="24"/>
          <w:szCs w:val="24"/>
        </w:rPr>
        <w:t>3</w:t>
      </w:r>
      <w:r>
        <w:rPr>
          <w:rFonts w:ascii="宋体" w:hAnsi="宋体" w:eastAsia="宋体" w:cs="宋体"/>
          <w:spacing w:val="-4"/>
          <w:sz w:val="24"/>
          <w:szCs w:val="24"/>
        </w:rPr>
        <w:t>、地下水质量现状</w:t>
      </w:r>
    </w:p>
    <w:p w14:paraId="35D15D9E">
      <w:pPr>
        <w:keepNext w:val="0"/>
        <w:keepLines w:val="0"/>
        <w:pageBreakBefore w:val="0"/>
        <w:kinsoku/>
        <w:wordWrap/>
        <w:overflowPunct/>
        <w:autoSpaceDE/>
        <w:autoSpaceDN/>
        <w:bidi w:val="0"/>
        <w:adjustRightInd/>
        <w:snapToGrid/>
        <w:spacing w:line="360" w:lineRule="auto"/>
        <w:ind w:left="0" w:right="0" w:firstLine="472" w:firstLineChars="200"/>
        <w:textAlignment w:val="auto"/>
        <w:rPr>
          <w:rFonts w:ascii="宋体" w:hAnsi="宋体" w:eastAsia="宋体" w:cs="宋体"/>
          <w:sz w:val="24"/>
          <w:szCs w:val="24"/>
        </w:rPr>
      </w:pPr>
      <w:r>
        <w:rPr>
          <w:rFonts w:hint="default" w:ascii="Times New Roman" w:hAnsi="Times New Roman" w:eastAsia="宋体" w:cs="Times New Roman"/>
          <w:spacing w:val="-2"/>
          <w:sz w:val="24"/>
          <w:szCs w:val="24"/>
          <w:lang w:val="en-US" w:eastAsia="zh-CN"/>
        </w:rPr>
        <w:t>根据监测结果可知</w:t>
      </w:r>
      <w:r>
        <w:rPr>
          <w:rFonts w:hint="default" w:ascii="Times New Roman" w:hAnsi="Times New Roman" w:eastAsia="宋体" w:cs="Times New Roman"/>
          <w:spacing w:val="-2"/>
          <w:sz w:val="24"/>
          <w:szCs w:val="24"/>
        </w:rPr>
        <w:t>，本次评价区域内各监测点各因子除铁、锰外均能达到《地下水质量标准》（GB/T14848-2017）Ⅲ类标准，</w:t>
      </w:r>
      <w:r>
        <w:rPr>
          <w:rFonts w:hint="eastAsia" w:cs="Times New Roman"/>
          <w:spacing w:val="-2"/>
          <w:sz w:val="24"/>
          <w:szCs w:val="24"/>
          <w:lang w:val="en-US" w:eastAsia="zh-CN"/>
        </w:rPr>
        <w:t>其中铁、锰超标原因为：</w:t>
      </w:r>
      <w:r>
        <w:rPr>
          <w:rFonts w:hint="default" w:ascii="Times New Roman" w:hAnsi="Times New Roman" w:eastAsia="宋体" w:cs="Times New Roman"/>
          <w:spacing w:val="-2"/>
          <w:sz w:val="24"/>
          <w:szCs w:val="24"/>
        </w:rPr>
        <w:t>岳阳位于洞庭湖区，地区岩层</w:t>
      </w:r>
      <w:r>
        <w:rPr>
          <w:rFonts w:hint="eastAsia" w:cs="Times New Roman"/>
          <w:spacing w:val="-2"/>
          <w:sz w:val="24"/>
          <w:szCs w:val="24"/>
          <w:lang w:val="en-US" w:eastAsia="zh-CN"/>
        </w:rPr>
        <w:t>铁、</w:t>
      </w:r>
      <w:r>
        <w:rPr>
          <w:rFonts w:hint="default" w:ascii="Times New Roman" w:hAnsi="Times New Roman" w:eastAsia="宋体" w:cs="Times New Roman"/>
          <w:spacing w:val="-2"/>
          <w:sz w:val="24"/>
          <w:szCs w:val="24"/>
        </w:rPr>
        <w:t>锰</w:t>
      </w:r>
      <w:r>
        <w:rPr>
          <w:rFonts w:hint="eastAsia" w:cs="Times New Roman"/>
          <w:spacing w:val="-2"/>
          <w:sz w:val="24"/>
          <w:szCs w:val="24"/>
          <w:lang w:val="en-US" w:eastAsia="zh-CN"/>
        </w:rPr>
        <w:t>含</w:t>
      </w:r>
      <w:r>
        <w:rPr>
          <w:rFonts w:hint="default" w:ascii="Times New Roman" w:hAnsi="Times New Roman" w:eastAsia="宋体" w:cs="Times New Roman"/>
          <w:spacing w:val="-2"/>
          <w:sz w:val="24"/>
          <w:szCs w:val="24"/>
        </w:rPr>
        <w:t>量较高，可能通过溶滤作用进入包气带水中，所以导致超标。</w:t>
      </w:r>
    </w:p>
    <w:p w14:paraId="7EF7C0F3">
      <w:pPr>
        <w:keepNext w:val="0"/>
        <w:keepLines w:val="0"/>
        <w:pageBreakBefore w:val="0"/>
        <w:kinsoku/>
        <w:wordWrap/>
        <w:overflowPunct/>
        <w:autoSpaceDE/>
        <w:autoSpaceDN/>
        <w:bidi w:val="0"/>
        <w:adjustRightInd/>
        <w:snapToGrid/>
        <w:spacing w:line="360" w:lineRule="auto"/>
        <w:ind w:left="0" w:right="0" w:firstLine="464" w:firstLineChars="200"/>
        <w:textAlignment w:val="auto"/>
        <w:rPr>
          <w:rFonts w:ascii="宋体" w:hAnsi="宋体" w:eastAsia="宋体" w:cs="宋体"/>
          <w:sz w:val="24"/>
          <w:szCs w:val="24"/>
        </w:rPr>
      </w:pPr>
      <w:r>
        <w:rPr>
          <w:rFonts w:ascii="Times New Roman" w:hAnsi="Times New Roman" w:eastAsia="Times New Roman" w:cs="Times New Roman"/>
          <w:spacing w:val="-4"/>
          <w:sz w:val="24"/>
          <w:szCs w:val="24"/>
        </w:rPr>
        <w:t>4</w:t>
      </w:r>
      <w:r>
        <w:rPr>
          <w:rFonts w:ascii="宋体" w:hAnsi="宋体" w:eastAsia="宋体" w:cs="宋体"/>
          <w:spacing w:val="-4"/>
          <w:sz w:val="24"/>
          <w:szCs w:val="24"/>
        </w:rPr>
        <w:t>、声环境质量现状</w:t>
      </w:r>
    </w:p>
    <w:p w14:paraId="6F8AA786">
      <w:pPr>
        <w:keepNext w:val="0"/>
        <w:keepLines w:val="0"/>
        <w:pageBreakBefore w:val="0"/>
        <w:kinsoku/>
        <w:wordWrap/>
        <w:overflowPunct/>
        <w:autoSpaceDE/>
        <w:autoSpaceDN/>
        <w:bidi w:val="0"/>
        <w:adjustRightInd/>
        <w:snapToGrid/>
        <w:spacing w:line="360" w:lineRule="auto"/>
        <w:ind w:left="0" w:right="0" w:firstLine="564" w:firstLineChars="200"/>
        <w:textAlignment w:val="auto"/>
        <w:rPr>
          <w:rFonts w:ascii="宋体" w:hAnsi="宋体" w:eastAsia="宋体" w:cs="宋体"/>
          <w:sz w:val="24"/>
          <w:szCs w:val="24"/>
        </w:rPr>
      </w:pPr>
      <w:r>
        <w:rPr>
          <w:rFonts w:ascii="宋体" w:hAnsi="宋体" w:eastAsia="宋体" w:cs="宋体"/>
          <w:spacing w:val="21"/>
          <w:sz w:val="24"/>
          <w:szCs w:val="24"/>
        </w:rPr>
        <w:t>根据现状监测，项目所在地</w:t>
      </w:r>
      <w:r>
        <w:rPr>
          <w:rFonts w:hint="eastAsia" w:ascii="宋体" w:hAnsi="宋体" w:cs="宋体"/>
          <w:spacing w:val="21"/>
          <w:sz w:val="24"/>
          <w:szCs w:val="24"/>
          <w:lang w:val="en-US" w:eastAsia="zh-CN"/>
        </w:rPr>
        <w:t>周边敏感点均</w:t>
      </w:r>
      <w:r>
        <w:rPr>
          <w:rFonts w:ascii="宋体" w:hAnsi="宋体" w:eastAsia="宋体" w:cs="宋体"/>
          <w:spacing w:val="21"/>
          <w:sz w:val="24"/>
          <w:szCs w:val="24"/>
        </w:rPr>
        <w:t>满足《声环境质量标准》</w:t>
      </w:r>
      <w:r>
        <w:rPr>
          <w:rFonts w:ascii="宋体" w:hAnsi="宋体" w:eastAsia="宋体" w:cs="宋体"/>
          <w:spacing w:val="-2"/>
          <w:sz w:val="24"/>
          <w:szCs w:val="24"/>
        </w:rPr>
        <w:t>（</w:t>
      </w:r>
      <w:r>
        <w:rPr>
          <w:rFonts w:ascii="Times New Roman" w:hAnsi="Times New Roman" w:eastAsia="Times New Roman" w:cs="Times New Roman"/>
          <w:spacing w:val="-2"/>
          <w:sz w:val="24"/>
          <w:szCs w:val="24"/>
        </w:rPr>
        <w:t>GB3096-2008</w:t>
      </w:r>
      <w:r>
        <w:rPr>
          <w:rFonts w:ascii="宋体" w:hAnsi="宋体" w:eastAsia="宋体" w:cs="宋体"/>
          <w:spacing w:val="-2"/>
          <w:sz w:val="24"/>
          <w:szCs w:val="24"/>
        </w:rPr>
        <w:t>）中的</w:t>
      </w:r>
      <w:r>
        <w:rPr>
          <w:rFonts w:hint="eastAsia" w:eastAsia="宋体" w:cs="Times New Roman"/>
          <w:spacing w:val="-2"/>
          <w:sz w:val="24"/>
          <w:szCs w:val="24"/>
          <w:lang w:val="en-US" w:eastAsia="zh-CN"/>
        </w:rPr>
        <w:t>2</w:t>
      </w:r>
      <w:r>
        <w:rPr>
          <w:rFonts w:ascii="宋体" w:hAnsi="宋体" w:eastAsia="宋体" w:cs="宋体"/>
          <w:spacing w:val="-2"/>
          <w:sz w:val="24"/>
          <w:szCs w:val="24"/>
        </w:rPr>
        <w:t>类标准。</w:t>
      </w:r>
    </w:p>
    <w:p w14:paraId="478DF527">
      <w:pPr>
        <w:keepNext w:val="0"/>
        <w:keepLines w:val="0"/>
        <w:pageBreakBefore w:val="0"/>
        <w:kinsoku/>
        <w:wordWrap/>
        <w:overflowPunct/>
        <w:autoSpaceDE/>
        <w:autoSpaceDN/>
        <w:bidi w:val="0"/>
        <w:adjustRightInd/>
        <w:snapToGrid/>
        <w:spacing w:line="360" w:lineRule="auto"/>
        <w:ind w:left="0" w:right="0" w:firstLine="464" w:firstLineChars="200"/>
        <w:textAlignment w:val="auto"/>
        <w:rPr>
          <w:rFonts w:ascii="宋体" w:hAnsi="宋体" w:eastAsia="宋体" w:cs="宋体"/>
          <w:sz w:val="24"/>
          <w:szCs w:val="24"/>
        </w:rPr>
      </w:pPr>
      <w:r>
        <w:rPr>
          <w:rFonts w:ascii="Times New Roman" w:hAnsi="Times New Roman" w:eastAsia="Times New Roman" w:cs="Times New Roman"/>
          <w:spacing w:val="-4"/>
          <w:sz w:val="24"/>
          <w:szCs w:val="24"/>
        </w:rPr>
        <w:t>5</w:t>
      </w:r>
      <w:r>
        <w:rPr>
          <w:rFonts w:ascii="宋体" w:hAnsi="宋体" w:eastAsia="宋体" w:cs="宋体"/>
          <w:spacing w:val="-4"/>
          <w:sz w:val="24"/>
          <w:szCs w:val="24"/>
        </w:rPr>
        <w:t>、土壤环境质量现状</w:t>
      </w:r>
    </w:p>
    <w:p w14:paraId="0C42092D">
      <w:pPr>
        <w:keepNext w:val="0"/>
        <w:keepLines w:val="0"/>
        <w:pageBreakBefore w:val="0"/>
        <w:kinsoku/>
        <w:wordWrap/>
        <w:overflowPunct/>
        <w:autoSpaceDE/>
        <w:autoSpaceDN/>
        <w:bidi w:val="0"/>
        <w:adjustRightInd/>
        <w:snapToGrid/>
        <w:spacing w:line="360" w:lineRule="auto"/>
        <w:ind w:left="0" w:right="0" w:firstLine="468" w:firstLineChars="200"/>
        <w:textAlignment w:val="auto"/>
        <w:rPr>
          <w:rFonts w:hint="default"/>
        </w:rPr>
      </w:pPr>
      <w:r>
        <w:rPr>
          <w:rFonts w:ascii="宋体" w:hAnsi="宋体" w:eastAsia="宋体" w:cs="宋体"/>
          <w:spacing w:val="-3"/>
          <w:sz w:val="24"/>
          <w:szCs w:val="24"/>
        </w:rPr>
        <w:t>根据现状监测，土壤采样点位</w:t>
      </w:r>
      <w:r>
        <w:rPr>
          <w:rFonts w:ascii="Times New Roman" w:hAnsi="Times New Roman" w:eastAsia="Times New Roman" w:cs="Times New Roman"/>
          <w:spacing w:val="-3"/>
          <w:sz w:val="24"/>
          <w:szCs w:val="24"/>
        </w:rPr>
        <w:t>T1~T3</w:t>
      </w:r>
      <w:r>
        <w:rPr>
          <w:rFonts w:ascii="宋体" w:hAnsi="宋体" w:eastAsia="宋体" w:cs="宋体"/>
          <w:spacing w:val="-3"/>
          <w:sz w:val="24"/>
          <w:szCs w:val="24"/>
        </w:rPr>
        <w:t>各项监测因</w:t>
      </w:r>
      <w:r>
        <w:rPr>
          <w:rFonts w:ascii="宋体" w:hAnsi="宋体" w:eastAsia="宋体" w:cs="宋体"/>
          <w:spacing w:val="-4"/>
          <w:sz w:val="24"/>
          <w:szCs w:val="24"/>
        </w:rPr>
        <w:t>子均满足《土壤环境质量建设用地</w:t>
      </w:r>
      <w:r>
        <w:rPr>
          <w:rFonts w:ascii="宋体" w:hAnsi="宋体" w:eastAsia="宋体" w:cs="宋体"/>
          <w:sz w:val="24"/>
          <w:szCs w:val="24"/>
        </w:rPr>
        <w:t>土壤污染风险管控标准（试行）》（</w:t>
      </w:r>
      <w:r>
        <w:rPr>
          <w:rFonts w:ascii="Times New Roman" w:hAnsi="Times New Roman" w:eastAsia="Times New Roman" w:cs="Times New Roman"/>
          <w:sz w:val="24"/>
          <w:szCs w:val="24"/>
        </w:rPr>
        <w:t>GB36600-</w:t>
      </w:r>
      <w:r>
        <w:rPr>
          <w:rFonts w:ascii="Times New Roman" w:hAnsi="Times New Roman" w:eastAsia="Times New Roman" w:cs="Times New Roman"/>
          <w:spacing w:val="-1"/>
          <w:sz w:val="24"/>
          <w:szCs w:val="24"/>
        </w:rPr>
        <w:t>2018</w:t>
      </w:r>
      <w:r>
        <w:rPr>
          <w:rFonts w:ascii="宋体" w:hAnsi="宋体" w:eastAsia="宋体" w:cs="宋体"/>
          <w:spacing w:val="-1"/>
          <w:sz w:val="24"/>
          <w:szCs w:val="24"/>
        </w:rPr>
        <w:t>）相关限值要求。</w:t>
      </w:r>
    </w:p>
    <w:p w14:paraId="5EDCE582">
      <w:pPr>
        <w:pStyle w:val="3"/>
        <w:numPr>
          <w:ilvl w:val="0"/>
          <w:numId w:val="0"/>
        </w:numPr>
        <w:topLinePunct w:val="0"/>
        <w:spacing w:before="0" w:beforeLines="0" w:after="0" w:afterLines="0"/>
        <w:rPr>
          <w:rFonts w:hint="eastAsia" w:ascii="Times New Roman" w:hAnsi="Times New Roman" w:eastAsia="宋体" w:cs="Times New Roman"/>
          <w:color w:val="auto"/>
          <w:sz w:val="30"/>
          <w:szCs w:val="30"/>
          <w:highlight w:val="none"/>
          <w:u w:val="none" w:color="auto"/>
          <w:lang w:val="en-US"/>
        </w:rPr>
      </w:pPr>
      <w:bookmarkStart w:id="779" w:name="_TOC_250006"/>
      <w:bookmarkEnd w:id="779"/>
      <w:bookmarkStart w:id="780" w:name="_Toc23985"/>
      <w:bookmarkStart w:id="781" w:name="_Toc4536"/>
      <w:bookmarkStart w:id="782" w:name="_Toc4035"/>
      <w:bookmarkStart w:id="783" w:name="_Toc14153"/>
      <w:bookmarkStart w:id="784" w:name="_Toc12313"/>
      <w:bookmarkStart w:id="785" w:name="_Toc16681"/>
      <w:bookmarkStart w:id="786" w:name="_Toc15624"/>
      <w:bookmarkStart w:id="787" w:name="_Toc19418"/>
      <w:bookmarkStart w:id="788" w:name="_Toc8656"/>
      <w:bookmarkStart w:id="789" w:name="_Toc10973"/>
      <w:bookmarkStart w:id="790" w:name="_Toc3291"/>
      <w:bookmarkStart w:id="791" w:name="_Toc16192"/>
      <w:bookmarkStart w:id="792" w:name="_Toc2951"/>
      <w:bookmarkStart w:id="793" w:name="_Toc13484"/>
      <w:bookmarkStart w:id="794" w:name="_Toc19123"/>
      <w:r>
        <w:rPr>
          <w:rFonts w:hint="eastAsia" w:ascii="Times New Roman" w:hAnsi="Times New Roman" w:eastAsia="宋体" w:cs="Times New Roman"/>
          <w:color w:val="auto"/>
          <w:sz w:val="30"/>
          <w:szCs w:val="30"/>
          <w:highlight w:val="none"/>
          <w:u w:val="none" w:color="auto"/>
          <w:lang w:val="en-US"/>
        </w:rPr>
        <w:t>1</w:t>
      </w:r>
      <w:r>
        <w:rPr>
          <w:rFonts w:hint="eastAsia" w:ascii="Times New Roman" w:hAnsi="Times New Roman" w:eastAsia="宋体" w:cs="Times New Roman"/>
          <w:color w:val="auto"/>
          <w:sz w:val="30"/>
          <w:szCs w:val="30"/>
          <w:highlight w:val="none"/>
          <w:u w:val="none" w:color="auto"/>
          <w:lang w:val="en-US" w:eastAsia="zh-CN"/>
        </w:rPr>
        <w:t>0</w:t>
      </w:r>
      <w:r>
        <w:rPr>
          <w:rFonts w:hint="eastAsia" w:ascii="Times New Roman" w:hAnsi="Times New Roman" w:eastAsia="宋体" w:cs="Times New Roman"/>
          <w:color w:val="auto"/>
          <w:sz w:val="30"/>
          <w:szCs w:val="30"/>
          <w:highlight w:val="none"/>
          <w:u w:val="none" w:color="auto"/>
          <w:lang w:val="en-US"/>
        </w:rPr>
        <w:t>.4环境影响评价结论</w:t>
      </w:r>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2D02EB08">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795" w:name="_Toc22164"/>
      <w:bookmarkStart w:id="796" w:name="_Toc2142"/>
      <w:bookmarkStart w:id="797" w:name="_Toc27793"/>
      <w:r>
        <w:rPr>
          <w:rFonts w:hint="eastAsia" w:ascii="Times New Roman" w:hAnsi="Times New Roman" w:cs="Times New Roman"/>
          <w:color w:val="auto"/>
          <w:sz w:val="28"/>
          <w:szCs w:val="28"/>
          <w:highlight w:val="none"/>
          <w:u w:val="none" w:color="auto"/>
          <w:lang w:val="en-US" w:eastAsia="zh-CN"/>
        </w:rPr>
        <w:t>1</w:t>
      </w:r>
      <w:r>
        <w:rPr>
          <w:rFonts w:hint="eastAsia" w:cs="Times New Roman"/>
          <w:color w:val="auto"/>
          <w:sz w:val="28"/>
          <w:szCs w:val="28"/>
          <w:highlight w:val="none"/>
          <w:u w:val="none" w:color="auto"/>
          <w:lang w:val="en-US" w:eastAsia="zh-CN"/>
        </w:rPr>
        <w:t>0</w:t>
      </w:r>
      <w:r>
        <w:rPr>
          <w:rFonts w:hint="eastAsia" w:ascii="Times New Roman" w:hAnsi="Times New Roman" w:cs="Times New Roman"/>
          <w:color w:val="auto"/>
          <w:sz w:val="28"/>
          <w:szCs w:val="28"/>
          <w:highlight w:val="none"/>
          <w:u w:val="none" w:color="auto"/>
          <w:lang w:val="en-US" w:eastAsia="zh-CN"/>
        </w:rPr>
        <w:t>.4.1施工期污染源强及环保措施</w:t>
      </w:r>
      <w:bookmarkEnd w:id="795"/>
      <w:bookmarkEnd w:id="796"/>
      <w:bookmarkEnd w:id="797"/>
    </w:p>
    <w:p w14:paraId="694F0636">
      <w:pPr>
        <w:pStyle w:val="31"/>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1、大气环境</w:t>
      </w:r>
    </w:p>
    <w:p w14:paraId="3BC06EFF">
      <w:pPr>
        <w:pStyle w:val="31"/>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本项目气型污染物主要是施工期间的施工扬尘、运输车辆和施工机械设备运行产生的废气。</w:t>
      </w:r>
    </w:p>
    <w:p w14:paraId="5DCD5794">
      <w:pPr>
        <w:pStyle w:val="31"/>
        <w:keepNext w:val="0"/>
        <w:keepLines w:val="0"/>
        <w:pageBreakBefore w:val="0"/>
        <w:widowControl/>
        <w:kinsoku/>
        <w:wordWrap/>
        <w:overflowPunct/>
        <w:topLinePunct w:val="0"/>
        <w:autoSpaceDE/>
        <w:autoSpaceDN/>
        <w:bidi w:val="0"/>
        <w:adjustRightInd/>
        <w:snapToGrid/>
        <w:spacing w:line="360" w:lineRule="auto"/>
        <w:ind w:left="0" w:leftChars="0" w:right="0" w:firstLine="480" w:firstLineChars="20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施工扬尘均以无组织形式排放。通过合理安排工期、避免大风天气施工，采取洒水抑尘等湿法作业，物料运输时采取密闭工具运输，及时清理运输车辆等措施来减少扬尘的产生量。</w:t>
      </w:r>
    </w:p>
    <w:p w14:paraId="74A0CB35">
      <w:pPr>
        <w:pStyle w:val="31"/>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本项目施工过程中用到的运输及施工机械，车辆在施工场地行驶中均会产生一定扬尘，它们以柴油为燃料，会产生一定量废气。施工设备废气排放须达到国家规定的排放限值要求，选用合格的燃油，加强维护保养等措施来减少废气的影响。施工车辆运输路线选择尽量避绕人口密集区、学校、医院等敏感点，对沿途环境空气的影响不大。</w:t>
      </w:r>
    </w:p>
    <w:p w14:paraId="701149E3">
      <w:pPr>
        <w:keepNext w:val="0"/>
        <w:keepLines w:val="0"/>
        <w:pageBreakBefore w:val="0"/>
        <w:widowControl w:val="0"/>
        <w:kinsoku/>
        <w:wordWrap/>
        <w:overflowPunct/>
        <w:topLinePunct w:val="0"/>
        <w:autoSpaceDE/>
        <w:autoSpaceDN/>
        <w:bidi w:val="0"/>
        <w:adjustRightInd/>
        <w:snapToGrid/>
        <w:spacing w:line="360" w:lineRule="auto"/>
        <w:ind w:left="0" w:right="0" w:firstLine="1"/>
        <w:textAlignment w:val="auto"/>
        <w:rPr>
          <w:rFonts w:ascii="宋体" w:hAnsi="宋体" w:eastAsia="宋体" w:cs="宋体"/>
          <w:sz w:val="24"/>
          <w:szCs w:val="24"/>
        </w:rPr>
      </w:pPr>
      <w:r>
        <w:rPr>
          <w:rFonts w:hint="eastAsia" w:cs="Times New Roman"/>
          <w:color w:val="auto"/>
          <w:sz w:val="24"/>
          <w:szCs w:val="24"/>
          <w:u w:val="none" w:color="auto"/>
          <w:lang w:val="en-US" w:eastAsia="zh-CN"/>
        </w:rPr>
        <w:t>2、水环境</w:t>
      </w:r>
      <w:r>
        <w:rPr>
          <w:rFonts w:ascii="宋体" w:hAnsi="宋体" w:eastAsia="宋体" w:cs="宋体"/>
          <w:spacing w:val="-1"/>
          <w:sz w:val="24"/>
          <w:szCs w:val="24"/>
        </w:rPr>
        <w:t>本工程废水主要</w:t>
      </w:r>
      <w:r>
        <w:rPr>
          <w:rFonts w:hint="eastAsia" w:ascii="宋体" w:hAnsi="宋体" w:cs="宋体"/>
          <w:spacing w:val="-1"/>
          <w:sz w:val="24"/>
          <w:szCs w:val="24"/>
          <w:lang w:eastAsia="zh-CN"/>
        </w:rPr>
        <w:t>来自</w:t>
      </w:r>
      <w:r>
        <w:rPr>
          <w:rFonts w:ascii="宋体" w:hAnsi="宋体" w:eastAsia="宋体" w:cs="宋体"/>
          <w:spacing w:val="-1"/>
          <w:sz w:val="24"/>
          <w:szCs w:val="24"/>
        </w:rPr>
        <w:t>施工期间产生的施工废</w:t>
      </w:r>
      <w:r>
        <w:rPr>
          <w:rFonts w:ascii="宋体" w:hAnsi="宋体" w:eastAsia="宋体" w:cs="宋体"/>
          <w:spacing w:val="-2"/>
          <w:sz w:val="24"/>
          <w:szCs w:val="24"/>
        </w:rPr>
        <w:t>水、施工人员的生活污水和渗滤液。</w:t>
      </w:r>
      <w:r>
        <w:rPr>
          <w:rFonts w:ascii="宋体" w:hAnsi="宋体" w:eastAsia="宋体" w:cs="宋体"/>
          <w:spacing w:val="-1"/>
          <w:sz w:val="24"/>
          <w:szCs w:val="24"/>
        </w:rPr>
        <w:t>施工期生活污水经化粪池处理后用于周边农田林地施肥。</w:t>
      </w:r>
    </w:p>
    <w:p w14:paraId="00F622CB">
      <w:pPr>
        <w:keepNext w:val="0"/>
        <w:keepLines w:val="0"/>
        <w:pageBreakBefore w:val="0"/>
        <w:widowControl/>
        <w:kinsoku/>
        <w:wordWrap/>
        <w:overflowPunct/>
        <w:autoSpaceDE/>
        <w:autoSpaceDN/>
        <w:bidi w:val="0"/>
        <w:adjustRightInd/>
        <w:snapToGrid/>
        <w:spacing w:line="360" w:lineRule="auto"/>
        <w:ind w:left="0" w:right="0" w:firstLine="476"/>
        <w:textAlignment w:val="auto"/>
        <w:rPr>
          <w:rFonts w:ascii="宋体" w:hAnsi="宋体" w:eastAsia="宋体" w:cs="宋体"/>
          <w:sz w:val="24"/>
          <w:szCs w:val="24"/>
        </w:rPr>
      </w:pPr>
      <w:r>
        <w:rPr>
          <w:rFonts w:ascii="宋体" w:hAnsi="宋体" w:eastAsia="宋体" w:cs="宋体"/>
          <w:spacing w:val="-2"/>
          <w:sz w:val="24"/>
          <w:szCs w:val="24"/>
        </w:rPr>
        <w:t>施工车辆冲洗在固定的洗车平台进行清洗。在项目地进出口设置洗车平台，洗车废</w:t>
      </w:r>
      <w:r>
        <w:rPr>
          <w:rFonts w:ascii="宋体" w:hAnsi="宋体" w:eastAsia="宋体" w:cs="宋体"/>
          <w:spacing w:val="-1"/>
          <w:sz w:val="24"/>
          <w:szCs w:val="24"/>
        </w:rPr>
        <w:t>水经沉淀池处理后用于洒水降尘，不外排。</w:t>
      </w:r>
    </w:p>
    <w:p w14:paraId="3A4A86F2">
      <w:pPr>
        <w:keepNext w:val="0"/>
        <w:keepLines w:val="0"/>
        <w:pageBreakBefore w:val="0"/>
        <w:widowControl/>
        <w:kinsoku/>
        <w:wordWrap/>
        <w:overflowPunct/>
        <w:autoSpaceDE/>
        <w:autoSpaceDN/>
        <w:bidi w:val="0"/>
        <w:adjustRightInd/>
        <w:snapToGrid/>
        <w:spacing w:line="360" w:lineRule="auto"/>
        <w:ind w:left="0" w:right="0" w:firstLine="490"/>
        <w:jc w:val="both"/>
        <w:textAlignment w:val="auto"/>
        <w:rPr>
          <w:rFonts w:ascii="宋体" w:hAnsi="宋体" w:eastAsia="宋体" w:cs="宋体"/>
          <w:sz w:val="24"/>
          <w:szCs w:val="24"/>
        </w:rPr>
      </w:pPr>
      <w:r>
        <w:rPr>
          <w:rFonts w:ascii="宋体" w:hAnsi="宋体" w:eastAsia="宋体" w:cs="宋体"/>
          <w:spacing w:val="-2"/>
          <w:sz w:val="24"/>
          <w:szCs w:val="24"/>
        </w:rPr>
        <w:t>雨季清挖过程中产生的淋溶水及填埋场产生的渗滤液采用一体化设备处理达到《污水综合排放标准》（</w:t>
      </w:r>
      <w:r>
        <w:rPr>
          <w:rFonts w:ascii="Times New Roman" w:hAnsi="Times New Roman" w:eastAsia="Times New Roman" w:cs="Times New Roman"/>
          <w:spacing w:val="-2"/>
          <w:sz w:val="24"/>
          <w:szCs w:val="24"/>
        </w:rPr>
        <w:t>GB8978-1996</w:t>
      </w:r>
      <w:r>
        <w:rPr>
          <w:rFonts w:ascii="宋体" w:hAnsi="宋体" w:eastAsia="宋体" w:cs="宋体"/>
          <w:spacing w:val="-2"/>
          <w:sz w:val="24"/>
          <w:szCs w:val="24"/>
        </w:rPr>
        <w:t>）中表</w:t>
      </w:r>
      <w:r>
        <w:rPr>
          <w:rFonts w:ascii="Times New Roman" w:hAnsi="Times New Roman" w:eastAsia="Times New Roman" w:cs="Times New Roman"/>
          <w:spacing w:val="-2"/>
          <w:sz w:val="24"/>
          <w:szCs w:val="24"/>
        </w:rPr>
        <w:t>1</w:t>
      </w:r>
      <w:r>
        <w:rPr>
          <w:rFonts w:ascii="宋体" w:hAnsi="宋体" w:eastAsia="宋体" w:cs="宋体"/>
          <w:spacing w:val="-2"/>
          <w:sz w:val="24"/>
          <w:szCs w:val="24"/>
        </w:rPr>
        <w:t>第一类污染物最高允许排放浓度及表</w:t>
      </w:r>
      <w:r>
        <w:rPr>
          <w:rFonts w:ascii="Times New Roman" w:hAnsi="Times New Roman" w:eastAsia="Times New Roman" w:cs="Times New Roman"/>
          <w:spacing w:val="-2"/>
          <w:sz w:val="24"/>
          <w:szCs w:val="24"/>
        </w:rPr>
        <w:t>4</w:t>
      </w:r>
      <w:r>
        <w:rPr>
          <w:rFonts w:ascii="宋体" w:hAnsi="宋体" w:eastAsia="宋体" w:cs="宋体"/>
          <w:spacing w:val="-2"/>
          <w:sz w:val="24"/>
          <w:szCs w:val="24"/>
        </w:rPr>
        <w:t>第二类污染物最高允许排放浓度一级标准后采用防腐、防漏的罐车收集运输至湖南黄金天岳</w:t>
      </w:r>
      <w:r>
        <w:rPr>
          <w:rFonts w:ascii="宋体" w:hAnsi="宋体" w:eastAsia="宋体" w:cs="宋体"/>
          <w:spacing w:val="-1"/>
          <w:sz w:val="24"/>
          <w:szCs w:val="24"/>
        </w:rPr>
        <w:t>矿业有限公司垂拱洞尾矿库废水处理站处置。</w:t>
      </w:r>
    </w:p>
    <w:p w14:paraId="334F53C8">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1"/>
          <w:sz w:val="24"/>
          <w:szCs w:val="24"/>
        </w:rPr>
        <w:t>综上，项目施工废水对地下水及地表水环境影响较小。</w:t>
      </w:r>
    </w:p>
    <w:p w14:paraId="05E1A89E">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8"/>
          <w:sz w:val="24"/>
          <w:szCs w:val="24"/>
        </w:rPr>
        <w:t>3</w:t>
      </w:r>
      <w:r>
        <w:rPr>
          <w:rFonts w:ascii="宋体" w:hAnsi="宋体" w:eastAsia="宋体" w:cs="宋体"/>
          <w:spacing w:val="-8"/>
          <w:sz w:val="24"/>
          <w:szCs w:val="24"/>
        </w:rPr>
        <w:t>、声环境</w:t>
      </w:r>
    </w:p>
    <w:p w14:paraId="100B9068">
      <w:pPr>
        <w:keepNext w:val="0"/>
        <w:keepLines w:val="0"/>
        <w:pageBreakBefore w:val="0"/>
        <w:widowControl/>
        <w:kinsoku/>
        <w:wordWrap/>
        <w:overflowPunct/>
        <w:autoSpaceDE/>
        <w:autoSpaceDN/>
        <w:bidi w:val="0"/>
        <w:adjustRightInd/>
        <w:snapToGrid/>
        <w:spacing w:line="360" w:lineRule="auto"/>
        <w:ind w:left="0" w:right="0" w:firstLine="481"/>
        <w:textAlignment w:val="auto"/>
        <w:rPr>
          <w:rFonts w:ascii="宋体" w:hAnsi="宋体" w:eastAsia="宋体" w:cs="宋体"/>
          <w:sz w:val="24"/>
          <w:szCs w:val="24"/>
        </w:rPr>
      </w:pPr>
      <w:r>
        <w:rPr>
          <w:rFonts w:ascii="宋体" w:hAnsi="宋体" w:eastAsia="宋体" w:cs="宋体"/>
          <w:spacing w:val="-2"/>
          <w:sz w:val="24"/>
          <w:szCs w:val="24"/>
        </w:rPr>
        <w:t>本工程施工过程中使用各类施工机械设备，如挖掘机、推土机等产生的施工噪声，</w:t>
      </w:r>
      <w:r>
        <w:rPr>
          <w:rFonts w:ascii="宋体" w:hAnsi="宋体" w:eastAsia="宋体" w:cs="宋体"/>
          <w:sz w:val="24"/>
          <w:szCs w:val="24"/>
        </w:rPr>
        <w:t>噪声值一般在</w:t>
      </w:r>
      <w:r>
        <w:rPr>
          <w:rFonts w:ascii="Times New Roman" w:hAnsi="Times New Roman" w:eastAsia="Times New Roman" w:cs="Times New Roman"/>
          <w:sz w:val="24"/>
          <w:szCs w:val="24"/>
        </w:rPr>
        <w:t>78~90dB</w:t>
      </w:r>
      <w:r>
        <w:rPr>
          <w:rFonts w:ascii="宋体" w:hAnsi="宋体" w:eastAsia="宋体" w:cs="宋体"/>
          <w:sz w:val="24"/>
          <w:szCs w:val="24"/>
        </w:rPr>
        <w:t>（</w:t>
      </w:r>
      <w:r>
        <w:rPr>
          <w:rFonts w:ascii="Times New Roman" w:hAnsi="Times New Roman" w:eastAsia="Times New Roman" w:cs="Times New Roman"/>
          <w:sz w:val="24"/>
          <w:szCs w:val="24"/>
        </w:rPr>
        <w:t>A</w:t>
      </w:r>
      <w:r>
        <w:rPr>
          <w:rFonts w:ascii="宋体" w:hAnsi="宋体" w:eastAsia="宋体" w:cs="宋体"/>
          <w:sz w:val="24"/>
          <w:szCs w:val="24"/>
        </w:rPr>
        <w:t>）之间，对高噪</w:t>
      </w:r>
      <w:r>
        <w:rPr>
          <w:rFonts w:ascii="宋体" w:hAnsi="宋体" w:eastAsia="宋体" w:cs="宋体"/>
          <w:spacing w:val="-1"/>
          <w:sz w:val="24"/>
          <w:szCs w:val="24"/>
        </w:rPr>
        <w:t>声设备进行减振降噪处理，合理布局，避免</w:t>
      </w:r>
      <w:r>
        <w:rPr>
          <w:rFonts w:ascii="宋体" w:hAnsi="宋体" w:eastAsia="宋体" w:cs="宋体"/>
          <w:sz w:val="24"/>
          <w:szCs w:val="24"/>
        </w:rPr>
        <w:t>在周围居民休息期间作业等措施后，施工噪声对周围声环境</w:t>
      </w:r>
      <w:r>
        <w:rPr>
          <w:rFonts w:ascii="宋体" w:hAnsi="宋体" w:eastAsia="宋体" w:cs="宋体"/>
          <w:spacing w:val="-1"/>
          <w:sz w:val="24"/>
          <w:szCs w:val="24"/>
        </w:rPr>
        <w:t>敏感目标的影响不大。</w:t>
      </w:r>
    </w:p>
    <w:p w14:paraId="39564FEB">
      <w:pPr>
        <w:keepNext w:val="0"/>
        <w:keepLines w:val="0"/>
        <w:pageBreakBefore w:val="0"/>
        <w:widowControl/>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5"/>
          <w:sz w:val="24"/>
          <w:szCs w:val="24"/>
        </w:rPr>
        <w:t>4</w:t>
      </w:r>
      <w:r>
        <w:rPr>
          <w:rFonts w:ascii="宋体" w:hAnsi="宋体" w:eastAsia="宋体" w:cs="宋体"/>
          <w:spacing w:val="-5"/>
          <w:sz w:val="24"/>
          <w:szCs w:val="24"/>
        </w:rPr>
        <w:t>、固体废物</w:t>
      </w:r>
    </w:p>
    <w:p w14:paraId="261A6B81">
      <w:pPr>
        <w:keepNext w:val="0"/>
        <w:keepLines w:val="0"/>
        <w:pageBreakBefore w:val="0"/>
        <w:widowControl/>
        <w:kinsoku/>
        <w:wordWrap/>
        <w:overflowPunct/>
        <w:autoSpaceDE/>
        <w:autoSpaceDN/>
        <w:bidi w:val="0"/>
        <w:adjustRightInd/>
        <w:snapToGrid/>
        <w:spacing w:line="360" w:lineRule="auto"/>
        <w:ind w:left="0" w:right="0" w:firstLine="476"/>
        <w:textAlignment w:val="auto"/>
        <w:rPr>
          <w:rFonts w:ascii="宋体" w:hAnsi="宋体" w:eastAsia="宋体" w:cs="宋体"/>
          <w:sz w:val="24"/>
          <w:szCs w:val="24"/>
        </w:rPr>
      </w:pPr>
      <w:r>
        <w:rPr>
          <w:rFonts w:ascii="宋体" w:hAnsi="宋体" w:eastAsia="宋体" w:cs="宋体"/>
          <w:spacing w:val="-2"/>
          <w:sz w:val="24"/>
          <w:szCs w:val="24"/>
        </w:rPr>
        <w:t>施工期固废主要为废渣区废渣、生活垃圾、废防渗材料、废包装袋、建筑垃圾、污水处理污泥</w:t>
      </w:r>
      <w:r>
        <w:rPr>
          <w:rFonts w:hint="eastAsia" w:ascii="宋体" w:hAnsi="宋体" w:cs="宋体"/>
          <w:spacing w:val="-2"/>
          <w:sz w:val="24"/>
          <w:szCs w:val="24"/>
          <w:lang w:eastAsia="zh-CN"/>
        </w:rPr>
        <w:t>、填埋区表土</w:t>
      </w:r>
      <w:r>
        <w:rPr>
          <w:rFonts w:ascii="宋体" w:hAnsi="宋体" w:eastAsia="宋体" w:cs="宋体"/>
          <w:spacing w:val="-2"/>
          <w:sz w:val="24"/>
          <w:szCs w:val="24"/>
        </w:rPr>
        <w:t>等。</w:t>
      </w:r>
    </w:p>
    <w:p w14:paraId="10AA43F2">
      <w:pPr>
        <w:keepNext w:val="0"/>
        <w:keepLines w:val="0"/>
        <w:pageBreakBefore w:val="0"/>
        <w:widowControl/>
        <w:kinsoku/>
        <w:wordWrap/>
        <w:overflowPunct/>
        <w:autoSpaceDE/>
        <w:autoSpaceDN/>
        <w:bidi w:val="0"/>
        <w:adjustRightInd/>
        <w:snapToGrid/>
        <w:spacing w:line="360" w:lineRule="auto"/>
        <w:ind w:left="0" w:right="0" w:firstLine="476"/>
        <w:jc w:val="both"/>
        <w:textAlignment w:val="auto"/>
        <w:rPr>
          <w:rFonts w:ascii="宋体" w:hAnsi="宋体" w:eastAsia="宋体" w:cs="宋体"/>
          <w:sz w:val="24"/>
          <w:szCs w:val="24"/>
        </w:rPr>
      </w:pPr>
      <w:r>
        <w:rPr>
          <w:rFonts w:ascii="宋体" w:hAnsi="宋体" w:eastAsia="宋体" w:cs="宋体"/>
          <w:spacing w:val="-2"/>
          <w:sz w:val="24"/>
          <w:szCs w:val="24"/>
        </w:rPr>
        <w:t>遗留废渣清运至本项目填埋场安全填埋；污水处理污泥作为危废委托有资质单位进</w:t>
      </w:r>
      <w:r>
        <w:rPr>
          <w:rFonts w:ascii="宋体" w:hAnsi="宋体" w:eastAsia="宋体" w:cs="宋体"/>
          <w:spacing w:val="-6"/>
          <w:sz w:val="24"/>
          <w:szCs w:val="24"/>
        </w:rPr>
        <w:t>行处理，定期清运，不在填埋场内暂存；施工人员的生活垃圾、废包装袋、废防渗材料、</w:t>
      </w:r>
      <w:r>
        <w:rPr>
          <w:rFonts w:ascii="宋体" w:hAnsi="宋体" w:eastAsia="宋体" w:cs="宋体"/>
          <w:spacing w:val="-1"/>
          <w:sz w:val="24"/>
          <w:szCs w:val="24"/>
        </w:rPr>
        <w:t>建筑垃圾委托当地环卫部门予以清运处理。</w:t>
      </w:r>
    </w:p>
    <w:p w14:paraId="6B4ACFCC">
      <w:pPr>
        <w:keepNext w:val="0"/>
        <w:keepLines w:val="0"/>
        <w:pageBreakBefore w:val="0"/>
        <w:widowControl/>
        <w:kinsoku/>
        <w:wordWrap/>
        <w:overflowPunct/>
        <w:autoSpaceDE/>
        <w:autoSpaceDN/>
        <w:bidi w:val="0"/>
        <w:adjustRightInd/>
        <w:snapToGrid/>
        <w:spacing w:line="360" w:lineRule="auto"/>
        <w:ind w:left="0" w:right="0"/>
        <w:textAlignment w:val="auto"/>
        <w:rPr>
          <w:rFonts w:hint="eastAsia" w:ascii="宋体" w:hAnsi="宋体" w:eastAsia="宋体" w:cs="宋体"/>
          <w:sz w:val="24"/>
          <w:szCs w:val="24"/>
          <w:lang w:val="en-US" w:eastAsia="zh-CN"/>
        </w:rPr>
      </w:pPr>
      <w:r>
        <w:rPr>
          <w:rFonts w:ascii="Times New Roman" w:hAnsi="Times New Roman" w:eastAsia="Times New Roman" w:cs="Times New Roman"/>
          <w:spacing w:val="-7"/>
          <w:sz w:val="24"/>
          <w:szCs w:val="24"/>
        </w:rPr>
        <w:t>5</w:t>
      </w:r>
      <w:r>
        <w:rPr>
          <w:rFonts w:ascii="宋体" w:hAnsi="宋体" w:eastAsia="宋体" w:cs="宋体"/>
          <w:spacing w:val="-7"/>
          <w:sz w:val="24"/>
          <w:szCs w:val="24"/>
        </w:rPr>
        <w:t>、生态环境</w:t>
      </w:r>
    </w:p>
    <w:p w14:paraId="7D815C6D">
      <w:pPr>
        <w:pStyle w:val="31"/>
        <w:keepNext w:val="0"/>
        <w:keepLines w:val="0"/>
        <w:pageBreakBefore w:val="0"/>
        <w:widowControl/>
        <w:kinsoku/>
        <w:wordWrap/>
        <w:overflowPunct/>
        <w:topLinePunct w:val="0"/>
        <w:autoSpaceDE/>
        <w:autoSpaceDN/>
        <w:bidi w:val="0"/>
        <w:adjustRightInd/>
        <w:snapToGrid/>
        <w:spacing w:line="360" w:lineRule="auto"/>
        <w:ind w:left="0" w:leftChars="0" w:right="0" w:firstLine="472" w:firstLineChars="200"/>
        <w:textAlignment w:val="auto"/>
        <w:rPr>
          <w:rFonts w:hint="default" w:ascii="Times New Roman" w:hAnsi="Times New Roman" w:cs="Times New Roman"/>
          <w:color w:val="auto"/>
          <w:sz w:val="24"/>
          <w:highlight w:val="none"/>
          <w:u w:val="none" w:color="auto"/>
        </w:rPr>
      </w:pPr>
      <w:r>
        <w:rPr>
          <w:rFonts w:hint="eastAsia" w:ascii="宋体" w:hAnsi="宋体" w:cs="宋体"/>
          <w:spacing w:val="-2"/>
          <w:sz w:val="24"/>
          <w:szCs w:val="24"/>
          <w:lang w:val="en-US" w:eastAsia="zh-CN"/>
        </w:rPr>
        <w:t>本项目</w:t>
      </w:r>
      <w:r>
        <w:rPr>
          <w:rFonts w:ascii="宋体" w:hAnsi="宋体" w:eastAsia="宋体" w:cs="宋体"/>
          <w:spacing w:val="-2"/>
          <w:sz w:val="24"/>
          <w:szCs w:val="24"/>
        </w:rPr>
        <w:t>建设期间会对工程区域内的植被、陆生动物和土壤造成破坏，会造成生态系统破坏、水土流失等环境影响。但</w:t>
      </w:r>
      <w:r>
        <w:rPr>
          <w:rFonts w:hint="eastAsia" w:ascii="宋体" w:hAnsi="宋体" w:cs="宋体"/>
          <w:spacing w:val="-2"/>
          <w:sz w:val="24"/>
          <w:szCs w:val="24"/>
          <w:lang w:val="en-US" w:eastAsia="zh-CN"/>
        </w:rPr>
        <w:t>项目</w:t>
      </w:r>
      <w:r>
        <w:rPr>
          <w:rFonts w:ascii="宋体" w:hAnsi="宋体" w:eastAsia="宋体" w:cs="宋体"/>
          <w:spacing w:val="-2"/>
          <w:sz w:val="24"/>
          <w:szCs w:val="24"/>
        </w:rPr>
        <w:t>对生态系统的这种影响的范围是局部的，随着离施工区距离的增加，这种影响将逐渐降低。</w:t>
      </w:r>
      <w:r>
        <w:rPr>
          <w:rFonts w:hint="eastAsia" w:ascii="宋体" w:hAnsi="宋体" w:cs="宋体"/>
          <w:spacing w:val="-2"/>
          <w:sz w:val="24"/>
          <w:szCs w:val="24"/>
          <w:lang w:val="en-US" w:eastAsia="zh-CN"/>
        </w:rPr>
        <w:t>施工</w:t>
      </w:r>
      <w:r>
        <w:rPr>
          <w:rFonts w:ascii="宋体" w:hAnsi="宋体" w:eastAsia="宋体" w:cs="宋体"/>
          <w:spacing w:val="-2"/>
          <w:sz w:val="24"/>
          <w:szCs w:val="24"/>
        </w:rPr>
        <w:t>期造成的影响是暂时性的，在污染区覆土</w:t>
      </w:r>
      <w:r>
        <w:rPr>
          <w:rFonts w:ascii="宋体" w:hAnsi="宋体" w:eastAsia="宋体" w:cs="宋体"/>
          <w:spacing w:val="-6"/>
          <w:sz w:val="24"/>
          <w:szCs w:val="24"/>
        </w:rPr>
        <w:t>绿化后，随着植被逐渐恢复，植被覆盖率将明显增加，区域生态系统更加</w:t>
      </w:r>
      <w:r>
        <w:rPr>
          <w:rFonts w:hint="eastAsia" w:ascii="宋体" w:hAnsi="宋体" w:cs="宋体"/>
          <w:spacing w:val="-6"/>
          <w:sz w:val="24"/>
          <w:szCs w:val="24"/>
          <w:lang w:eastAsia="zh-CN"/>
        </w:rPr>
        <w:t>多样</w:t>
      </w:r>
      <w:r>
        <w:rPr>
          <w:rFonts w:ascii="宋体" w:hAnsi="宋体" w:eastAsia="宋体" w:cs="宋体"/>
          <w:spacing w:val="-6"/>
          <w:sz w:val="24"/>
          <w:szCs w:val="24"/>
        </w:rPr>
        <w:t>和稳定。</w:t>
      </w:r>
    </w:p>
    <w:p w14:paraId="6C5579DB">
      <w:pPr>
        <w:pStyle w:val="4"/>
        <w:keepNext w:val="0"/>
        <w:keepLines w:val="0"/>
        <w:numPr>
          <w:ilvl w:val="2"/>
          <w:numId w:val="0"/>
        </w:numPr>
        <w:topLinePunct w:val="0"/>
        <w:spacing w:before="0" w:beforeLines="0" w:after="0" w:afterLines="0" w:line="240" w:lineRule="auto"/>
        <w:rPr>
          <w:rFonts w:hint="default" w:ascii="Times New Roman" w:hAnsi="Times New Roman" w:cs="Times New Roman"/>
          <w:color w:val="auto"/>
          <w:sz w:val="28"/>
          <w:szCs w:val="28"/>
          <w:highlight w:val="none"/>
          <w:u w:val="none" w:color="auto"/>
        </w:rPr>
      </w:pPr>
      <w:bookmarkStart w:id="798" w:name="_Toc15265"/>
      <w:bookmarkStart w:id="799" w:name="_Toc14903"/>
      <w:bookmarkStart w:id="800" w:name="_Toc21394"/>
      <w:r>
        <w:rPr>
          <w:rFonts w:hint="eastAsia" w:ascii="Times New Roman" w:hAnsi="Times New Roman" w:cs="Times New Roman"/>
          <w:color w:val="auto"/>
          <w:sz w:val="28"/>
          <w:szCs w:val="28"/>
          <w:highlight w:val="none"/>
          <w:u w:val="none" w:color="auto"/>
          <w:lang w:val="en-US" w:eastAsia="zh-CN"/>
        </w:rPr>
        <w:t>1</w:t>
      </w:r>
      <w:r>
        <w:rPr>
          <w:rFonts w:hint="eastAsia" w:cs="Times New Roman"/>
          <w:color w:val="auto"/>
          <w:sz w:val="28"/>
          <w:szCs w:val="28"/>
          <w:highlight w:val="none"/>
          <w:u w:val="none" w:color="auto"/>
          <w:lang w:val="en-US" w:eastAsia="zh-CN"/>
        </w:rPr>
        <w:t>0</w:t>
      </w:r>
      <w:r>
        <w:rPr>
          <w:rFonts w:hint="eastAsia" w:ascii="Times New Roman" w:hAnsi="Times New Roman" w:cs="Times New Roman"/>
          <w:color w:val="auto"/>
          <w:sz w:val="28"/>
          <w:szCs w:val="28"/>
          <w:highlight w:val="none"/>
          <w:u w:val="none" w:color="auto"/>
          <w:lang w:val="en-US" w:eastAsia="zh-CN"/>
        </w:rPr>
        <w:t>.4.2营运期环境影响预测评价结论</w:t>
      </w:r>
      <w:bookmarkEnd w:id="798"/>
      <w:bookmarkEnd w:id="799"/>
      <w:bookmarkEnd w:id="800"/>
      <w:r>
        <w:rPr>
          <w:rFonts w:hint="eastAsia" w:ascii="Times New Roman" w:hAnsi="Times New Roman" w:cs="Times New Roman"/>
          <w:color w:val="auto"/>
          <w:sz w:val="28"/>
          <w:szCs w:val="28"/>
          <w:highlight w:val="none"/>
          <w:u w:val="none" w:color="auto"/>
          <w:lang w:val="en-US" w:eastAsia="zh-CN"/>
        </w:rPr>
        <w:t xml:space="preserve"> </w:t>
      </w:r>
    </w:p>
    <w:p w14:paraId="45EFD0E8">
      <w:pPr>
        <w:keepNext w:val="0"/>
        <w:keepLines w:val="0"/>
        <w:pageBreakBefore w:val="0"/>
        <w:widowControl w:val="0"/>
        <w:kinsoku/>
        <w:wordWrap/>
        <w:overflowPunct/>
        <w:topLinePunct w:val="0"/>
        <w:autoSpaceDE/>
        <w:autoSpaceDN/>
        <w:bidi w:val="0"/>
        <w:adjustRightInd/>
        <w:snapToGrid/>
        <w:spacing w:line="360" w:lineRule="auto"/>
        <w:ind w:left="0" w:right="0"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1、大气环境</w:t>
      </w:r>
      <w:r>
        <w:rPr>
          <w:rFonts w:hint="eastAsia" w:cs="Times New Roman"/>
          <w:color w:val="auto"/>
          <w:sz w:val="24"/>
          <w:szCs w:val="24"/>
          <w:highlight w:val="none"/>
          <w:u w:val="none" w:color="auto"/>
          <w:lang w:eastAsia="zh-CN"/>
        </w:rPr>
        <w:t>影响</w:t>
      </w:r>
    </w:p>
    <w:p w14:paraId="6E0C1696">
      <w:pPr>
        <w:keepNext w:val="0"/>
        <w:keepLines w:val="0"/>
        <w:pageBreakBefore w:val="0"/>
        <w:widowControl w:val="0"/>
        <w:kinsoku/>
        <w:wordWrap/>
        <w:overflowPunct/>
        <w:topLinePunct w:val="0"/>
        <w:autoSpaceDE/>
        <w:autoSpaceDN/>
        <w:bidi w:val="0"/>
        <w:adjustRightInd/>
        <w:snapToGrid/>
        <w:spacing w:line="360" w:lineRule="auto"/>
        <w:ind w:left="0" w:right="0" w:firstLine="48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spacing w:val="-4"/>
          <w:sz w:val="24"/>
          <w:szCs w:val="24"/>
        </w:rPr>
        <w:t>项目填埋固废主要为金矿开采遗留废渣，属于一般Ⅰ类和Ⅱ类固体废</w:t>
      </w:r>
      <w:r>
        <w:rPr>
          <w:rFonts w:hint="default" w:ascii="Times New Roman" w:hAnsi="Times New Roman" w:eastAsia="宋体" w:cs="Times New Roman"/>
          <w:spacing w:val="-5"/>
          <w:sz w:val="24"/>
          <w:szCs w:val="24"/>
        </w:rPr>
        <w:t>物，填埋封场</w:t>
      </w:r>
      <w:r>
        <w:rPr>
          <w:rFonts w:hint="default" w:ascii="Times New Roman" w:hAnsi="Times New Roman" w:eastAsia="宋体" w:cs="Times New Roman"/>
          <w:spacing w:val="-2"/>
          <w:sz w:val="24"/>
          <w:szCs w:val="24"/>
        </w:rPr>
        <w:t>后不会产生废气。</w:t>
      </w:r>
    </w:p>
    <w:bookmarkEnd w:id="794"/>
    <w:p w14:paraId="55CAE8FC">
      <w:pPr>
        <w:keepNext w:val="0"/>
        <w:keepLines w:val="0"/>
        <w:pageBreakBefore w:val="0"/>
        <w:widowControl w:val="0"/>
        <w:kinsoku/>
        <w:wordWrap/>
        <w:overflowPunct/>
        <w:topLinePunct w:val="0"/>
        <w:autoSpaceDE/>
        <w:autoSpaceDN/>
        <w:bidi w:val="0"/>
        <w:adjustRightInd/>
        <w:snapToGrid/>
        <w:spacing w:line="360" w:lineRule="auto"/>
        <w:ind w:left="0" w:right="0"/>
        <w:textAlignment w:val="auto"/>
        <w:rPr>
          <w:rFonts w:ascii="宋体" w:hAnsi="宋体" w:eastAsia="宋体" w:cs="宋体"/>
          <w:sz w:val="24"/>
          <w:szCs w:val="24"/>
        </w:rPr>
      </w:pPr>
      <w:bookmarkStart w:id="801" w:name="_Toc1832"/>
      <w:r>
        <w:rPr>
          <w:rFonts w:ascii="Times New Roman" w:hAnsi="Times New Roman" w:eastAsia="Times New Roman" w:cs="Times New Roman"/>
          <w:spacing w:val="-5"/>
          <w:sz w:val="24"/>
          <w:szCs w:val="24"/>
        </w:rPr>
        <w:t>2</w:t>
      </w:r>
      <w:r>
        <w:rPr>
          <w:rFonts w:ascii="宋体" w:hAnsi="宋体" w:eastAsia="宋体" w:cs="宋体"/>
          <w:spacing w:val="-5"/>
          <w:sz w:val="24"/>
          <w:szCs w:val="24"/>
        </w:rPr>
        <w:t>、地表水环境</w:t>
      </w:r>
    </w:p>
    <w:p w14:paraId="683D9885">
      <w:pPr>
        <w:keepNext w:val="0"/>
        <w:keepLines w:val="0"/>
        <w:pageBreakBefore w:val="0"/>
        <w:kinsoku/>
        <w:wordWrap/>
        <w:overflowPunct/>
        <w:autoSpaceDE/>
        <w:autoSpaceDN/>
        <w:bidi w:val="0"/>
        <w:adjustRightInd/>
        <w:snapToGrid/>
        <w:spacing w:line="360" w:lineRule="auto"/>
        <w:ind w:left="0" w:right="0" w:firstLine="480"/>
        <w:textAlignment w:val="auto"/>
        <w:rPr>
          <w:rFonts w:ascii="宋体" w:hAnsi="宋体" w:eastAsia="宋体" w:cs="宋体"/>
          <w:sz w:val="24"/>
          <w:szCs w:val="24"/>
        </w:rPr>
      </w:pPr>
      <w:r>
        <w:rPr>
          <w:rFonts w:ascii="宋体" w:hAnsi="宋体" w:eastAsia="宋体" w:cs="宋体"/>
          <w:spacing w:val="-2"/>
          <w:sz w:val="24"/>
          <w:szCs w:val="24"/>
        </w:rPr>
        <w:t>封场后废水污染源主要为固废填埋产生的渗滤液，采用一体化设备处理达到《污水</w:t>
      </w:r>
      <w:r>
        <w:rPr>
          <w:rFonts w:ascii="宋体" w:hAnsi="宋体" w:eastAsia="宋体" w:cs="宋体"/>
          <w:spacing w:val="-1"/>
          <w:sz w:val="24"/>
          <w:szCs w:val="24"/>
        </w:rPr>
        <w:t>综合排放标准》（</w:t>
      </w:r>
      <w:r>
        <w:rPr>
          <w:rFonts w:ascii="Times New Roman" w:hAnsi="Times New Roman" w:eastAsia="Times New Roman" w:cs="Times New Roman"/>
          <w:spacing w:val="-1"/>
          <w:sz w:val="24"/>
          <w:szCs w:val="24"/>
        </w:rPr>
        <w:t>GB8978-1996</w:t>
      </w:r>
      <w:r>
        <w:rPr>
          <w:rFonts w:ascii="宋体" w:hAnsi="宋体" w:eastAsia="宋体" w:cs="宋体"/>
          <w:spacing w:val="-1"/>
          <w:sz w:val="24"/>
          <w:szCs w:val="24"/>
        </w:rPr>
        <w:t>）中表</w:t>
      </w:r>
      <w:r>
        <w:rPr>
          <w:rFonts w:ascii="Times New Roman" w:hAnsi="Times New Roman" w:eastAsia="Times New Roman" w:cs="Times New Roman"/>
          <w:spacing w:val="-1"/>
          <w:sz w:val="24"/>
          <w:szCs w:val="24"/>
        </w:rPr>
        <w:t>1</w:t>
      </w:r>
      <w:r>
        <w:rPr>
          <w:rFonts w:ascii="宋体" w:hAnsi="宋体" w:eastAsia="宋体" w:cs="宋体"/>
          <w:spacing w:val="-1"/>
          <w:sz w:val="24"/>
          <w:szCs w:val="24"/>
        </w:rPr>
        <w:t>第一类污染物最高允许排</w:t>
      </w:r>
      <w:r>
        <w:rPr>
          <w:rFonts w:ascii="宋体" w:hAnsi="宋体" w:eastAsia="宋体" w:cs="宋体"/>
          <w:spacing w:val="-2"/>
          <w:sz w:val="24"/>
          <w:szCs w:val="24"/>
        </w:rPr>
        <w:t>放浓度及表</w:t>
      </w:r>
      <w:r>
        <w:rPr>
          <w:rFonts w:ascii="Times New Roman" w:hAnsi="Times New Roman" w:eastAsia="Times New Roman" w:cs="Times New Roman"/>
          <w:spacing w:val="-2"/>
          <w:sz w:val="24"/>
          <w:szCs w:val="24"/>
        </w:rPr>
        <w:t>4</w:t>
      </w:r>
      <w:r>
        <w:rPr>
          <w:rFonts w:ascii="宋体" w:hAnsi="宋体" w:eastAsia="宋体" w:cs="宋体"/>
          <w:spacing w:val="-2"/>
          <w:sz w:val="24"/>
          <w:szCs w:val="24"/>
        </w:rPr>
        <w:t>第二类污染物最高允许排放浓度一级标准后采用防腐、防漏的罐车收集运输至湖南黄金天岳矿</w:t>
      </w:r>
      <w:r>
        <w:rPr>
          <w:rFonts w:ascii="宋体" w:hAnsi="宋体" w:eastAsia="宋体" w:cs="宋体"/>
          <w:sz w:val="24"/>
          <w:szCs w:val="24"/>
        </w:rPr>
        <w:t>业有限公司垂拱洞尾矿库废水处理站处置，对</w:t>
      </w:r>
      <w:r>
        <w:rPr>
          <w:rFonts w:ascii="宋体" w:hAnsi="宋体" w:eastAsia="宋体" w:cs="宋体"/>
          <w:spacing w:val="-1"/>
          <w:sz w:val="24"/>
          <w:szCs w:val="24"/>
        </w:rPr>
        <w:t>地表水环境影响很小。</w:t>
      </w:r>
    </w:p>
    <w:p w14:paraId="3CED3AAB">
      <w:pPr>
        <w:keepNext w:val="0"/>
        <w:keepLines w:val="0"/>
        <w:pageBreakBefore w:val="0"/>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4"/>
          <w:sz w:val="24"/>
          <w:szCs w:val="24"/>
        </w:rPr>
        <w:t>3</w:t>
      </w:r>
      <w:r>
        <w:rPr>
          <w:rFonts w:ascii="宋体" w:hAnsi="宋体" w:eastAsia="宋体" w:cs="宋体"/>
          <w:spacing w:val="-4"/>
          <w:sz w:val="24"/>
          <w:szCs w:val="24"/>
        </w:rPr>
        <w:t>、土壤及地下水环境</w:t>
      </w:r>
    </w:p>
    <w:p w14:paraId="4F345753">
      <w:pPr>
        <w:keepNext w:val="0"/>
        <w:keepLines w:val="0"/>
        <w:pageBreakBefore w:val="0"/>
        <w:kinsoku/>
        <w:wordWrap/>
        <w:overflowPunct/>
        <w:autoSpaceDE/>
        <w:autoSpaceDN/>
        <w:bidi w:val="0"/>
        <w:adjustRightInd/>
        <w:snapToGrid/>
        <w:spacing w:line="360" w:lineRule="auto"/>
        <w:ind w:left="0" w:right="0" w:firstLine="482"/>
        <w:textAlignment w:val="auto"/>
        <w:rPr>
          <w:rFonts w:ascii="宋体" w:hAnsi="宋体" w:eastAsia="宋体" w:cs="宋体"/>
          <w:sz w:val="24"/>
          <w:szCs w:val="24"/>
        </w:rPr>
      </w:pPr>
      <w:r>
        <w:rPr>
          <w:rFonts w:ascii="宋体" w:hAnsi="宋体" w:eastAsia="宋体" w:cs="宋体"/>
          <w:spacing w:val="-2"/>
          <w:sz w:val="24"/>
          <w:szCs w:val="24"/>
        </w:rPr>
        <w:t>正常情况下，废渣填埋场做好防渗措施，渗滤液不会进入地下水环境，不会对地下水环境造成影响。在防渗膜破裂等非正常情况下，渗滤液渗漏，对局部地下水和土壤造</w:t>
      </w:r>
      <w:r>
        <w:rPr>
          <w:rFonts w:ascii="宋体" w:hAnsi="宋体" w:eastAsia="宋体" w:cs="宋体"/>
          <w:sz w:val="24"/>
          <w:szCs w:val="24"/>
        </w:rPr>
        <w:t>成影响，但只要做好防渗、监测等措施，渗滤液对</w:t>
      </w:r>
      <w:r>
        <w:rPr>
          <w:rFonts w:ascii="宋体" w:hAnsi="宋体" w:eastAsia="宋体" w:cs="宋体"/>
          <w:spacing w:val="-1"/>
          <w:sz w:val="24"/>
          <w:szCs w:val="24"/>
        </w:rPr>
        <w:t>地下水及土壤环境影响较小。</w:t>
      </w:r>
    </w:p>
    <w:p w14:paraId="0CE4D9B3">
      <w:pPr>
        <w:keepNext w:val="0"/>
        <w:keepLines w:val="0"/>
        <w:pageBreakBefore w:val="0"/>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6"/>
          <w:sz w:val="24"/>
          <w:szCs w:val="24"/>
        </w:rPr>
        <w:t>4</w:t>
      </w:r>
      <w:r>
        <w:rPr>
          <w:rFonts w:ascii="宋体" w:hAnsi="宋体" w:eastAsia="宋体" w:cs="宋体"/>
          <w:spacing w:val="-6"/>
          <w:sz w:val="24"/>
          <w:szCs w:val="24"/>
        </w:rPr>
        <w:t>、声环境</w:t>
      </w:r>
    </w:p>
    <w:p w14:paraId="17F7E2C9">
      <w:pPr>
        <w:keepNext w:val="0"/>
        <w:keepLines w:val="0"/>
        <w:pageBreakBefore w:val="0"/>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宋体" w:hAnsi="宋体" w:eastAsia="宋体" w:cs="宋体"/>
          <w:spacing w:val="-2"/>
          <w:sz w:val="24"/>
          <w:szCs w:val="24"/>
        </w:rPr>
        <w:t>填埋场封场后无噪声源。</w:t>
      </w:r>
    </w:p>
    <w:p w14:paraId="048D6A32">
      <w:pPr>
        <w:keepNext w:val="0"/>
        <w:keepLines w:val="0"/>
        <w:pageBreakBefore w:val="0"/>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7"/>
          <w:sz w:val="24"/>
          <w:szCs w:val="24"/>
        </w:rPr>
        <w:t>5</w:t>
      </w:r>
      <w:r>
        <w:rPr>
          <w:rFonts w:ascii="宋体" w:hAnsi="宋体" w:eastAsia="宋体" w:cs="宋体"/>
          <w:spacing w:val="-7"/>
          <w:sz w:val="24"/>
          <w:szCs w:val="24"/>
        </w:rPr>
        <w:t>、固体废物</w:t>
      </w:r>
    </w:p>
    <w:p w14:paraId="7F9C5E2B">
      <w:pPr>
        <w:keepNext w:val="0"/>
        <w:keepLines w:val="0"/>
        <w:pageBreakBefore w:val="0"/>
        <w:kinsoku/>
        <w:wordWrap/>
        <w:overflowPunct/>
        <w:autoSpaceDE/>
        <w:autoSpaceDN/>
        <w:bidi w:val="0"/>
        <w:adjustRightInd/>
        <w:snapToGrid/>
        <w:spacing w:line="360" w:lineRule="auto"/>
        <w:ind w:left="0" w:right="0" w:firstLine="459"/>
        <w:textAlignment w:val="auto"/>
        <w:rPr>
          <w:rFonts w:ascii="宋体" w:hAnsi="宋体" w:eastAsia="宋体" w:cs="宋体"/>
          <w:sz w:val="24"/>
          <w:szCs w:val="24"/>
        </w:rPr>
      </w:pPr>
      <w:r>
        <w:rPr>
          <w:rFonts w:ascii="宋体" w:hAnsi="宋体" w:eastAsia="宋体" w:cs="宋体"/>
          <w:spacing w:val="-1"/>
          <w:sz w:val="24"/>
          <w:szCs w:val="24"/>
        </w:rPr>
        <w:t>本项目废渣填埋场渗滤液采用一体化废水处理设备处理，治理过程中会产生少</w:t>
      </w:r>
      <w:r>
        <w:rPr>
          <w:rFonts w:ascii="宋体" w:hAnsi="宋体" w:eastAsia="宋体" w:cs="宋体"/>
          <w:spacing w:val="-2"/>
          <w:sz w:val="24"/>
          <w:szCs w:val="24"/>
        </w:rPr>
        <w:t>量污泥，污泥作为危废委托有资质单位进行处理，定期清运，不在填埋场内暂存。渗滤液的</w:t>
      </w:r>
      <w:r>
        <w:rPr>
          <w:rFonts w:ascii="宋体" w:hAnsi="宋体" w:eastAsia="宋体" w:cs="宋体"/>
          <w:spacing w:val="1"/>
          <w:sz w:val="24"/>
          <w:szCs w:val="24"/>
        </w:rPr>
        <w:t>产生主要集中在废渣填埋前期（一般为废渣填埋后</w:t>
      </w:r>
      <w:r>
        <w:rPr>
          <w:rFonts w:ascii="Times New Roman" w:hAnsi="Times New Roman" w:eastAsia="Times New Roman" w:cs="Times New Roman"/>
          <w:spacing w:val="1"/>
          <w:sz w:val="24"/>
          <w:szCs w:val="24"/>
        </w:rPr>
        <w:t>6</w:t>
      </w:r>
      <w:r>
        <w:rPr>
          <w:rFonts w:ascii="宋体" w:hAnsi="宋体" w:eastAsia="宋体" w:cs="宋体"/>
          <w:spacing w:val="1"/>
          <w:sz w:val="24"/>
          <w:szCs w:val="24"/>
        </w:rPr>
        <w:t>个月内</w:t>
      </w:r>
      <w:r>
        <w:rPr>
          <w:rFonts w:ascii="宋体" w:hAnsi="宋体" w:eastAsia="宋体" w:cs="宋体"/>
          <w:spacing w:val="12"/>
          <w:sz w:val="24"/>
          <w:szCs w:val="24"/>
        </w:rPr>
        <w:t>），</w:t>
      </w:r>
      <w:r>
        <w:rPr>
          <w:rFonts w:ascii="宋体" w:hAnsi="宋体" w:eastAsia="宋体" w:cs="宋体"/>
          <w:spacing w:val="1"/>
          <w:sz w:val="24"/>
          <w:szCs w:val="24"/>
        </w:rPr>
        <w:t>后续在表面阻隔层无破</w:t>
      </w:r>
      <w:r>
        <w:rPr>
          <w:rFonts w:ascii="宋体" w:hAnsi="宋体" w:eastAsia="宋体" w:cs="宋体"/>
          <w:spacing w:val="-2"/>
          <w:sz w:val="24"/>
          <w:szCs w:val="24"/>
        </w:rPr>
        <w:t>损的情况下，废渣填埋场的渗滤液产生量不大，且呈逐步减少趋势，一定时间后，渗滤</w:t>
      </w:r>
      <w:r>
        <w:rPr>
          <w:rFonts w:ascii="宋体" w:hAnsi="宋体" w:eastAsia="宋体" w:cs="宋体"/>
          <w:spacing w:val="-6"/>
          <w:sz w:val="24"/>
          <w:szCs w:val="24"/>
        </w:rPr>
        <w:t>液的产生量会几乎为零，治理完成后不会产生固废。本项目固体废物均能得到妥善</w:t>
      </w:r>
      <w:r>
        <w:rPr>
          <w:rFonts w:ascii="宋体" w:hAnsi="宋体" w:eastAsia="宋体" w:cs="宋体"/>
          <w:spacing w:val="-7"/>
          <w:sz w:val="24"/>
          <w:szCs w:val="24"/>
        </w:rPr>
        <w:t>处置，</w:t>
      </w:r>
      <w:r>
        <w:rPr>
          <w:rFonts w:ascii="宋体" w:hAnsi="宋体" w:eastAsia="宋体" w:cs="宋体"/>
          <w:spacing w:val="-1"/>
          <w:sz w:val="24"/>
          <w:szCs w:val="24"/>
        </w:rPr>
        <w:t>项目固体废物妥善处置后对环境影响小，禁止将固废随意丢弃。</w:t>
      </w:r>
    </w:p>
    <w:p w14:paraId="41380976">
      <w:pPr>
        <w:keepNext w:val="0"/>
        <w:keepLines w:val="0"/>
        <w:pageBreakBefore w:val="0"/>
        <w:kinsoku/>
        <w:wordWrap/>
        <w:overflowPunct/>
        <w:autoSpaceDE/>
        <w:autoSpaceDN/>
        <w:bidi w:val="0"/>
        <w:adjustRightInd/>
        <w:snapToGrid/>
        <w:spacing w:line="360" w:lineRule="auto"/>
        <w:ind w:left="0" w:right="0"/>
        <w:textAlignment w:val="auto"/>
        <w:rPr>
          <w:rFonts w:ascii="宋体" w:hAnsi="宋体" w:eastAsia="宋体" w:cs="宋体"/>
          <w:sz w:val="24"/>
          <w:szCs w:val="24"/>
        </w:rPr>
      </w:pPr>
      <w:r>
        <w:rPr>
          <w:rFonts w:ascii="Times New Roman" w:hAnsi="Times New Roman" w:eastAsia="Times New Roman" w:cs="Times New Roman"/>
          <w:spacing w:val="-7"/>
          <w:sz w:val="24"/>
          <w:szCs w:val="24"/>
        </w:rPr>
        <w:t>6</w:t>
      </w:r>
      <w:r>
        <w:rPr>
          <w:rFonts w:ascii="宋体" w:hAnsi="宋体" w:eastAsia="宋体" w:cs="宋体"/>
          <w:spacing w:val="-7"/>
          <w:sz w:val="24"/>
          <w:szCs w:val="24"/>
        </w:rPr>
        <w:t>、生态环境</w:t>
      </w:r>
    </w:p>
    <w:p w14:paraId="1D97B8AF">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textAlignment w:val="auto"/>
        <w:rPr>
          <w:rFonts w:hint="eastAsia" w:ascii="Times New Roman" w:hAnsi="Times New Roman" w:eastAsia="宋体" w:cs="Times New Roman"/>
          <w:color w:val="auto"/>
          <w:sz w:val="24"/>
          <w:szCs w:val="24"/>
          <w:highlight w:val="none"/>
          <w:u w:val="none" w:color="auto"/>
          <w:lang w:eastAsia="zh-CN"/>
        </w:rPr>
      </w:pPr>
      <w:r>
        <w:rPr>
          <w:rFonts w:ascii="宋体" w:hAnsi="宋体" w:eastAsia="宋体" w:cs="宋体"/>
          <w:spacing w:val="-1"/>
          <w:sz w:val="24"/>
          <w:szCs w:val="24"/>
        </w:rPr>
        <w:t>随着填埋场封场后逐步稳定，绿化植被生长，生态恢复，为环境正效益。</w:t>
      </w:r>
    </w:p>
    <w:p w14:paraId="2DF74EFB">
      <w:pPr>
        <w:pStyle w:val="3"/>
        <w:numPr>
          <w:ilvl w:val="0"/>
          <w:numId w:val="0"/>
        </w:numPr>
        <w:topLinePunct w:val="0"/>
        <w:spacing w:before="0" w:beforeLines="0" w:after="0" w:afterLines="0"/>
        <w:rPr>
          <w:rFonts w:hint="default" w:ascii="Times New Roman" w:hAnsi="Times New Roman" w:eastAsia="宋体" w:cs="Times New Roman"/>
          <w:color w:val="auto"/>
          <w:sz w:val="30"/>
          <w:szCs w:val="30"/>
          <w:highlight w:val="none"/>
          <w:u w:val="none" w:color="auto"/>
          <w:lang w:val="en-US"/>
        </w:rPr>
      </w:pPr>
      <w:bookmarkStart w:id="802" w:name="_Toc20236"/>
      <w:bookmarkStart w:id="803" w:name="_Toc5927"/>
      <w:bookmarkStart w:id="804" w:name="_Toc12381"/>
      <w:bookmarkStart w:id="805" w:name="_Toc12875"/>
      <w:bookmarkStart w:id="806" w:name="_Toc20616"/>
      <w:bookmarkStart w:id="807" w:name="_Toc31639"/>
      <w:bookmarkStart w:id="808" w:name="_Toc20555"/>
      <w:bookmarkStart w:id="809" w:name="_Toc12165"/>
      <w:bookmarkStart w:id="810" w:name="_Toc30172"/>
      <w:bookmarkStart w:id="811" w:name="_Toc22296"/>
      <w:bookmarkStart w:id="812" w:name="_Toc5888"/>
      <w:bookmarkStart w:id="813" w:name="_Toc24603"/>
      <w:bookmarkStart w:id="814" w:name="_Toc25342"/>
      <w:bookmarkStart w:id="815" w:name="_Toc2391"/>
      <w:r>
        <w:rPr>
          <w:rFonts w:hint="default" w:ascii="Times New Roman" w:hAnsi="Times New Roman" w:eastAsia="宋体" w:cs="Times New Roman"/>
          <w:color w:val="auto"/>
          <w:sz w:val="30"/>
          <w:szCs w:val="30"/>
          <w:highlight w:val="none"/>
          <w:u w:val="none" w:color="auto"/>
          <w:lang w:val="en-US"/>
        </w:rPr>
        <w:t>1</w:t>
      </w:r>
      <w:r>
        <w:rPr>
          <w:rFonts w:hint="eastAsia" w:ascii="Times New Roman" w:hAnsi="Times New Roman" w:eastAsia="宋体" w:cs="Times New Roman"/>
          <w:color w:val="auto"/>
          <w:sz w:val="30"/>
          <w:szCs w:val="30"/>
          <w:highlight w:val="none"/>
          <w:u w:val="none" w:color="auto"/>
          <w:lang w:val="en-US" w:eastAsia="zh-CN"/>
        </w:rPr>
        <w:t>0</w:t>
      </w:r>
      <w:r>
        <w:rPr>
          <w:rFonts w:hint="default" w:ascii="Times New Roman" w:hAnsi="Times New Roman" w:eastAsia="宋体" w:cs="Times New Roman"/>
          <w:color w:val="auto"/>
          <w:sz w:val="30"/>
          <w:szCs w:val="30"/>
          <w:highlight w:val="none"/>
          <w:u w:val="none" w:color="auto"/>
          <w:lang w:val="en-US"/>
        </w:rPr>
        <w:t>.5环境风险结论</w:t>
      </w:r>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p>
    <w:p w14:paraId="5B686987">
      <w:pPr>
        <w:keepNext w:val="0"/>
        <w:keepLines w:val="0"/>
        <w:pageBreakBefore w:val="0"/>
        <w:widowControl w:val="0"/>
        <w:kinsoku/>
        <w:wordWrap w:val="0"/>
        <w:overflowPunct/>
        <w:topLinePunct/>
        <w:autoSpaceDE/>
        <w:autoSpaceDN/>
        <w:bidi w:val="0"/>
        <w:adjustRightInd/>
        <w:snapToGrid/>
        <w:spacing w:line="360" w:lineRule="auto"/>
        <w:ind w:left="0" w:right="0" w:firstLine="480"/>
        <w:textAlignment w:val="auto"/>
        <w:rPr>
          <w:rFonts w:hint="default" w:ascii="Times New Roman" w:hAnsi="Times New Roman" w:cs="Times New Roman"/>
          <w:color w:val="auto"/>
          <w:sz w:val="24"/>
          <w:szCs w:val="24"/>
          <w:highlight w:val="none"/>
          <w:u w:val="none" w:color="auto"/>
        </w:rPr>
      </w:pPr>
      <w:r>
        <w:rPr>
          <w:rFonts w:hint="eastAsia" w:cs="Times New Roman"/>
          <w:color w:val="auto"/>
          <w:sz w:val="24"/>
          <w:szCs w:val="24"/>
          <w:highlight w:val="none"/>
          <w:u w:val="none" w:color="auto"/>
          <w:lang w:eastAsia="zh-CN"/>
        </w:rPr>
        <w:t>从风险控制的角度来评价，建设单位在严格按照要求做好防渗设施，完善各项规章制度管理和工序操作外，制定详细的环境风险事故预防措施和紧急应变事故处置方案，能大大减小事故发生概率和事故发生后能及时采取有利措施，减小环境污染。本工程在严格实施各项规章制度，在确保环境风险防范措施落实的基础上，其潜在的环境风险事故是可控的。</w:t>
      </w:r>
    </w:p>
    <w:bookmarkEnd w:id="801"/>
    <w:p w14:paraId="26610DB4">
      <w:pPr>
        <w:keepNext w:val="0"/>
        <w:keepLines w:val="0"/>
        <w:pageBreakBefore w:val="0"/>
        <w:widowControl/>
        <w:kinsoku/>
        <w:wordWrap/>
        <w:overflowPunct/>
        <w:topLinePunct/>
        <w:autoSpaceDE/>
        <w:autoSpaceDN/>
        <w:bidi w:val="0"/>
        <w:adjustRightInd/>
        <w:snapToGrid/>
        <w:spacing w:line="360" w:lineRule="auto"/>
        <w:ind w:left="0" w:leftChars="0" w:right="0" w:firstLine="0" w:firstLineChars="0"/>
        <w:textAlignment w:val="auto"/>
        <w:outlineLvl w:val="1"/>
        <w:rPr>
          <w:rFonts w:ascii="宋体" w:hAnsi="宋体" w:eastAsia="宋体" w:cs="宋体"/>
          <w:sz w:val="30"/>
          <w:szCs w:val="30"/>
        </w:rPr>
      </w:pPr>
      <w:bookmarkStart w:id="816" w:name="_TOC_250004"/>
      <w:bookmarkEnd w:id="816"/>
      <w:bookmarkStart w:id="817" w:name="_Toc26796"/>
      <w:r>
        <w:rPr>
          <w:rFonts w:ascii="Times New Roman" w:hAnsi="Times New Roman" w:eastAsia="Times New Roman" w:cs="Times New Roman"/>
          <w:b/>
          <w:bCs/>
          <w:spacing w:val="-3"/>
          <w:sz w:val="30"/>
          <w:szCs w:val="30"/>
        </w:rPr>
        <w:t xml:space="preserve">10.6 </w:t>
      </w:r>
      <w:r>
        <w:rPr>
          <w:rFonts w:ascii="宋体" w:hAnsi="宋体" w:eastAsia="宋体" w:cs="宋体"/>
          <w:b/>
          <w:bCs/>
          <w:spacing w:val="-3"/>
          <w:sz w:val="30"/>
          <w:szCs w:val="30"/>
        </w:rPr>
        <w:t>环境影响经济损益分析结论</w:t>
      </w:r>
      <w:bookmarkEnd w:id="817"/>
    </w:p>
    <w:p w14:paraId="468588CA">
      <w:pPr>
        <w:keepNext w:val="0"/>
        <w:keepLines w:val="0"/>
        <w:pageBreakBefore w:val="0"/>
        <w:widowControl w:val="0"/>
        <w:kinsoku/>
        <w:wordWrap w:val="0"/>
        <w:overflowPunct/>
        <w:topLinePunct/>
        <w:autoSpaceDE/>
        <w:autoSpaceDN/>
        <w:bidi w:val="0"/>
        <w:adjustRightInd/>
        <w:snapToGrid/>
        <w:spacing w:line="360" w:lineRule="auto"/>
        <w:ind w:left="0" w:right="0" w:firstLine="480"/>
        <w:textAlignment w:val="auto"/>
        <w:rPr>
          <w:rFonts w:hint="eastAsia" w:cs="Times New Roman"/>
          <w:color w:val="auto"/>
          <w:sz w:val="24"/>
          <w:szCs w:val="24"/>
          <w:highlight w:val="none"/>
          <w:u w:val="none" w:color="auto"/>
          <w:lang w:eastAsia="zh-CN"/>
        </w:rPr>
      </w:pPr>
      <w:r>
        <w:rPr>
          <w:rFonts w:hint="eastAsia" w:cs="Times New Roman"/>
          <w:color w:val="auto"/>
          <w:sz w:val="24"/>
          <w:szCs w:val="24"/>
          <w:highlight w:val="none"/>
          <w:u w:val="none" w:color="auto"/>
          <w:lang w:eastAsia="zh-CN"/>
        </w:rPr>
        <w:t>本项目工程投产后产生良好的经济、环境、社会效益，虽然对当地环境产生一定影响，但影响不大，效益远远大于项目的环境成本，因此，本项目具有一定的环境经济可行性。</w:t>
      </w:r>
    </w:p>
    <w:p w14:paraId="106BF681">
      <w:pPr>
        <w:keepNext w:val="0"/>
        <w:keepLines w:val="0"/>
        <w:pageBreakBefore w:val="0"/>
        <w:kinsoku/>
        <w:overflowPunct/>
        <w:autoSpaceDE/>
        <w:autoSpaceDN/>
        <w:bidi w:val="0"/>
        <w:adjustRightInd/>
        <w:snapToGrid/>
        <w:spacing w:line="360" w:lineRule="auto"/>
        <w:ind w:left="0" w:leftChars="0" w:right="0" w:firstLine="0" w:firstLineChars="0"/>
        <w:textAlignment w:val="auto"/>
        <w:outlineLvl w:val="1"/>
        <w:rPr>
          <w:rFonts w:ascii="宋体" w:hAnsi="宋体" w:eastAsia="宋体" w:cs="宋体"/>
          <w:sz w:val="30"/>
          <w:szCs w:val="30"/>
        </w:rPr>
      </w:pPr>
      <w:bookmarkStart w:id="818" w:name="bookmark172"/>
      <w:bookmarkEnd w:id="818"/>
      <w:bookmarkStart w:id="819" w:name="_Toc11911"/>
      <w:r>
        <w:rPr>
          <w:rFonts w:ascii="Times New Roman" w:hAnsi="Times New Roman" w:eastAsia="Times New Roman" w:cs="Times New Roman"/>
          <w:b/>
          <w:bCs/>
          <w:spacing w:val="-3"/>
          <w:sz w:val="30"/>
          <w:szCs w:val="30"/>
        </w:rPr>
        <w:t xml:space="preserve">10.7 </w:t>
      </w:r>
      <w:r>
        <w:rPr>
          <w:rFonts w:ascii="宋体" w:hAnsi="宋体" w:eastAsia="宋体" w:cs="宋体"/>
          <w:b/>
          <w:bCs/>
          <w:spacing w:val="-3"/>
          <w:sz w:val="30"/>
          <w:szCs w:val="30"/>
        </w:rPr>
        <w:t>环境保护管理与监测计划</w:t>
      </w:r>
      <w:bookmarkEnd w:id="819"/>
    </w:p>
    <w:p w14:paraId="3EA1A944">
      <w:pPr>
        <w:keepNext w:val="0"/>
        <w:keepLines w:val="0"/>
        <w:pageBreakBefore w:val="0"/>
        <w:widowControl w:val="0"/>
        <w:kinsoku/>
        <w:wordWrap w:val="0"/>
        <w:overflowPunct/>
        <w:topLinePunct/>
        <w:autoSpaceDE/>
        <w:autoSpaceDN/>
        <w:bidi w:val="0"/>
        <w:adjustRightInd/>
        <w:snapToGrid/>
        <w:spacing w:line="360" w:lineRule="auto"/>
        <w:ind w:left="0" w:right="0" w:firstLine="480"/>
        <w:textAlignment w:val="auto"/>
        <w:rPr>
          <w:rFonts w:hint="eastAsia" w:cs="Times New Roman"/>
          <w:color w:val="auto"/>
          <w:sz w:val="24"/>
          <w:szCs w:val="24"/>
          <w:highlight w:val="none"/>
          <w:u w:val="none" w:color="auto"/>
          <w:lang w:eastAsia="zh-CN"/>
        </w:rPr>
      </w:pPr>
      <w:r>
        <w:rPr>
          <w:rFonts w:hint="eastAsia" w:cs="Times New Roman"/>
          <w:color w:val="auto"/>
          <w:sz w:val="24"/>
          <w:szCs w:val="24"/>
          <w:highlight w:val="none"/>
          <w:u w:val="none" w:color="auto"/>
          <w:lang w:eastAsia="zh-CN"/>
        </w:rPr>
        <w:t>项目应从控制污染、保护和改善环境的角度出发，根据项目的工程特点、排污状况以及针对不利环境的因素所采取的措施，制定确保环保措施能够落实的环境监测计划并加以执行。环境监测计划的实施，使项目在施工期和封场后的各种环境问题及时被发现并加以解决，保证环境质量不致下降。</w:t>
      </w:r>
    </w:p>
    <w:p w14:paraId="66F75F9E">
      <w:pPr>
        <w:keepNext w:val="0"/>
        <w:keepLines w:val="0"/>
        <w:pageBreakBefore w:val="0"/>
        <w:kinsoku/>
        <w:overflowPunct/>
        <w:autoSpaceDE/>
        <w:autoSpaceDN/>
        <w:bidi w:val="0"/>
        <w:adjustRightInd/>
        <w:snapToGrid/>
        <w:spacing w:line="360" w:lineRule="auto"/>
        <w:ind w:left="0" w:leftChars="0" w:right="0" w:firstLine="0" w:firstLineChars="0"/>
        <w:textAlignment w:val="auto"/>
        <w:outlineLvl w:val="1"/>
        <w:rPr>
          <w:rFonts w:ascii="宋体" w:hAnsi="宋体" w:eastAsia="宋体" w:cs="宋体"/>
          <w:sz w:val="30"/>
          <w:szCs w:val="30"/>
        </w:rPr>
      </w:pPr>
      <w:bookmarkStart w:id="820" w:name="bookmark173"/>
      <w:bookmarkEnd w:id="820"/>
      <w:bookmarkStart w:id="821" w:name="_Toc24465"/>
      <w:r>
        <w:rPr>
          <w:rFonts w:ascii="Times New Roman" w:hAnsi="Times New Roman" w:eastAsia="Times New Roman" w:cs="Times New Roman"/>
          <w:b/>
          <w:bCs/>
          <w:spacing w:val="-5"/>
          <w:sz w:val="30"/>
          <w:szCs w:val="30"/>
        </w:rPr>
        <w:t>10.8</w:t>
      </w:r>
      <w:r>
        <w:rPr>
          <w:rFonts w:ascii="Times New Roman" w:hAnsi="Times New Roman" w:eastAsia="Times New Roman" w:cs="Times New Roman"/>
          <w:b/>
          <w:bCs/>
          <w:spacing w:val="21"/>
          <w:sz w:val="30"/>
          <w:szCs w:val="30"/>
        </w:rPr>
        <w:t xml:space="preserve"> </w:t>
      </w:r>
      <w:r>
        <w:rPr>
          <w:rFonts w:ascii="宋体" w:hAnsi="宋体" w:eastAsia="宋体" w:cs="宋体"/>
          <w:b/>
          <w:bCs/>
          <w:spacing w:val="-5"/>
          <w:sz w:val="30"/>
          <w:szCs w:val="30"/>
        </w:rPr>
        <w:t>公众意见采纳情况</w:t>
      </w:r>
      <w:bookmarkEnd w:id="821"/>
    </w:p>
    <w:p w14:paraId="062C4566">
      <w:pPr>
        <w:keepNext w:val="0"/>
        <w:keepLines w:val="0"/>
        <w:pageBreakBefore w:val="0"/>
        <w:kinsoku/>
        <w:overflowPunct/>
        <w:autoSpaceDE/>
        <w:autoSpaceDN/>
        <w:bidi w:val="0"/>
        <w:adjustRightInd/>
        <w:snapToGrid/>
        <w:spacing w:line="360" w:lineRule="auto"/>
        <w:ind w:left="0" w:right="0" w:firstLine="477"/>
        <w:textAlignment w:val="auto"/>
        <w:rPr>
          <w:rFonts w:hint="eastAsia" w:ascii="宋体" w:hAnsi="宋体" w:eastAsia="宋体" w:cs="宋体"/>
          <w:spacing w:val="-2"/>
          <w:sz w:val="24"/>
          <w:szCs w:val="24"/>
        </w:rPr>
      </w:pPr>
      <w:r>
        <w:rPr>
          <w:rFonts w:hint="eastAsia" w:cs="Times New Roman"/>
          <w:i w:val="0"/>
          <w:iCs w:val="0"/>
          <w:color w:val="auto"/>
          <w:sz w:val="24"/>
          <w:szCs w:val="24"/>
          <w:highlight w:val="none"/>
          <w:u w:val="none" w:color="auto"/>
          <w:lang w:val="en-US" w:eastAsia="zh-CN"/>
        </w:rPr>
        <w:t>本项目</w:t>
      </w:r>
      <w:r>
        <w:rPr>
          <w:rFonts w:hint="eastAsia" w:ascii="Times New Roman" w:hAnsi="Times New Roman" w:eastAsia="宋体" w:cs="Times New Roman"/>
          <w:i w:val="0"/>
          <w:iCs w:val="0"/>
          <w:color w:val="auto"/>
          <w:sz w:val="24"/>
          <w:szCs w:val="24"/>
          <w:highlight w:val="none"/>
          <w:u w:val="none" w:color="auto"/>
          <w:lang w:val="en-US" w:eastAsia="zh-CN"/>
        </w:rPr>
        <w:t>环评期间，建设单位按要求开展公众意见调查工作如下：①202</w:t>
      </w:r>
      <w:r>
        <w:rPr>
          <w:rFonts w:hint="eastAsia" w:cs="Times New Roman"/>
          <w:i w:val="0"/>
          <w:iCs w:val="0"/>
          <w:color w:val="auto"/>
          <w:sz w:val="24"/>
          <w:szCs w:val="24"/>
          <w:highlight w:val="none"/>
          <w:u w:val="none" w:color="auto"/>
          <w:lang w:val="en-US" w:eastAsia="zh-CN"/>
        </w:rPr>
        <w:t>6</w:t>
      </w:r>
      <w:r>
        <w:rPr>
          <w:rFonts w:hint="eastAsia" w:ascii="Times New Roman" w:hAnsi="Times New Roman" w:eastAsia="宋体" w:cs="Times New Roman"/>
          <w:i w:val="0"/>
          <w:iCs w:val="0"/>
          <w:color w:val="auto"/>
          <w:sz w:val="24"/>
          <w:szCs w:val="24"/>
          <w:highlight w:val="none"/>
          <w:u w:val="none" w:color="auto"/>
          <w:lang w:val="en-US" w:eastAsia="zh-CN"/>
        </w:rPr>
        <w:t>年</w:t>
      </w:r>
      <w:r>
        <w:rPr>
          <w:rFonts w:hint="eastAsia" w:cs="Times New Roman"/>
          <w:i w:val="0"/>
          <w:iCs w:val="0"/>
          <w:color w:val="auto"/>
          <w:sz w:val="24"/>
          <w:szCs w:val="24"/>
          <w:highlight w:val="none"/>
          <w:u w:val="none" w:color="auto"/>
          <w:lang w:val="en-US" w:eastAsia="zh-CN"/>
        </w:rPr>
        <w:t>1</w:t>
      </w:r>
      <w:r>
        <w:rPr>
          <w:rFonts w:hint="eastAsia" w:ascii="Times New Roman" w:hAnsi="Times New Roman" w:eastAsia="宋体" w:cs="Times New Roman"/>
          <w:i w:val="0"/>
          <w:iCs w:val="0"/>
          <w:color w:val="auto"/>
          <w:sz w:val="24"/>
          <w:szCs w:val="24"/>
          <w:highlight w:val="none"/>
          <w:u w:val="none" w:color="auto"/>
          <w:lang w:val="en-US" w:eastAsia="zh-CN"/>
        </w:rPr>
        <w:t>月</w:t>
      </w:r>
      <w:r>
        <w:rPr>
          <w:rFonts w:hint="eastAsia" w:cs="Times New Roman"/>
          <w:i w:val="0"/>
          <w:iCs w:val="0"/>
          <w:color w:val="auto"/>
          <w:sz w:val="24"/>
          <w:szCs w:val="24"/>
          <w:highlight w:val="none"/>
          <w:u w:val="none" w:color="auto"/>
          <w:lang w:val="en-US" w:eastAsia="zh-CN"/>
        </w:rPr>
        <w:t>27</w:t>
      </w:r>
      <w:r>
        <w:rPr>
          <w:rFonts w:hint="eastAsia" w:ascii="Times New Roman" w:hAnsi="Times New Roman" w:eastAsia="宋体" w:cs="Times New Roman"/>
          <w:i w:val="0"/>
          <w:iCs w:val="0"/>
          <w:color w:val="auto"/>
          <w:sz w:val="24"/>
          <w:szCs w:val="24"/>
          <w:highlight w:val="none"/>
          <w:u w:val="none" w:color="auto"/>
          <w:lang w:val="en-US" w:eastAsia="zh-CN"/>
        </w:rPr>
        <w:t>日，</w:t>
      </w:r>
      <w:r>
        <w:rPr>
          <w:rFonts w:hint="eastAsia" w:cs="Times New Roman"/>
          <w:i w:val="0"/>
          <w:iCs w:val="0"/>
          <w:color w:val="auto"/>
          <w:sz w:val="24"/>
          <w:szCs w:val="24"/>
          <w:highlight w:val="none"/>
          <w:u w:val="none" w:color="auto"/>
          <w:lang w:val="en-US" w:eastAsia="zh-CN"/>
        </w:rPr>
        <w:t>在全国建设项目环境信息公示平台进行了项目</w:t>
      </w:r>
      <w:r>
        <w:rPr>
          <w:rFonts w:hint="eastAsia" w:ascii="Times New Roman" w:hAnsi="Times New Roman" w:eastAsia="宋体" w:cs="Times New Roman"/>
          <w:i w:val="0"/>
          <w:iCs w:val="0"/>
          <w:color w:val="auto"/>
          <w:sz w:val="24"/>
          <w:szCs w:val="24"/>
          <w:highlight w:val="none"/>
          <w:u w:val="none" w:color="auto"/>
          <w:lang w:val="en-US" w:eastAsia="zh-CN"/>
        </w:rPr>
        <w:t>第</w:t>
      </w:r>
      <w:r>
        <w:rPr>
          <w:rFonts w:hint="eastAsia" w:ascii="Times New Roman" w:hAnsi="Times New Roman" w:cs="Times New Roman"/>
          <w:i w:val="0"/>
          <w:iCs w:val="0"/>
          <w:color w:val="auto"/>
          <w:sz w:val="24"/>
          <w:szCs w:val="24"/>
          <w:highlight w:val="none"/>
          <w:u w:val="none" w:color="auto"/>
          <w:lang w:val="en-US" w:eastAsia="zh-CN"/>
        </w:rPr>
        <w:t>一</w:t>
      </w:r>
      <w:r>
        <w:rPr>
          <w:rFonts w:hint="eastAsia" w:ascii="Times New Roman" w:hAnsi="Times New Roman" w:eastAsia="宋体" w:cs="Times New Roman"/>
          <w:i w:val="0"/>
          <w:iCs w:val="0"/>
          <w:color w:val="auto"/>
          <w:sz w:val="24"/>
          <w:szCs w:val="24"/>
          <w:highlight w:val="none"/>
          <w:u w:val="none" w:color="auto"/>
          <w:lang w:val="en-US" w:eastAsia="zh-CN"/>
        </w:rPr>
        <w:t>次环评信息公示</w:t>
      </w:r>
      <w:r>
        <w:rPr>
          <w:rFonts w:hint="eastAsia" w:ascii="Times New Roman" w:hAnsi="Times New Roman" w:cs="Times New Roman"/>
          <w:i w:val="0"/>
          <w:iCs w:val="0"/>
          <w:color w:val="auto"/>
          <w:sz w:val="24"/>
          <w:szCs w:val="24"/>
          <w:highlight w:val="none"/>
          <w:u w:val="none" w:color="auto"/>
          <w:lang w:val="en-US" w:eastAsia="zh-CN"/>
        </w:rPr>
        <w:t>；</w:t>
      </w:r>
      <w:r>
        <w:rPr>
          <w:rFonts w:hint="eastAsia" w:ascii="Times New Roman" w:hAnsi="Times New Roman" w:eastAsia="宋体" w:cs="Times New Roman"/>
          <w:color w:val="auto"/>
          <w:sz w:val="24"/>
          <w:highlight w:val="none"/>
          <w:u w:val="none" w:color="auto"/>
          <w:lang w:val="en-US" w:eastAsia="zh-CN" w:bidi="ar"/>
        </w:rPr>
        <w:t>②</w:t>
      </w:r>
      <w:r>
        <w:rPr>
          <w:rFonts w:hint="eastAsia" w:ascii="Times New Roman" w:hAnsi="Times New Roman" w:eastAsia="宋体" w:cs="Times New Roman"/>
          <w:i w:val="0"/>
          <w:iCs w:val="0"/>
          <w:color w:val="auto"/>
          <w:sz w:val="24"/>
          <w:szCs w:val="24"/>
          <w:highlight w:val="none"/>
          <w:u w:val="none" w:color="auto"/>
          <w:lang w:val="en-US" w:eastAsia="zh-CN"/>
        </w:rPr>
        <w:t>202</w:t>
      </w:r>
      <w:r>
        <w:rPr>
          <w:rFonts w:hint="eastAsia" w:cs="Times New Roman"/>
          <w:i w:val="0"/>
          <w:iCs w:val="0"/>
          <w:color w:val="auto"/>
          <w:sz w:val="24"/>
          <w:szCs w:val="24"/>
          <w:highlight w:val="none"/>
          <w:u w:val="none" w:color="auto"/>
          <w:lang w:val="en-US" w:eastAsia="zh-CN"/>
        </w:rPr>
        <w:t>6</w:t>
      </w:r>
      <w:r>
        <w:rPr>
          <w:rFonts w:hint="eastAsia" w:ascii="Times New Roman" w:hAnsi="Times New Roman" w:eastAsia="宋体" w:cs="Times New Roman"/>
          <w:i w:val="0"/>
          <w:iCs w:val="0"/>
          <w:color w:val="auto"/>
          <w:sz w:val="24"/>
          <w:szCs w:val="24"/>
          <w:highlight w:val="none"/>
          <w:u w:val="none" w:color="auto"/>
          <w:lang w:val="en-US" w:eastAsia="zh-CN"/>
        </w:rPr>
        <w:t>年</w:t>
      </w:r>
      <w:r>
        <w:rPr>
          <w:rFonts w:hint="eastAsia" w:cs="Times New Roman"/>
          <w:i w:val="0"/>
          <w:iCs w:val="0"/>
          <w:color w:val="auto"/>
          <w:sz w:val="24"/>
          <w:szCs w:val="24"/>
          <w:highlight w:val="none"/>
          <w:u w:val="none" w:color="auto"/>
          <w:lang w:val="en-US" w:eastAsia="zh-CN"/>
        </w:rPr>
        <w:t>3</w:t>
      </w:r>
      <w:r>
        <w:rPr>
          <w:rFonts w:hint="eastAsia" w:ascii="Times New Roman" w:hAnsi="Times New Roman" w:eastAsia="宋体" w:cs="Times New Roman"/>
          <w:i w:val="0"/>
          <w:iCs w:val="0"/>
          <w:color w:val="auto"/>
          <w:sz w:val="24"/>
          <w:szCs w:val="24"/>
          <w:highlight w:val="none"/>
          <w:u w:val="none" w:color="auto"/>
          <w:lang w:val="en-US" w:eastAsia="zh-CN"/>
        </w:rPr>
        <w:t>月</w:t>
      </w:r>
      <w:r>
        <w:rPr>
          <w:rFonts w:hint="eastAsia" w:cs="Times New Roman"/>
          <w:i w:val="0"/>
          <w:iCs w:val="0"/>
          <w:color w:val="auto"/>
          <w:sz w:val="24"/>
          <w:szCs w:val="24"/>
          <w:highlight w:val="none"/>
          <w:u w:val="none" w:color="auto"/>
          <w:lang w:val="en-US" w:eastAsia="zh-CN"/>
        </w:rPr>
        <w:t>8</w:t>
      </w:r>
      <w:r>
        <w:rPr>
          <w:rFonts w:hint="eastAsia" w:ascii="Times New Roman" w:hAnsi="Times New Roman" w:eastAsia="宋体" w:cs="Times New Roman"/>
          <w:i w:val="0"/>
          <w:iCs w:val="0"/>
          <w:color w:val="auto"/>
          <w:sz w:val="24"/>
          <w:szCs w:val="24"/>
          <w:highlight w:val="none"/>
          <w:u w:val="none" w:color="auto"/>
          <w:lang w:val="en-US" w:eastAsia="zh-CN"/>
        </w:rPr>
        <w:t>日，在</w:t>
      </w:r>
      <w:r>
        <w:rPr>
          <w:rFonts w:hint="eastAsia" w:cs="Times New Roman"/>
          <w:i w:val="0"/>
          <w:iCs w:val="0"/>
          <w:color w:val="auto"/>
          <w:sz w:val="24"/>
          <w:szCs w:val="24"/>
          <w:highlight w:val="none"/>
          <w:u w:val="none" w:color="auto"/>
          <w:lang w:val="en-US" w:eastAsia="zh-CN"/>
        </w:rPr>
        <w:t>全国建设项目环境信息公示平台</w:t>
      </w:r>
      <w:r>
        <w:rPr>
          <w:rFonts w:hint="eastAsia" w:ascii="Times New Roman" w:hAnsi="Times New Roman" w:eastAsia="宋体" w:cs="Times New Roman"/>
          <w:i w:val="0"/>
          <w:iCs w:val="0"/>
          <w:color w:val="auto"/>
          <w:sz w:val="24"/>
          <w:szCs w:val="24"/>
          <w:highlight w:val="none"/>
          <w:u w:val="none" w:color="auto"/>
          <w:lang w:val="en-US" w:eastAsia="zh-CN"/>
        </w:rPr>
        <w:t>上进行了项目第二次环评信息公示，同时于202</w:t>
      </w:r>
      <w:r>
        <w:rPr>
          <w:rFonts w:hint="eastAsia" w:cs="Times New Roman"/>
          <w:i w:val="0"/>
          <w:iCs w:val="0"/>
          <w:color w:val="auto"/>
          <w:sz w:val="24"/>
          <w:szCs w:val="24"/>
          <w:highlight w:val="none"/>
          <w:u w:val="none" w:color="auto"/>
          <w:lang w:val="en-US" w:eastAsia="zh-CN"/>
        </w:rPr>
        <w:t>6</w:t>
      </w:r>
      <w:r>
        <w:rPr>
          <w:rFonts w:hint="eastAsia" w:ascii="Times New Roman" w:hAnsi="Times New Roman" w:eastAsia="宋体" w:cs="Times New Roman"/>
          <w:i w:val="0"/>
          <w:iCs w:val="0"/>
          <w:color w:val="auto"/>
          <w:sz w:val="24"/>
          <w:szCs w:val="24"/>
          <w:highlight w:val="none"/>
          <w:u w:val="none" w:color="auto"/>
          <w:lang w:val="en-US" w:eastAsia="zh-CN"/>
        </w:rPr>
        <w:t>年</w:t>
      </w:r>
      <w:r>
        <w:rPr>
          <w:rFonts w:hint="eastAsia" w:cs="Times New Roman"/>
          <w:i w:val="0"/>
          <w:iCs w:val="0"/>
          <w:color w:val="auto"/>
          <w:sz w:val="24"/>
          <w:szCs w:val="24"/>
          <w:highlight w:val="none"/>
          <w:u w:val="none" w:color="auto"/>
          <w:lang w:val="en-US" w:eastAsia="zh-CN"/>
        </w:rPr>
        <w:t>3</w:t>
      </w:r>
      <w:r>
        <w:rPr>
          <w:rFonts w:hint="eastAsia" w:ascii="Times New Roman" w:hAnsi="Times New Roman" w:eastAsia="宋体" w:cs="Times New Roman"/>
          <w:i w:val="0"/>
          <w:iCs w:val="0"/>
          <w:color w:val="auto"/>
          <w:sz w:val="24"/>
          <w:szCs w:val="24"/>
          <w:highlight w:val="none"/>
          <w:u w:val="none" w:color="auto"/>
          <w:lang w:val="en-US" w:eastAsia="zh-CN"/>
        </w:rPr>
        <w:t>月</w:t>
      </w:r>
      <w:r>
        <w:rPr>
          <w:rFonts w:hint="eastAsia" w:cs="Times New Roman"/>
          <w:i w:val="0"/>
          <w:iCs w:val="0"/>
          <w:color w:val="auto"/>
          <w:sz w:val="24"/>
          <w:szCs w:val="24"/>
          <w:highlight w:val="none"/>
          <w:u w:val="none" w:color="auto"/>
          <w:lang w:val="en-US" w:eastAsia="zh-CN"/>
        </w:rPr>
        <w:t>12</w:t>
      </w:r>
      <w:r>
        <w:rPr>
          <w:rFonts w:hint="eastAsia" w:ascii="Times New Roman" w:hAnsi="Times New Roman" w:eastAsia="宋体" w:cs="Times New Roman"/>
          <w:i w:val="0"/>
          <w:iCs w:val="0"/>
          <w:color w:val="auto"/>
          <w:sz w:val="24"/>
          <w:szCs w:val="24"/>
          <w:highlight w:val="none"/>
          <w:u w:val="none" w:color="auto"/>
          <w:lang w:val="en-US" w:eastAsia="zh-CN"/>
        </w:rPr>
        <w:t>日和</w:t>
      </w:r>
      <w:r>
        <w:rPr>
          <w:rFonts w:hint="eastAsia" w:cs="Times New Roman"/>
          <w:i w:val="0"/>
          <w:iCs w:val="0"/>
          <w:color w:val="auto"/>
          <w:sz w:val="24"/>
          <w:szCs w:val="24"/>
          <w:highlight w:val="none"/>
          <w:u w:val="none" w:color="auto"/>
          <w:lang w:val="en-US" w:eastAsia="zh-CN"/>
        </w:rPr>
        <w:t>13</w:t>
      </w:r>
      <w:r>
        <w:rPr>
          <w:rFonts w:hint="eastAsia" w:ascii="Times New Roman" w:hAnsi="Times New Roman" w:eastAsia="宋体" w:cs="Times New Roman"/>
          <w:i w:val="0"/>
          <w:iCs w:val="0"/>
          <w:color w:val="auto"/>
          <w:sz w:val="24"/>
          <w:szCs w:val="24"/>
          <w:highlight w:val="none"/>
          <w:u w:val="none" w:color="auto"/>
          <w:lang w:val="en-US" w:eastAsia="zh-CN"/>
        </w:rPr>
        <w:t>日在《岳阳晚报》进行了两次报纸公示</w:t>
      </w:r>
      <w:r>
        <w:rPr>
          <w:rFonts w:hint="eastAsia" w:ascii="Times New Roman" w:hAnsi="Times New Roman" w:eastAsia="宋体" w:cs="Times New Roman"/>
          <w:color w:val="auto"/>
          <w:sz w:val="24"/>
          <w:highlight w:val="none"/>
          <w:u w:val="none" w:color="auto"/>
          <w:lang w:val="en-US" w:eastAsia="zh-CN" w:bidi="ar"/>
        </w:rPr>
        <w:t>。</w:t>
      </w:r>
      <w:r>
        <w:rPr>
          <w:rFonts w:hint="eastAsia" w:cs="Times New Roman"/>
          <w:color w:val="auto"/>
          <w:sz w:val="24"/>
          <w:highlight w:val="none"/>
          <w:u w:val="none" w:color="auto"/>
          <w:lang w:val="en-US" w:eastAsia="zh-CN" w:bidi="ar"/>
        </w:rPr>
        <w:t>③2026年3月8日，在在平江县三阳乡人民政府公布栏、万古村居委会及周边居民点处进行了现场公示；④</w:t>
      </w:r>
      <w:r>
        <w:rPr>
          <w:rFonts w:hint="eastAsia" w:cs="Times New Roman"/>
          <w:color w:val="auto"/>
          <w:sz w:val="24"/>
          <w:highlight w:val="none"/>
          <w:lang w:val="en-US" w:eastAsia="zh-CN" w:bidi="ar"/>
        </w:rPr>
        <w:t>2026年4月23日</w:t>
      </w:r>
      <w:r>
        <w:rPr>
          <w:rFonts w:hint="eastAsia" w:ascii="Times New Roman" w:hAnsi="Times New Roman" w:eastAsia="宋体" w:cs="Times New Roman"/>
          <w:color w:val="auto"/>
          <w:sz w:val="24"/>
          <w:highlight w:val="none"/>
          <w:lang w:val="en-US" w:eastAsia="zh-CN" w:bidi="ar"/>
        </w:rPr>
        <w:t>，</w:t>
      </w:r>
      <w:r>
        <w:rPr>
          <w:rFonts w:hint="eastAsia" w:cs="Times New Roman"/>
          <w:color w:val="auto"/>
          <w:sz w:val="24"/>
          <w:highlight w:val="none"/>
          <w:lang w:val="en-US" w:eastAsia="zh-CN" w:bidi="ar"/>
        </w:rPr>
        <w:t>在全国建设项目环境信息公示平台</w:t>
      </w:r>
      <w:r>
        <w:rPr>
          <w:rFonts w:hint="eastAsia" w:ascii="Times New Roman" w:hAnsi="Times New Roman" w:eastAsia="宋体" w:cs="Times New Roman"/>
          <w:color w:val="auto"/>
          <w:sz w:val="24"/>
          <w:highlight w:val="none"/>
          <w:lang w:val="en-US" w:eastAsia="zh-CN" w:bidi="ar"/>
        </w:rPr>
        <w:t>进行环境影响报告书报批前公示</w:t>
      </w:r>
      <w:r>
        <w:rPr>
          <w:rFonts w:hint="eastAsia" w:ascii="Times New Roman" w:hAnsi="Times New Roman" w:eastAsia="宋体" w:cs="Times New Roman"/>
          <w:color w:val="auto"/>
          <w:sz w:val="24"/>
          <w:highlight w:val="none"/>
          <w:u w:val="none" w:color="auto"/>
          <w:lang w:val="en-US" w:eastAsia="zh-CN" w:bidi="ar"/>
        </w:rPr>
        <w:t>。</w:t>
      </w:r>
    </w:p>
    <w:p w14:paraId="23D4259D">
      <w:pPr>
        <w:keepNext w:val="0"/>
        <w:keepLines w:val="0"/>
        <w:pageBreakBefore w:val="0"/>
        <w:kinsoku/>
        <w:overflowPunct/>
        <w:autoSpaceDE/>
        <w:autoSpaceDN/>
        <w:bidi w:val="0"/>
        <w:adjustRightInd/>
        <w:snapToGrid/>
        <w:spacing w:line="360" w:lineRule="auto"/>
        <w:ind w:left="0" w:right="0" w:firstLine="477"/>
        <w:textAlignment w:val="auto"/>
        <w:rPr>
          <w:rFonts w:hint="eastAsia" w:ascii="宋体" w:hAnsi="宋体" w:eastAsia="宋体" w:cs="宋体"/>
          <w:spacing w:val="-2"/>
          <w:sz w:val="24"/>
          <w:szCs w:val="24"/>
        </w:rPr>
      </w:pPr>
      <w:r>
        <w:rPr>
          <w:rFonts w:hint="eastAsia" w:ascii="宋体" w:hAnsi="宋体" w:eastAsia="宋体" w:cs="宋体"/>
          <w:spacing w:val="-2"/>
          <w:sz w:val="24"/>
          <w:szCs w:val="24"/>
        </w:rPr>
        <w:t>“平江县三阳乡万古村万古水库周边历史遗留重金属废渣整治项目”在征求意见稿公示（网上公示、登报纸</w:t>
      </w:r>
      <w:r>
        <w:rPr>
          <w:rFonts w:hint="eastAsia" w:ascii="宋体" w:hAnsi="宋体" w:cs="宋体"/>
          <w:spacing w:val="-2"/>
          <w:sz w:val="24"/>
          <w:szCs w:val="24"/>
          <w:lang w:eastAsia="zh-CN"/>
        </w:rPr>
        <w:t>、</w:t>
      </w:r>
      <w:r>
        <w:rPr>
          <w:rFonts w:hint="eastAsia" w:ascii="宋体" w:hAnsi="宋体" w:cs="宋体"/>
          <w:spacing w:val="-2"/>
          <w:sz w:val="24"/>
          <w:szCs w:val="24"/>
          <w:lang w:val="en-US" w:eastAsia="zh-CN"/>
        </w:rPr>
        <w:t>现场公示</w:t>
      </w:r>
      <w:r>
        <w:rPr>
          <w:rFonts w:hint="eastAsia" w:ascii="宋体" w:hAnsi="宋体" w:eastAsia="宋体" w:cs="宋体"/>
          <w:spacing w:val="-2"/>
          <w:sz w:val="24"/>
          <w:szCs w:val="24"/>
        </w:rPr>
        <w:t>同步进行）以及报批前公示期间，未收到公众关于项目的反馈意见。</w:t>
      </w:r>
    </w:p>
    <w:p w14:paraId="2F1E6A8A">
      <w:pPr>
        <w:keepNext w:val="0"/>
        <w:keepLines w:val="0"/>
        <w:pageBreakBefore w:val="0"/>
        <w:kinsoku/>
        <w:overflowPunct/>
        <w:autoSpaceDE/>
        <w:autoSpaceDN/>
        <w:bidi w:val="0"/>
        <w:adjustRightInd/>
        <w:snapToGrid/>
        <w:spacing w:line="360" w:lineRule="auto"/>
        <w:ind w:left="0" w:right="0" w:firstLine="477"/>
        <w:textAlignment w:val="auto"/>
        <w:rPr>
          <w:rFonts w:ascii="宋体" w:hAnsi="宋体" w:eastAsia="宋体" w:cs="宋体"/>
          <w:sz w:val="24"/>
          <w:szCs w:val="24"/>
        </w:rPr>
      </w:pPr>
      <w:r>
        <w:rPr>
          <w:rFonts w:hint="eastAsia" w:ascii="宋体" w:hAnsi="宋体" w:eastAsia="宋体" w:cs="宋体"/>
          <w:spacing w:val="-2"/>
          <w:sz w:val="24"/>
          <w:szCs w:val="24"/>
        </w:rPr>
        <w:t>建设单位在运营过程中，坚持环保优先的原则，落实本报告提出的各项环境保护措施，保证资金到位，环保工程“三同时”，尤其要注意运营期废气、噪声的达标排放，杜绝扰民现象，减少项目建设后对环境的影响，建设单位要对本项目进行一定的解释和宣传，加强各级领导与周围群众的沟通，密切企群关系，争取公众更广泛的理解和支持。</w:t>
      </w:r>
    </w:p>
    <w:p w14:paraId="066FD3F5">
      <w:pPr>
        <w:keepNext w:val="0"/>
        <w:keepLines w:val="0"/>
        <w:pageBreakBefore w:val="0"/>
        <w:widowControl w:val="0"/>
        <w:kinsoku/>
        <w:wordWrap w:val="0"/>
        <w:overflowPunct/>
        <w:topLinePunct/>
        <w:autoSpaceDE/>
        <w:autoSpaceDN/>
        <w:bidi w:val="0"/>
        <w:adjustRightInd/>
        <w:snapToGrid/>
        <w:spacing w:line="360" w:lineRule="auto"/>
        <w:ind w:left="0" w:leftChars="0" w:right="0" w:firstLine="0" w:firstLineChars="0"/>
        <w:textAlignment w:val="auto"/>
        <w:rPr>
          <w:rFonts w:ascii="宋体" w:hAnsi="宋体" w:eastAsia="宋体" w:cs="宋体"/>
          <w:sz w:val="30"/>
          <w:szCs w:val="30"/>
        </w:rPr>
      </w:pPr>
      <w:bookmarkStart w:id="822" w:name="bookmark174"/>
      <w:bookmarkEnd w:id="822"/>
      <w:r>
        <w:rPr>
          <w:rFonts w:ascii="Times New Roman" w:hAnsi="Times New Roman" w:eastAsia="Times New Roman" w:cs="Times New Roman"/>
          <w:b/>
          <w:bCs/>
          <w:spacing w:val="-7"/>
          <w:sz w:val="30"/>
          <w:szCs w:val="30"/>
        </w:rPr>
        <w:t>10.9</w:t>
      </w:r>
      <w:r>
        <w:rPr>
          <w:rFonts w:ascii="Times New Roman" w:hAnsi="Times New Roman" w:eastAsia="Times New Roman" w:cs="Times New Roman"/>
          <w:b/>
          <w:bCs/>
          <w:spacing w:val="21"/>
          <w:sz w:val="30"/>
          <w:szCs w:val="30"/>
        </w:rPr>
        <w:t xml:space="preserve"> </w:t>
      </w:r>
      <w:r>
        <w:rPr>
          <w:rFonts w:ascii="宋体" w:hAnsi="宋体" w:eastAsia="宋体" w:cs="宋体"/>
          <w:b/>
          <w:bCs/>
          <w:spacing w:val="-7"/>
          <w:sz w:val="30"/>
          <w:szCs w:val="30"/>
        </w:rPr>
        <w:t>总结论</w:t>
      </w:r>
    </w:p>
    <w:p w14:paraId="3BFFE7E8">
      <w:pPr>
        <w:keepNext w:val="0"/>
        <w:keepLines w:val="0"/>
        <w:pageBreakBefore w:val="0"/>
        <w:kinsoku/>
        <w:overflowPunct/>
        <w:autoSpaceDE/>
        <w:autoSpaceDN/>
        <w:bidi w:val="0"/>
        <w:adjustRightInd/>
        <w:snapToGrid/>
        <w:spacing w:line="360" w:lineRule="auto"/>
        <w:ind w:right="0"/>
        <w:jc w:val="both"/>
        <w:textAlignment w:val="auto"/>
        <w:rPr>
          <w:rFonts w:ascii="宋体" w:hAnsi="宋体" w:eastAsia="宋体" w:cs="宋体"/>
          <w:sz w:val="24"/>
          <w:szCs w:val="24"/>
        </w:rPr>
      </w:pPr>
      <w:r>
        <w:rPr>
          <w:rFonts w:ascii="宋体" w:hAnsi="宋体" w:eastAsia="宋体" w:cs="宋体"/>
          <w:spacing w:val="-2"/>
          <w:sz w:val="24"/>
          <w:szCs w:val="24"/>
        </w:rPr>
        <w:t>综上所述，本项目符合国家、地方及行业政策和法规，与相关规划相协调，选址合理，具有良好的经济及社会效益。在建设单位严格落实本《报告书》提出的污染防治措</w:t>
      </w:r>
      <w:r>
        <w:rPr>
          <w:rFonts w:ascii="宋体" w:hAnsi="宋体" w:eastAsia="宋体" w:cs="宋体"/>
          <w:spacing w:val="-8"/>
          <w:sz w:val="24"/>
          <w:szCs w:val="24"/>
        </w:rPr>
        <w:t>施、认真执行环保“三同时”制度的前提下，项目建设对环境影响较小，各污染物均可实</w:t>
      </w:r>
      <w:r>
        <w:rPr>
          <w:rFonts w:ascii="宋体" w:hAnsi="宋体" w:eastAsia="宋体" w:cs="宋体"/>
          <w:spacing w:val="-6"/>
          <w:sz w:val="24"/>
          <w:szCs w:val="24"/>
        </w:rPr>
        <w:t>现稳定达标排放，不会降低当地的环境功能等级，从环境保护的角度，本项目建设可行。</w:t>
      </w:r>
    </w:p>
    <w:p w14:paraId="4F0CEEB8">
      <w:pPr>
        <w:keepNext w:val="0"/>
        <w:keepLines w:val="0"/>
        <w:pageBreakBefore w:val="0"/>
        <w:kinsoku/>
        <w:overflowPunct/>
        <w:autoSpaceDE/>
        <w:autoSpaceDN/>
        <w:bidi w:val="0"/>
        <w:adjustRightInd/>
        <w:snapToGrid/>
        <w:spacing w:line="360" w:lineRule="auto"/>
        <w:ind w:left="0" w:leftChars="0" w:right="0" w:firstLine="0" w:firstLineChars="0"/>
        <w:textAlignment w:val="auto"/>
        <w:outlineLvl w:val="1"/>
        <w:rPr>
          <w:rFonts w:ascii="宋体" w:hAnsi="宋体" w:eastAsia="宋体" w:cs="宋体"/>
          <w:sz w:val="30"/>
          <w:szCs w:val="30"/>
        </w:rPr>
      </w:pPr>
      <w:bookmarkStart w:id="823" w:name="bookmark175"/>
      <w:bookmarkEnd w:id="823"/>
      <w:bookmarkStart w:id="824" w:name="_Toc6097"/>
      <w:r>
        <w:rPr>
          <w:rFonts w:ascii="Times New Roman" w:hAnsi="Times New Roman" w:eastAsia="Times New Roman" w:cs="Times New Roman"/>
          <w:b/>
          <w:bCs/>
          <w:spacing w:val="-6"/>
          <w:sz w:val="30"/>
          <w:szCs w:val="30"/>
        </w:rPr>
        <w:t>10.10</w:t>
      </w:r>
      <w:r>
        <w:rPr>
          <w:rFonts w:ascii="Times New Roman" w:hAnsi="Times New Roman" w:eastAsia="Times New Roman" w:cs="Times New Roman"/>
          <w:b/>
          <w:bCs/>
          <w:spacing w:val="16"/>
          <w:sz w:val="30"/>
          <w:szCs w:val="30"/>
        </w:rPr>
        <w:t xml:space="preserve"> </w:t>
      </w:r>
      <w:r>
        <w:rPr>
          <w:rFonts w:ascii="宋体" w:hAnsi="宋体" w:eastAsia="宋体" w:cs="宋体"/>
          <w:b/>
          <w:bCs/>
          <w:spacing w:val="-6"/>
          <w:sz w:val="30"/>
          <w:szCs w:val="30"/>
        </w:rPr>
        <w:t>建议</w:t>
      </w:r>
      <w:bookmarkEnd w:id="824"/>
    </w:p>
    <w:p w14:paraId="1C7962FE">
      <w:pPr>
        <w:keepNext w:val="0"/>
        <w:keepLines w:val="0"/>
        <w:pageBreakBefore w:val="0"/>
        <w:kinsoku/>
        <w:overflowPunct/>
        <w:autoSpaceDE/>
        <w:autoSpaceDN/>
        <w:bidi w:val="0"/>
        <w:adjustRightInd/>
        <w:snapToGrid/>
        <w:spacing w:line="360" w:lineRule="auto"/>
        <w:ind w:left="0" w:right="0" w:firstLine="369"/>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（1）项目施工必须由具备相关资质的单位承担。在项目建设和封场后管理中，建设</w:t>
      </w:r>
      <w:r>
        <w:rPr>
          <w:rFonts w:hint="default" w:ascii="Times New Roman" w:hAnsi="Times New Roman" w:eastAsia="宋体" w:cs="Times New Roman"/>
          <w:spacing w:val="-1"/>
          <w:sz w:val="24"/>
          <w:szCs w:val="24"/>
        </w:rPr>
        <w:t>单位须严格落实本环评文件要求，加强工程监理。</w:t>
      </w:r>
    </w:p>
    <w:p w14:paraId="58F20ECA">
      <w:pPr>
        <w:keepNext w:val="0"/>
        <w:keepLines w:val="0"/>
        <w:pageBreakBefore w:val="0"/>
        <w:kinsoku/>
        <w:overflowPunct/>
        <w:autoSpaceDE/>
        <w:autoSpaceDN/>
        <w:bidi w:val="0"/>
        <w:adjustRightInd/>
        <w:snapToGrid/>
        <w:spacing w:line="360" w:lineRule="auto"/>
        <w:ind w:left="0" w:right="0" w:firstLine="373"/>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（2）合理安排施工期，严格控制雨季施工作业，禁止暴雨天气开挖、清运等施工作</w:t>
      </w:r>
      <w:r>
        <w:rPr>
          <w:rFonts w:hint="default" w:ascii="Times New Roman" w:hAnsi="Times New Roman" w:eastAsia="宋体" w:cs="Times New Roman"/>
          <w:spacing w:val="-1"/>
          <w:sz w:val="24"/>
          <w:szCs w:val="24"/>
        </w:rPr>
        <w:t>业；做好防漏、防渗、遮挡和拦挡措施，严</w:t>
      </w:r>
      <w:r>
        <w:rPr>
          <w:rFonts w:hint="default" w:ascii="Times New Roman" w:hAnsi="Times New Roman" w:eastAsia="宋体" w:cs="Times New Roman"/>
          <w:spacing w:val="-2"/>
          <w:sz w:val="24"/>
          <w:szCs w:val="24"/>
        </w:rPr>
        <w:t>格按照工程规范对废渣实施清理、运输及处</w:t>
      </w:r>
      <w:r>
        <w:rPr>
          <w:rFonts w:hint="default" w:ascii="Times New Roman" w:hAnsi="Times New Roman" w:eastAsia="宋体" w:cs="Times New Roman"/>
          <w:spacing w:val="-1"/>
          <w:sz w:val="24"/>
          <w:szCs w:val="24"/>
        </w:rPr>
        <w:t>置，明确治理范围，进行彻底全面的清理。</w:t>
      </w:r>
    </w:p>
    <w:p w14:paraId="59CB81FA">
      <w:pPr>
        <w:keepNext w:val="0"/>
        <w:keepLines w:val="0"/>
        <w:pageBreakBefore w:val="0"/>
        <w:widowControl w:val="0"/>
        <w:kinsoku/>
        <w:wordWrap w:val="0"/>
        <w:overflowPunct/>
        <w:topLinePunct w:val="0"/>
        <w:autoSpaceDE/>
        <w:autoSpaceDN/>
        <w:bidi w:val="0"/>
        <w:adjustRightInd/>
        <w:snapToGrid/>
        <w:spacing w:line="360" w:lineRule="auto"/>
        <w:ind w:left="0" w:right="0" w:firstLine="480"/>
        <w:textAlignment w:val="auto"/>
        <w:rPr>
          <w:rFonts w:hint="default" w:ascii="Times New Roman" w:hAnsi="Times New Roman" w:cs="Times New Roman"/>
          <w:color w:val="auto"/>
          <w:highlight w:val="none"/>
          <w:u w:val="none" w:color="auto"/>
          <w:lang w:val="en-US" w:eastAsia="zh-CN"/>
        </w:rPr>
      </w:pPr>
      <w:r>
        <w:rPr>
          <w:rFonts w:hint="default" w:ascii="Times New Roman" w:hAnsi="Times New Roman" w:eastAsia="宋体" w:cs="Times New Roman"/>
          <w:spacing w:val="-2"/>
          <w:sz w:val="24"/>
          <w:szCs w:val="24"/>
        </w:rPr>
        <w:t>（3）</w:t>
      </w:r>
      <w:r>
        <w:rPr>
          <w:rFonts w:hint="eastAsia" w:cs="Times New Roman"/>
          <w:spacing w:val="-2"/>
          <w:sz w:val="24"/>
          <w:szCs w:val="24"/>
          <w:lang w:val="en-US" w:eastAsia="zh-CN"/>
        </w:rPr>
        <w:t>项目</w:t>
      </w:r>
      <w:r>
        <w:rPr>
          <w:rFonts w:hint="default" w:ascii="Times New Roman" w:hAnsi="Times New Roman" w:eastAsia="宋体" w:cs="Times New Roman"/>
          <w:spacing w:val="-2"/>
          <w:sz w:val="24"/>
          <w:szCs w:val="24"/>
        </w:rPr>
        <w:t>建设时，必须委托有资质的单位实施施工期环境监理；严格按照相关标准和规范的要求，做好填埋区底部和边坡防渗；严禁将危险废物、生活垃圾送至本项目建</w:t>
      </w:r>
      <w:r>
        <w:rPr>
          <w:rFonts w:hint="default" w:ascii="Times New Roman" w:hAnsi="Times New Roman" w:eastAsia="宋体" w:cs="Times New Roman"/>
          <w:spacing w:val="-7"/>
          <w:sz w:val="24"/>
          <w:szCs w:val="24"/>
        </w:rPr>
        <w:t>设的一般</w:t>
      </w:r>
      <w:r>
        <w:rPr>
          <w:rFonts w:hint="eastAsia" w:cs="Times New Roman"/>
          <w:spacing w:val="-7"/>
          <w:sz w:val="24"/>
          <w:szCs w:val="24"/>
          <w:lang w:eastAsia="zh-CN"/>
        </w:rPr>
        <w:t>Ⅱ类</w:t>
      </w:r>
      <w:r>
        <w:rPr>
          <w:rFonts w:hint="default" w:ascii="Times New Roman" w:hAnsi="Times New Roman" w:eastAsia="宋体" w:cs="Times New Roman"/>
          <w:spacing w:val="-7"/>
          <w:sz w:val="24"/>
          <w:szCs w:val="24"/>
        </w:rPr>
        <w:t>固废填埋场填埋。</w:t>
      </w:r>
    </w:p>
    <w:p w14:paraId="76F03912">
      <w:pPr>
        <w:keepNext w:val="0"/>
        <w:keepLines w:val="0"/>
        <w:pageBreakBefore w:val="0"/>
        <w:kinsoku/>
        <w:overflowPunct/>
        <w:autoSpaceDE/>
        <w:autoSpaceDN/>
        <w:bidi w:val="0"/>
        <w:adjustRightInd/>
        <w:spacing w:line="360" w:lineRule="auto"/>
        <w:ind w:left="0" w:right="0" w:firstLine="367"/>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4</w:t>
      </w:r>
      <w:r>
        <w:rPr>
          <w:rFonts w:hint="default" w:ascii="Times New Roman" w:hAnsi="Times New Roman" w:eastAsia="宋体" w:cs="Times New Roman"/>
          <w:spacing w:val="-2"/>
          <w:sz w:val="24"/>
          <w:szCs w:val="24"/>
        </w:rPr>
        <w:t>）一般工业固体废物收集、运输、贮存应满足《一般工业固体废物贮存和填埋污</w:t>
      </w:r>
      <w:r>
        <w:rPr>
          <w:rFonts w:hint="default" w:ascii="Times New Roman" w:hAnsi="Times New Roman" w:eastAsia="宋体" w:cs="Times New Roman"/>
          <w:spacing w:val="-1"/>
          <w:sz w:val="24"/>
          <w:szCs w:val="24"/>
        </w:rPr>
        <w:t>染控制标准》（</w:t>
      </w:r>
      <w:r>
        <w:rPr>
          <w:rFonts w:hint="default" w:ascii="Times New Roman" w:hAnsi="Times New Roman" w:eastAsia="Times New Roman" w:cs="Times New Roman"/>
          <w:spacing w:val="-1"/>
          <w:sz w:val="24"/>
          <w:szCs w:val="24"/>
        </w:rPr>
        <w:t>GB18599-2020</w:t>
      </w:r>
      <w:r>
        <w:rPr>
          <w:rFonts w:hint="default" w:ascii="Times New Roman" w:hAnsi="Times New Roman" w:eastAsia="宋体" w:cs="Times New Roman"/>
          <w:spacing w:val="-1"/>
          <w:sz w:val="24"/>
          <w:szCs w:val="24"/>
        </w:rPr>
        <w:t>）要求。</w:t>
      </w:r>
    </w:p>
    <w:p w14:paraId="6C9661A6">
      <w:pPr>
        <w:keepNext w:val="0"/>
        <w:keepLines w:val="0"/>
        <w:pageBreakBefore w:val="0"/>
        <w:kinsoku/>
        <w:overflowPunct/>
        <w:autoSpaceDE/>
        <w:autoSpaceDN/>
        <w:bidi w:val="0"/>
        <w:adjustRightInd/>
        <w:spacing w:line="360" w:lineRule="auto"/>
        <w:ind w:left="0" w:right="0" w:firstLine="372"/>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5</w:t>
      </w:r>
      <w:r>
        <w:rPr>
          <w:rFonts w:hint="default" w:ascii="Times New Roman" w:hAnsi="Times New Roman" w:eastAsia="宋体" w:cs="Times New Roman"/>
          <w:spacing w:val="-2"/>
          <w:sz w:val="24"/>
          <w:szCs w:val="24"/>
        </w:rPr>
        <w:t>）制定施工期间和封场后的环境应急预案，落实各项环境风险防范措施；完善监测方案，密切关注周边地表水、地下水及土壤环境质量变化，合理调整施工期和治理期施工污染防治措施，防止造成二次污染；加强环保设施运行管理与</w:t>
      </w:r>
      <w:r>
        <w:rPr>
          <w:rFonts w:hint="default" w:ascii="Times New Roman" w:hAnsi="Times New Roman" w:eastAsia="宋体" w:cs="Times New Roman"/>
          <w:spacing w:val="-3"/>
          <w:sz w:val="24"/>
          <w:szCs w:val="24"/>
        </w:rPr>
        <w:t>维护。</w:t>
      </w:r>
    </w:p>
    <w:p w14:paraId="4267BABA">
      <w:pPr>
        <w:keepNext w:val="0"/>
        <w:keepLines w:val="0"/>
        <w:pageBreakBefore w:val="0"/>
        <w:kinsoku/>
        <w:overflowPunct/>
        <w:autoSpaceDE/>
        <w:autoSpaceDN/>
        <w:bidi w:val="0"/>
        <w:adjustRightInd/>
        <w:spacing w:line="360" w:lineRule="auto"/>
        <w:ind w:left="0" w:right="0" w:firstLine="372"/>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7"/>
          <w:sz w:val="24"/>
          <w:szCs w:val="24"/>
        </w:rPr>
        <w:t>（</w:t>
      </w:r>
      <w:r>
        <w:rPr>
          <w:rFonts w:hint="default" w:ascii="Times New Roman" w:hAnsi="Times New Roman" w:eastAsia="Times New Roman" w:cs="Times New Roman"/>
          <w:spacing w:val="-7"/>
          <w:sz w:val="24"/>
          <w:szCs w:val="24"/>
        </w:rPr>
        <w:t>6</w:t>
      </w:r>
      <w:r>
        <w:rPr>
          <w:rFonts w:hint="default" w:ascii="Times New Roman" w:hAnsi="Times New Roman" w:eastAsia="宋体" w:cs="Times New Roman"/>
          <w:spacing w:val="-7"/>
          <w:sz w:val="24"/>
          <w:szCs w:val="24"/>
        </w:rPr>
        <w:t>）加强跟踪监测，严格按照要求布设地下水监测井，对地下水位进行动态观测，</w:t>
      </w:r>
      <w:r>
        <w:rPr>
          <w:rFonts w:hint="default" w:ascii="Times New Roman" w:hAnsi="Times New Roman" w:eastAsia="宋体" w:cs="Times New Roman"/>
          <w:spacing w:val="-1"/>
          <w:sz w:val="24"/>
          <w:szCs w:val="24"/>
        </w:rPr>
        <w:t>对地下水质进行定期监测。</w:t>
      </w:r>
    </w:p>
    <w:p w14:paraId="6940F8CA">
      <w:pPr>
        <w:keepNext w:val="0"/>
        <w:keepLines w:val="0"/>
        <w:pageBreakBefore w:val="0"/>
        <w:kinsoku/>
        <w:overflowPunct/>
        <w:autoSpaceDE/>
        <w:autoSpaceDN/>
        <w:bidi w:val="0"/>
        <w:adjustRightInd/>
        <w:spacing w:line="360" w:lineRule="auto"/>
        <w:ind w:left="0" w:right="0" w:firstLine="365"/>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w:t>
      </w:r>
      <w:r>
        <w:rPr>
          <w:rFonts w:hint="default" w:ascii="Times New Roman" w:hAnsi="Times New Roman" w:eastAsia="Times New Roman" w:cs="Times New Roman"/>
          <w:spacing w:val="-2"/>
          <w:sz w:val="24"/>
          <w:szCs w:val="24"/>
        </w:rPr>
        <w:t>7</w:t>
      </w:r>
      <w:r>
        <w:rPr>
          <w:rFonts w:hint="default" w:ascii="Times New Roman" w:hAnsi="Times New Roman" w:eastAsia="宋体" w:cs="Times New Roman"/>
          <w:spacing w:val="-2"/>
          <w:sz w:val="24"/>
          <w:szCs w:val="24"/>
        </w:rPr>
        <w:t>）加强</w:t>
      </w:r>
      <w:r>
        <w:rPr>
          <w:rFonts w:hint="eastAsia" w:cs="Times New Roman"/>
          <w:spacing w:val="-2"/>
          <w:sz w:val="24"/>
          <w:szCs w:val="24"/>
          <w:lang w:val="en-US" w:eastAsia="zh-CN"/>
        </w:rPr>
        <w:t>项目</w:t>
      </w:r>
      <w:r>
        <w:rPr>
          <w:rFonts w:hint="default" w:ascii="Times New Roman" w:hAnsi="Times New Roman" w:eastAsia="宋体" w:cs="Times New Roman"/>
          <w:spacing w:val="-2"/>
          <w:sz w:val="24"/>
          <w:szCs w:val="24"/>
        </w:rPr>
        <w:t>完工后对修建的排水沟、截洪沟、渗滤液收集池和绿化等的日常维护管理；制定渗滤液等转运台账。</w:t>
      </w:r>
    </w:p>
    <w:p w14:paraId="174B9C8D">
      <w:pPr>
        <w:keepNext w:val="0"/>
        <w:keepLines w:val="0"/>
        <w:pageBreakBefore w:val="0"/>
        <w:widowControl w:val="0"/>
        <w:kinsoku/>
        <w:wordWrap/>
        <w:overflowPunct/>
        <w:topLinePunct w:val="0"/>
        <w:autoSpaceDE/>
        <w:autoSpaceDN/>
        <w:bidi w:val="0"/>
        <w:adjustRightInd/>
        <w:snapToGrid/>
        <w:spacing w:line="360" w:lineRule="auto"/>
        <w:ind w:left="0" w:right="0" w:firstLine="365"/>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default" w:ascii="Times New Roman" w:hAnsi="Times New Roman" w:eastAsia="Times New Roman" w:cs="Times New Roman"/>
          <w:sz w:val="24"/>
          <w:szCs w:val="24"/>
        </w:rPr>
        <w:t>8</w:t>
      </w:r>
      <w:r>
        <w:rPr>
          <w:rFonts w:hint="default" w:ascii="Times New Roman" w:hAnsi="Times New Roman" w:eastAsia="宋体" w:cs="Times New Roman"/>
          <w:sz w:val="24"/>
          <w:szCs w:val="24"/>
        </w:rPr>
        <w:t>）封场后一般</w:t>
      </w:r>
      <w:r>
        <w:rPr>
          <w:rFonts w:hint="default" w:ascii="Times New Roman" w:hAnsi="Times New Roman" w:eastAsia="Times New Roman" w:cs="Times New Roman"/>
          <w:sz w:val="24"/>
          <w:szCs w:val="24"/>
        </w:rPr>
        <w:t>Ⅱ</w:t>
      </w:r>
      <w:r>
        <w:rPr>
          <w:rFonts w:hint="default" w:ascii="Times New Roman" w:hAnsi="Times New Roman" w:eastAsia="宋体" w:cs="Times New Roman"/>
          <w:sz w:val="24"/>
          <w:szCs w:val="24"/>
        </w:rPr>
        <w:t>类固废填埋场设立永久性标识，并标明封场时间；项目完工后的</w:t>
      </w:r>
      <w:r>
        <w:rPr>
          <w:rFonts w:hint="default" w:ascii="Times New Roman" w:hAnsi="Times New Roman" w:eastAsia="宋体" w:cs="Times New Roman"/>
          <w:spacing w:val="-1"/>
          <w:sz w:val="24"/>
          <w:szCs w:val="24"/>
        </w:rPr>
        <w:t>治理区未经设计论证和批准，不得重新启用或改作</w:t>
      </w:r>
      <w:r>
        <w:rPr>
          <w:rFonts w:hint="eastAsia" w:cs="Times New Roman"/>
          <w:spacing w:val="-1"/>
          <w:sz w:val="24"/>
          <w:szCs w:val="24"/>
          <w:lang w:eastAsia="zh-CN"/>
        </w:rPr>
        <w:t>他</w:t>
      </w:r>
      <w:r>
        <w:rPr>
          <w:rFonts w:hint="default" w:ascii="Times New Roman" w:hAnsi="Times New Roman" w:eastAsia="宋体" w:cs="Times New Roman"/>
          <w:spacing w:val="-1"/>
          <w:sz w:val="24"/>
          <w:szCs w:val="24"/>
        </w:rPr>
        <w:t>用。</w:t>
      </w:r>
    </w:p>
    <w:p w14:paraId="4D847BC1">
      <w:pPr>
        <w:keepNext w:val="0"/>
        <w:keepLines w:val="0"/>
        <w:pageBreakBefore w:val="0"/>
        <w:widowControl w:val="0"/>
        <w:kinsoku/>
        <w:wordWrap/>
        <w:overflowPunct/>
        <w:topLinePunct w:val="0"/>
        <w:autoSpaceDE/>
        <w:autoSpaceDN/>
        <w:bidi w:val="0"/>
        <w:adjustRightInd/>
        <w:snapToGrid/>
        <w:spacing w:line="360" w:lineRule="auto"/>
        <w:ind w:left="0" w:right="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w:t>
      </w:r>
      <w:r>
        <w:rPr>
          <w:rFonts w:hint="default" w:ascii="Times New Roman" w:hAnsi="Times New Roman" w:eastAsia="Times New Roman" w:cs="Times New Roman"/>
          <w:spacing w:val="-1"/>
          <w:sz w:val="24"/>
          <w:szCs w:val="24"/>
        </w:rPr>
        <w:t>9</w:t>
      </w:r>
      <w:r>
        <w:rPr>
          <w:rFonts w:hint="default" w:ascii="Times New Roman" w:hAnsi="Times New Roman" w:eastAsia="宋体" w:cs="Times New Roman"/>
          <w:spacing w:val="-1"/>
          <w:sz w:val="24"/>
          <w:szCs w:val="24"/>
        </w:rPr>
        <w:t>）本</w:t>
      </w:r>
      <w:r>
        <w:rPr>
          <w:rFonts w:hint="eastAsia" w:cs="Times New Roman"/>
          <w:spacing w:val="-1"/>
          <w:sz w:val="24"/>
          <w:szCs w:val="24"/>
          <w:lang w:val="en-US" w:eastAsia="zh-CN"/>
        </w:rPr>
        <w:t>项目</w:t>
      </w:r>
      <w:r>
        <w:rPr>
          <w:rFonts w:hint="default" w:ascii="Times New Roman" w:hAnsi="Times New Roman" w:eastAsia="宋体" w:cs="Times New Roman"/>
          <w:spacing w:val="-1"/>
          <w:sz w:val="24"/>
          <w:szCs w:val="24"/>
        </w:rPr>
        <w:t>必须严格执行工程竣工环保验收制度。</w:t>
      </w:r>
    </w:p>
    <w:p w14:paraId="5F264344">
      <w:pPr>
        <w:keepNext w:val="0"/>
        <w:keepLines w:val="0"/>
        <w:pageBreakBefore w:val="0"/>
        <w:widowControl w:val="0"/>
        <w:kinsoku/>
        <w:wordWrap/>
        <w:overflowPunct/>
        <w:topLinePunct w:val="0"/>
        <w:autoSpaceDE/>
        <w:autoSpaceDN/>
        <w:bidi w:val="0"/>
        <w:adjustRightInd/>
        <w:snapToGrid/>
        <w:spacing w:line="360" w:lineRule="auto"/>
        <w:ind w:left="0" w:right="0" w:firstLine="37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w:t>
      </w:r>
      <w:r>
        <w:rPr>
          <w:rFonts w:hint="default" w:ascii="Times New Roman" w:hAnsi="Times New Roman" w:eastAsia="Times New Roman" w:cs="Times New Roman"/>
          <w:spacing w:val="1"/>
          <w:sz w:val="24"/>
          <w:szCs w:val="24"/>
        </w:rPr>
        <w:t>10</w:t>
      </w:r>
      <w:r>
        <w:rPr>
          <w:rFonts w:hint="default" w:ascii="Times New Roman" w:hAnsi="Times New Roman" w:eastAsia="宋体" w:cs="Times New Roman"/>
          <w:spacing w:val="1"/>
          <w:sz w:val="24"/>
          <w:szCs w:val="24"/>
        </w:rPr>
        <w:t>）严格执行环境监理制度，参照《环境监测分析方法》、《建设用地土壤污染</w:t>
      </w:r>
      <w:r>
        <w:rPr>
          <w:rFonts w:hint="default" w:ascii="Times New Roman" w:hAnsi="Times New Roman" w:eastAsia="宋体" w:cs="Times New Roman"/>
          <w:spacing w:val="-2"/>
          <w:sz w:val="24"/>
          <w:szCs w:val="24"/>
        </w:rPr>
        <w:t>风险管控和修复监测技术导则》等相关技术规范，并结合实际情况，进行监测布点，确</w:t>
      </w:r>
      <w:r>
        <w:rPr>
          <w:rFonts w:hint="default" w:ascii="Times New Roman" w:hAnsi="Times New Roman" w:eastAsia="宋体" w:cs="Times New Roman"/>
          <w:spacing w:val="-1"/>
          <w:sz w:val="24"/>
          <w:szCs w:val="24"/>
        </w:rPr>
        <w:t>保彻底对本项目区域内的废渣和污染土壤实施清理。</w:t>
      </w:r>
    </w:p>
    <w:p w14:paraId="506E5800">
      <w:pPr>
        <w:keepNext w:val="0"/>
        <w:keepLines w:val="0"/>
        <w:pageBreakBefore w:val="0"/>
        <w:widowControl w:val="0"/>
        <w:kinsoku/>
        <w:wordWrap/>
        <w:overflowPunct/>
        <w:topLinePunct w:val="0"/>
        <w:autoSpaceDE/>
        <w:autoSpaceDN/>
        <w:bidi w:val="0"/>
        <w:adjustRightInd/>
        <w:snapToGrid/>
        <w:spacing w:line="360" w:lineRule="auto"/>
        <w:ind w:left="0" w:right="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w:t>
      </w:r>
      <w:r>
        <w:rPr>
          <w:rFonts w:hint="default" w:ascii="Times New Roman" w:hAnsi="Times New Roman" w:eastAsia="Times New Roman" w:cs="Times New Roman"/>
          <w:spacing w:val="-1"/>
          <w:sz w:val="24"/>
          <w:szCs w:val="24"/>
        </w:rPr>
        <w:t>11</w:t>
      </w:r>
      <w:r>
        <w:rPr>
          <w:rFonts w:hint="default" w:ascii="Times New Roman" w:hAnsi="Times New Roman" w:eastAsia="宋体" w:cs="Times New Roman"/>
          <w:spacing w:val="-1"/>
          <w:sz w:val="24"/>
          <w:szCs w:val="24"/>
        </w:rPr>
        <w:t>）本评价要求施工开挖前应取得相关应急管理部门同意后方可动工。</w:t>
      </w:r>
    </w:p>
    <w:p w14:paraId="0E8821C3">
      <w:pPr>
        <w:keepNext w:val="0"/>
        <w:keepLines w:val="0"/>
        <w:pageBreakBefore w:val="0"/>
        <w:widowControl w:val="0"/>
        <w:kinsoku/>
        <w:wordWrap/>
        <w:overflowPunct/>
        <w:topLinePunct w:val="0"/>
        <w:autoSpaceDE/>
        <w:autoSpaceDN/>
        <w:bidi w:val="0"/>
        <w:adjustRightInd/>
        <w:snapToGrid/>
        <w:spacing w:line="360" w:lineRule="auto"/>
        <w:ind w:left="0" w:right="0" w:firstLine="370"/>
        <w:textAlignment w:val="auto"/>
        <w:rPr>
          <w:rFonts w:hint="eastAsia" w:eastAsia="宋体"/>
          <w:lang w:eastAsia="zh-CN"/>
        </w:rPr>
      </w:pPr>
      <w:r>
        <w:rPr>
          <w:rFonts w:hint="default" w:ascii="Times New Roman" w:hAnsi="Times New Roman" w:eastAsia="宋体" w:cs="Times New Roman"/>
          <w:spacing w:val="1"/>
          <w:sz w:val="24"/>
          <w:szCs w:val="24"/>
        </w:rPr>
        <w:t>（</w:t>
      </w:r>
      <w:r>
        <w:rPr>
          <w:rFonts w:hint="default" w:ascii="Times New Roman" w:hAnsi="Times New Roman" w:eastAsia="Times New Roman" w:cs="Times New Roman"/>
          <w:spacing w:val="1"/>
          <w:sz w:val="24"/>
          <w:szCs w:val="24"/>
        </w:rPr>
        <w:t>12</w:t>
      </w:r>
      <w:r>
        <w:rPr>
          <w:rFonts w:hint="default" w:ascii="Times New Roman" w:hAnsi="Times New Roman" w:eastAsia="宋体" w:cs="Times New Roman"/>
          <w:spacing w:val="1"/>
          <w:sz w:val="24"/>
          <w:szCs w:val="24"/>
        </w:rPr>
        <w:t>）在</w:t>
      </w:r>
      <w:r>
        <w:rPr>
          <w:rFonts w:hint="eastAsia" w:cs="Times New Roman"/>
          <w:spacing w:val="1"/>
          <w:sz w:val="24"/>
          <w:szCs w:val="24"/>
          <w:lang w:val="en-US" w:eastAsia="zh-CN"/>
        </w:rPr>
        <w:t>项目</w:t>
      </w:r>
      <w:r>
        <w:rPr>
          <w:rFonts w:hint="default" w:ascii="Times New Roman" w:hAnsi="Times New Roman" w:eastAsia="宋体" w:cs="Times New Roman"/>
          <w:spacing w:val="1"/>
          <w:sz w:val="24"/>
          <w:szCs w:val="24"/>
        </w:rPr>
        <w:t>施工过程中，应注意对周围水环境、生态环境、大气环境、声环境的</w:t>
      </w:r>
      <w:r>
        <w:rPr>
          <w:rFonts w:hint="default" w:ascii="Times New Roman" w:hAnsi="Times New Roman" w:eastAsia="宋体" w:cs="Times New Roman"/>
          <w:spacing w:val="-1"/>
          <w:sz w:val="24"/>
          <w:szCs w:val="24"/>
        </w:rPr>
        <w:t>保护，尽量减轻工程施工对周边环境及当地居民生活的影响</w:t>
      </w:r>
      <w:r>
        <w:rPr>
          <w:rFonts w:hint="eastAsia" w:cs="Times New Roman"/>
          <w:spacing w:val="-1"/>
          <w:sz w:val="24"/>
          <w:szCs w:val="24"/>
          <w:lang w:eastAsia="zh-CN"/>
        </w:rPr>
        <w:t>。</w:t>
      </w:r>
    </w:p>
    <w:sectPr>
      <w:headerReference r:id="rId17" w:type="default"/>
      <w:footerReference r:id="rId18" w:type="default"/>
      <w:pgSz w:w="11906" w:h="16838"/>
      <w:pgMar w:top="1417" w:right="1417" w:bottom="1417" w:left="1417" w:header="851" w:footer="992" w:gutter="0"/>
      <w:pgBorders>
        <w:top w:val="none" w:sz="0" w:space="0"/>
        <w:left w:val="none" w:sz="0" w:space="0"/>
        <w:bottom w:val="none" w:sz="0" w:space="0"/>
        <w:right w:val="none" w:sz="0" w:space="0"/>
      </w:pgBorders>
      <w:pgNumType w:fmt="decimal"/>
      <w:cols w:space="720" w:num="1"/>
      <w:docGrid w:type="lines" w:linePitch="333"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roman"/>
    <w:pitch w:val="default"/>
    <w:sig w:usb0="00000000" w:usb1="00000000" w:usb2="0000003F" w:usb3="00000000" w:csb0="603F01FF" w:csb1="FFFF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auto"/>
    <w:pitch w:val="default"/>
    <w:sig w:usb0="00000203" w:usb1="288F0000" w:usb2="00000006" w:usb3="00000000" w:csb0="00040001" w:csb1="00000000"/>
  </w:font>
  <w:font w:name="Microsoft JhengHei">
    <w:panose1 w:val="020B0604030504040204"/>
    <w:charset w:val="88"/>
    <w:family w:val="auto"/>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0E4EFB">
    <w:pPr>
      <w:pStyle w:val="21"/>
      <w:spacing w:line="14" w:lineRule="auto"/>
      <w:ind w:firstLine="400"/>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C3E421">
    <w:pPr>
      <w:pStyle w:val="21"/>
      <w:spacing w:line="14" w:lineRule="auto"/>
      <w:ind w:firstLine="400"/>
      <w:rPr>
        <w:sz w:val="20"/>
      </w:rPr>
    </w:pPr>
    <w:r>
      <w:rPr>
        <w:sz w:val="20"/>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552BFA">
                          <w:pPr>
                            <w:pStyle w:val="31"/>
                          </w:pPr>
                          <w:r>
                            <w:fldChar w:fldCharType="begin"/>
                          </w:r>
                          <w:r>
                            <w:instrText xml:space="preserve"> PAGE  \* MERGEFORMAT </w:instrText>
                          </w:r>
                          <w:r>
                            <w:fldChar w:fldCharType="separate"/>
                          </w:r>
                          <w:r>
                            <w:t>CCXXV</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DTdpA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DTdpAzAgAAYwQAAA4AAAAAAAAAAQAgAAAAHwEAAGRycy9lMm9Eb2MueG1sUEsF&#10;BgAAAAAGAAYAWQEAAMQFAAAAAA==&#10;">
              <v:fill on="f" focussize="0,0"/>
              <v:stroke on="f" weight="0.5pt"/>
              <v:imagedata o:title=""/>
              <o:lock v:ext="edit" aspectratio="f"/>
              <v:textbox inset="0mm,0mm,0mm,0mm" style="mso-fit-shape-to-text:t;">
                <w:txbxContent>
                  <w:p w14:paraId="10552BFA">
                    <w:pPr>
                      <w:pStyle w:val="31"/>
                    </w:pPr>
                    <w:r>
                      <w:fldChar w:fldCharType="begin"/>
                    </w:r>
                    <w:r>
                      <w:instrText xml:space="preserve"> PAGE  \* MERGEFORMAT </w:instrText>
                    </w:r>
                    <w:r>
                      <w:fldChar w:fldCharType="separate"/>
                    </w:r>
                    <w:r>
                      <w:t>CCXXV</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B1A530">
    <w:pPr>
      <w:pStyle w:val="21"/>
      <w:spacing w:line="14" w:lineRule="auto"/>
      <w:ind w:firstLine="400"/>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36195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361950" cy="1828800"/>
                      </a:xfrm>
                      <a:prstGeom prst="rect">
                        <a:avLst/>
                      </a:prstGeom>
                      <a:noFill/>
                      <a:ln>
                        <a:noFill/>
                      </a:ln>
                    </wps:spPr>
                    <wps:txbx>
                      <w:txbxContent>
                        <w:p w14:paraId="172C1FC8">
                          <w:pPr>
                            <w:pStyle w:val="31"/>
                          </w:pPr>
                          <w:r>
                            <w:fldChar w:fldCharType="begin"/>
                          </w:r>
                          <w:r>
                            <w:instrText xml:space="preserve"> PAGE  \* MERGEFORMAT </w:instrText>
                          </w:r>
                          <w:r>
                            <w:fldChar w:fldCharType="separate"/>
                          </w:r>
                          <w:r>
                            <w:t>2</w:t>
                          </w:r>
                          <w:r>
                            <w:fldChar w:fldCharType="end"/>
                          </w:r>
                        </w:p>
                      </w:txbxContent>
                    </wps:txbx>
                    <wps:bodyPr wrap="square" lIns="0" tIns="0" rIns="0" bIns="0" upright="0">
                      <a:spAutoFit/>
                    </wps:bodyPr>
                  </wps:wsp>
                </a:graphicData>
              </a:graphic>
            </wp:anchor>
          </w:drawing>
        </mc:Choice>
        <mc:Fallback>
          <w:pict>
            <v:shape id="_x0000_s1026" o:spid="_x0000_s1026" o:spt="202" type="#_x0000_t202" style="position:absolute;left:0pt;margin-top:0pt;height:144pt;width:28.5pt;mso-position-horizontal:center;mso-position-horizontal-relative:margin;z-index:251661312;mso-width-relative:page;mso-height-relative:page;" filled="f" stroked="f" coordsize="21600,21600" o:gfxdata="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J9UakPRAAAABAEAAA8AAAAAAAAAAQAgAAAAIgAAAGRycy9k&#10;b3ducmV2LnhtbFBLAQIUABQAAAAIAIdO4kCE3KHT0AEAAJwDAAAOAAAAAAAAAAEAIAAAACABAABk&#10;cnMvZTJvRG9jLnhtbFBLBQYAAAAABgAGAFkBAABiBQAAAAA=&#10;">
              <v:fill on="f" focussize="0,0"/>
              <v:stroke on="f"/>
              <v:imagedata o:title=""/>
              <o:lock v:ext="edit" aspectratio="f"/>
              <v:textbox inset="0mm,0mm,0mm,0mm" style="mso-fit-shape-to-text:t;">
                <w:txbxContent>
                  <w:p w14:paraId="172C1FC8">
                    <w:pPr>
                      <w:pStyle w:val="3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EFD1C">
    <w:pPr>
      <w:pStyle w:val="21"/>
      <w:spacing w:line="14" w:lineRule="auto"/>
      <w:ind w:firstLine="400"/>
      <w:rPr>
        <w:sz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FE5CA5">
                          <w:pPr>
                            <w:pStyle w:val="31"/>
                          </w:pPr>
                          <w:r>
                            <w:fldChar w:fldCharType="begin"/>
                          </w:r>
                          <w:r>
                            <w:instrText xml:space="preserve"> PAGE  \* MERGEFORMAT </w:instrText>
                          </w:r>
                          <w:r>
                            <w:fldChar w:fldCharType="separate"/>
                          </w:r>
                          <w:r>
                            <w:t>27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0AFE5CA5">
                    <w:pPr>
                      <w:pStyle w:val="31"/>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E78146">
    <w:pPr>
      <w:pStyle w:val="21"/>
      <w:spacing w:line="14" w:lineRule="auto"/>
      <w:ind w:firstLine="400"/>
      <w:rPr>
        <w:sz w:val="20"/>
      </w:rPr>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1552D7">
                          <w:pPr>
                            <w:pStyle w:val="31"/>
                          </w:pPr>
                          <w:r>
                            <w:fldChar w:fldCharType="begin"/>
                          </w:r>
                          <w:r>
                            <w:instrText xml:space="preserve"> PAGE  \* MERGEFORMAT </w:instrText>
                          </w:r>
                          <w:r>
                            <w:fldChar w:fldCharType="separate"/>
                          </w:r>
                          <w:r>
                            <w:t>XLIX</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1F1552D7">
                    <w:pPr>
                      <w:pStyle w:val="31"/>
                    </w:pPr>
                    <w:r>
                      <w:fldChar w:fldCharType="begin"/>
                    </w:r>
                    <w:r>
                      <w:instrText xml:space="preserve"> PAGE  \* MERGEFORMAT </w:instrText>
                    </w:r>
                    <w:r>
                      <w:fldChar w:fldCharType="separate"/>
                    </w:r>
                    <w:r>
                      <w:t>XLIX</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C4FD42">
    <w:pPr>
      <w:pStyle w:val="21"/>
      <w:spacing w:line="14" w:lineRule="auto"/>
      <w:ind w:firstLine="400"/>
      <w:rPr>
        <w:sz w:val="20"/>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410256">
                          <w:pPr>
                            <w:pStyle w:val="31"/>
                          </w:pPr>
                          <w:r>
                            <w:fldChar w:fldCharType="begin"/>
                          </w:r>
                          <w:r>
                            <w:instrText xml:space="preserve"> PAGE  \* MERGEFORMAT </w:instrText>
                          </w:r>
                          <w:r>
                            <w:fldChar w:fldCharType="separate"/>
                          </w:r>
                          <w:r>
                            <w:t>LI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1D410256">
                    <w:pPr>
                      <w:pStyle w:val="31"/>
                    </w:pPr>
                    <w:r>
                      <w:fldChar w:fldCharType="begin"/>
                    </w:r>
                    <w:r>
                      <w:instrText xml:space="preserve"> PAGE  \* MERGEFORMAT </w:instrText>
                    </w:r>
                    <w:r>
                      <w:fldChar w:fldCharType="separate"/>
                    </w:r>
                    <w:r>
                      <w:t>LI</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DD15EA">
    <w:pPr>
      <w:pStyle w:val="21"/>
      <w:spacing w:line="14" w:lineRule="auto"/>
      <w:ind w:firstLine="400"/>
      <w:rPr>
        <w:sz w:val="20"/>
      </w:rPr>
    </w:pPr>
    <w:r>
      <w:rPr>
        <w:sz w:val="20"/>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48CC64">
                          <w:pPr>
                            <w:pStyle w:val="31"/>
                          </w:pPr>
                          <w:r>
                            <w:fldChar w:fldCharType="begin"/>
                          </w:r>
                          <w:r>
                            <w:instrText xml:space="preserve"> PAGE  \* MERGEFORMAT </w:instrText>
                          </w:r>
                          <w:r>
                            <w:fldChar w:fldCharType="separate"/>
                          </w:r>
                          <w:r>
                            <w:t>146</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14:paraId="1C48CC64">
                    <w:pPr>
                      <w:pStyle w:val="31"/>
                    </w:pPr>
                    <w:r>
                      <w:fldChar w:fldCharType="begin"/>
                    </w:r>
                    <w:r>
                      <w:instrText xml:space="preserve"> PAGE  \* MERGEFORMAT </w:instrText>
                    </w:r>
                    <w:r>
                      <w:fldChar w:fldCharType="separate"/>
                    </w:r>
                    <w:r>
                      <w:t>146</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17D98">
    <w:pPr>
      <w:pStyle w:val="21"/>
      <w:spacing w:line="14" w:lineRule="auto"/>
      <w:ind w:firstLine="400"/>
      <w:rPr>
        <w:sz w:val="20"/>
      </w:rPr>
    </w:pPr>
    <w:r>
      <w:rPr>
        <w:sz w:val="20"/>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1D3D39">
                          <w:pPr>
                            <w:pStyle w:val="31"/>
                          </w:pPr>
                          <w:r>
                            <w:fldChar w:fldCharType="begin"/>
                          </w:r>
                          <w:r>
                            <w:instrText xml:space="preserve"> PAGE  \* MERGEFORMAT </w:instrText>
                          </w:r>
                          <w:r>
                            <w:fldChar w:fldCharType="separate"/>
                          </w:r>
                          <w:r>
                            <w:t>CXII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14:paraId="211D3D39">
                    <w:pPr>
                      <w:pStyle w:val="31"/>
                    </w:pPr>
                    <w:r>
                      <w:fldChar w:fldCharType="begin"/>
                    </w:r>
                    <w:r>
                      <w:instrText xml:space="preserve"> PAGE  \* MERGEFORMAT </w:instrText>
                    </w:r>
                    <w:r>
                      <w:fldChar w:fldCharType="separate"/>
                    </w:r>
                    <w:r>
                      <w:t>CXII</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2C4A3">
    <w:pPr>
      <w:spacing w:line="186" w:lineRule="auto"/>
      <w:ind w:left="3690" w:leftChars="1757" w:firstLine="360"/>
      <w:rPr>
        <w:rFonts w:eastAsia="Times New Roman"/>
        <w:sz w:val="18"/>
        <w:szCs w:val="18"/>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47326AD">
                          <w:pPr>
                            <w:ind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198</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SLWczAgAAZQQAAA4AAAAAAAAAAQAgAAAAHwEAAGRycy9lMm9Eb2MueG1sUEsF&#10;BgAAAAAGAAYAWQEAAMQFAAAAAA==&#10;">
              <v:fill on="f" focussize="0,0"/>
              <v:stroke on="f" weight="0.5pt"/>
              <v:imagedata o:title=""/>
              <o:lock v:ext="edit" aspectratio="f"/>
              <v:textbox inset="0mm,0mm,0mm,0mm" style="mso-fit-shape-to-text:t;">
                <w:txbxContent>
                  <w:p w14:paraId="547326AD">
                    <w:pPr>
                      <w:ind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198</w:t>
                    </w:r>
                    <w:r>
                      <w:rPr>
                        <w:sz w:val="21"/>
                        <w:szCs w:val="21"/>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E195A">
    <w:pPr>
      <w:pStyle w:val="21"/>
      <w:spacing w:line="14" w:lineRule="auto"/>
      <w:ind w:firstLine="400"/>
      <w:rPr>
        <w:sz w:val="20"/>
      </w:rPr>
    </w:pPr>
    <w:r>
      <w:rPr>
        <w:sz w:val="20"/>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3175E4">
                          <w:pPr>
                            <w:pStyle w:val="31"/>
                          </w:pPr>
                          <w:r>
                            <w:fldChar w:fldCharType="begin"/>
                          </w:r>
                          <w:r>
                            <w:instrText xml:space="preserve"> PAGE  \* MERGEFORMAT </w:instrText>
                          </w:r>
                          <w:r>
                            <w:fldChar w:fldCharType="separate"/>
                          </w:r>
                          <w:r>
                            <w:t>CLXVI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14:paraId="083175E4">
                    <w:pPr>
                      <w:pStyle w:val="31"/>
                    </w:pPr>
                    <w:r>
                      <w:fldChar w:fldCharType="begin"/>
                    </w:r>
                    <w:r>
                      <w:instrText xml:space="preserve"> PAGE  \* MERGEFORMAT </w:instrText>
                    </w:r>
                    <w:r>
                      <w:fldChar w:fldCharType="separate"/>
                    </w:r>
                    <w:r>
                      <w:t>CLXVI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93E199">
    <w:pPr>
      <w:pStyle w:val="21"/>
      <w:spacing w:line="14" w:lineRule="auto"/>
      <w:ind w:firstLine="400"/>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47267">
    <w:pPr>
      <w:spacing w:before="59" w:line="218" w:lineRule="auto"/>
      <w:ind w:left="0" w:leftChars="0" w:firstLine="0" w:firstLineChars="0"/>
      <w:jc w:val="center"/>
      <w:rPr>
        <w:rFonts w:ascii="宋体" w:hAnsi="宋体" w:eastAsia="宋体" w:cs="宋体"/>
        <w:sz w:val="22"/>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9718E">
    <w:pPr>
      <w:spacing w:before="59" w:line="218" w:lineRule="auto"/>
      <w:ind w:left="0" w:leftChars="0" w:firstLine="0" w:firstLineChars="0"/>
      <w:jc w:val="center"/>
      <w:rPr>
        <w:rFonts w:ascii="宋体" w:hAnsi="宋体" w:eastAsia="宋体" w:cs="宋体"/>
        <w:sz w:val="22"/>
        <w:szCs w:val="2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E1180A">
    <w:pPr>
      <w:pStyle w:val="21"/>
      <w:spacing w:line="14" w:lineRule="auto"/>
      <w:ind w:firstLine="480"/>
      <w:rPr>
        <w:sz w:val="20"/>
      </w:rPr>
    </w:pPr>
    <w:r>
      <w:rPr>
        <w:lang w:val="en-US" w:bidi="ar-SA"/>
      </w:rPr>
      <mc:AlternateContent>
        <mc:Choice Requires="wps">
          <w:drawing>
            <wp:anchor distT="0" distB="0" distL="114300" distR="114300" simplePos="0" relativeHeight="251660288" behindDoc="1" locked="0" layoutInCell="1" allowOverlap="1">
              <wp:simplePos x="0" y="0"/>
              <wp:positionH relativeFrom="page">
                <wp:posOffset>1576705</wp:posOffset>
              </wp:positionH>
              <wp:positionV relativeFrom="page">
                <wp:posOffset>528320</wp:posOffset>
              </wp:positionV>
              <wp:extent cx="4645660" cy="225425"/>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4645660" cy="225425"/>
                      </a:xfrm>
                      <a:prstGeom prst="rect">
                        <a:avLst/>
                      </a:prstGeom>
                      <a:noFill/>
                      <a:ln>
                        <a:noFill/>
                      </a:ln>
                      <a:effectLst/>
                    </wps:spPr>
                    <wps:txbx>
                      <w:txbxContent>
                        <w:p w14:paraId="04AB5D69">
                          <w:pPr>
                            <w:ind w:firstLine="480"/>
                          </w:pPr>
                        </w:p>
                      </w:txbxContent>
                    </wps:txbx>
                    <wps:bodyPr wrap="square" lIns="0" tIns="0" rIns="0" bIns="0" upright="1"/>
                  </wps:wsp>
                </a:graphicData>
              </a:graphic>
            </wp:anchor>
          </w:drawing>
        </mc:Choice>
        <mc:Fallback>
          <w:pict>
            <v:shape id="_x0000_s1026" o:spid="_x0000_s1026" o:spt="202" type="#_x0000_t202" style="position:absolute;left:0pt;margin-left:124.15pt;margin-top:41.6pt;height:17.75pt;width:365.8pt;mso-position-horizontal-relative:page;mso-position-vertical-relative:page;z-index:-251656192;mso-width-relative:page;mso-height-relative:page;" filled="f" stroked="f" coordsize="21600,21600" o:gfxdata="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YxTFe9kAAAAKAQAADwAAAAAAAAABACAAAAAiAAAAZHJz&#10;L2Rvd25yZXYueG1sUEsBAhQAFAAAAAgAh07iQKae+IzKAQAAkgMAAA4AAAAAAAAAAQAgAAAAKAEA&#10;AGRycy9lMm9Eb2MueG1sUEsFBgAAAAAGAAYAWQEAAGQFAAAAAA==&#10;">
              <v:fill on="f" focussize="0,0"/>
              <v:stroke on="f"/>
              <v:imagedata o:title=""/>
              <o:lock v:ext="edit" aspectratio="f"/>
              <v:textbox inset="0mm,0mm,0mm,0mm">
                <w:txbxContent>
                  <w:p w14:paraId="04AB5D69">
                    <w:pPr>
                      <w:ind w:firstLine="480"/>
                    </w:pP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120784"/>
    <w:multiLevelType w:val="multilevel"/>
    <w:tmpl w:val="AB120784"/>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1535" w:hanging="575"/>
      </w:pPr>
      <w:rPr>
        <w:rFonts w:hint="default"/>
      </w:rPr>
    </w:lvl>
    <w:lvl w:ilvl="2" w:tentative="0">
      <w:start w:val="1"/>
      <w:numFmt w:val="decimal"/>
      <w:pStyle w:val="4"/>
      <w:lvlText w:val="%1.%2.%3."/>
      <w:lvlJc w:val="left"/>
      <w:pPr>
        <w:ind w:left="2138" w:hanging="720"/>
      </w:pPr>
      <w:rPr>
        <w:rFonts w:hint="default"/>
      </w:rPr>
    </w:lvl>
    <w:lvl w:ilvl="3" w:tentative="0">
      <w:start w:val="1"/>
      <w:numFmt w:val="decimal"/>
      <w:pStyle w:val="5"/>
      <w:lvlText w:val="%1.%2.%3.%4."/>
      <w:lvlJc w:val="left"/>
      <w:pPr>
        <w:ind w:left="2780" w:hanging="864"/>
      </w:pPr>
      <w:rPr>
        <w:rFonts w:hint="default"/>
      </w:rPr>
    </w:lvl>
    <w:lvl w:ilvl="4" w:tentative="0">
      <w:start w:val="1"/>
      <w:numFmt w:val="decimal"/>
      <w:pStyle w:val="6"/>
      <w:lvlText w:val="%1.%2.%3.%4.%5."/>
      <w:lvlJc w:val="left"/>
      <w:pPr>
        <w:ind w:left="292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
    <w:nsid w:val="DEE42EF0"/>
    <w:multiLevelType w:val="singleLevel"/>
    <w:tmpl w:val="DEE42EF0"/>
    <w:lvl w:ilvl="0" w:tentative="0">
      <w:start w:val="1"/>
      <w:numFmt w:val="decimal"/>
      <w:suff w:val="nothing"/>
      <w:lvlText w:val="%1）"/>
      <w:lvlJc w:val="left"/>
    </w:lvl>
  </w:abstractNum>
  <w:abstractNum w:abstractNumId="2">
    <w:nsid w:val="F23EDD61"/>
    <w:multiLevelType w:val="singleLevel"/>
    <w:tmpl w:val="F23EDD61"/>
    <w:lvl w:ilvl="0" w:tentative="0">
      <w:start w:val="1"/>
      <w:numFmt w:val="decimal"/>
      <w:suff w:val="nothing"/>
      <w:lvlText w:val="（%1）"/>
      <w:lvlJc w:val="left"/>
    </w:lvl>
  </w:abstractNum>
  <w:abstractNum w:abstractNumId="3">
    <w:nsid w:val="00000006"/>
    <w:multiLevelType w:val="multilevel"/>
    <w:tmpl w:val="00000006"/>
    <w:lvl w:ilvl="0" w:tentative="0">
      <w:start w:val="1"/>
      <w:numFmt w:val="lowerLetter"/>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172"/>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30D474E1"/>
    <w:multiLevelType w:val="singleLevel"/>
    <w:tmpl w:val="30D474E1"/>
    <w:lvl w:ilvl="0" w:tentative="0">
      <w:start w:val="1"/>
      <w:numFmt w:val="decimal"/>
      <w:lvlText w:val="（%1）"/>
      <w:lvlJc w:val="left"/>
      <w:pPr>
        <w:tabs>
          <w:tab w:val="left" w:pos="1134"/>
        </w:tabs>
        <w:ind w:left="0" w:firstLine="40"/>
      </w:pPr>
      <w:rPr>
        <w:rFonts w:hint="default"/>
        <w:sz w:val="24"/>
        <w:szCs w:val="24"/>
      </w:rPr>
    </w:lvl>
  </w:abstractNum>
  <w:abstractNum w:abstractNumId="5">
    <w:nsid w:val="35A1287C"/>
    <w:multiLevelType w:val="multilevel"/>
    <w:tmpl w:val="35A1287C"/>
    <w:lvl w:ilvl="0" w:tentative="0">
      <w:start w:val="1"/>
      <w:numFmt w:val="decimal"/>
      <w:pStyle w:val="138"/>
      <w:lvlText w:val="%1"/>
      <w:lvlJc w:val="left"/>
      <w:pPr>
        <w:ind w:left="425" w:hanging="425"/>
      </w:pPr>
      <w:rPr>
        <w:rFonts w:hint="eastAsia"/>
      </w:rPr>
    </w:lvl>
    <w:lvl w:ilvl="1" w:tentative="0">
      <w:start w:val="1"/>
      <w:numFmt w:val="decimal"/>
      <w:pStyle w:val="137"/>
      <w:lvlText w:val="%1.%2"/>
      <w:lvlJc w:val="left"/>
      <w:pPr>
        <w:ind w:left="567" w:hanging="567"/>
      </w:pPr>
      <w:rPr>
        <w:rFonts w:hint="default"/>
      </w:rPr>
    </w:lvl>
    <w:lvl w:ilvl="2" w:tentative="0">
      <w:start w:val="1"/>
      <w:numFmt w:val="decimal"/>
      <w:pStyle w:val="136"/>
      <w:lvlText w:val="%1.%2.%3"/>
      <w:lvlJc w:val="left"/>
      <w:pPr>
        <w:ind w:left="680" w:hanging="680"/>
      </w:pPr>
      <w:rPr>
        <w:rFonts w:hint="eastAsia"/>
      </w:rPr>
    </w:lvl>
    <w:lvl w:ilvl="3" w:tentative="0">
      <w:start w:val="1"/>
      <w:numFmt w:val="decimal"/>
      <w:pStyle w:val="149"/>
      <w:lvlText w:val="%1.%2.%3.%4"/>
      <w:lvlJc w:val="left"/>
      <w:pPr>
        <w:ind w:left="708" w:hanging="708"/>
      </w:pPr>
      <w:rPr>
        <w:rFonts w:hint="default"/>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6">
    <w:nsid w:val="36970A70"/>
    <w:multiLevelType w:val="multilevel"/>
    <w:tmpl w:val="36970A70"/>
    <w:lvl w:ilvl="0" w:tentative="0">
      <w:start w:val="1"/>
      <w:numFmt w:val="decimal"/>
      <w:pStyle w:val="160"/>
      <w:lvlText w:val="表%1 "/>
      <w:lvlJc w:val="left"/>
      <w:pPr>
        <w:ind w:left="4105" w:hanging="420"/>
      </w:pPr>
      <w:rPr>
        <w:rFonts w:hint="default" w:ascii="Times New Roman" w:hAnsi="Times New Roman" w:cs="Times New Roman"/>
        <w:b/>
        <w:bCs/>
        <w:i w:val="0"/>
        <w:iCs w:val="0"/>
        <w:caps w:val="0"/>
        <w:smallCaps w:val="0"/>
        <w:strike w:val="0"/>
        <w:dstrike w:val="0"/>
        <w:vanish w:val="0"/>
        <w:color w:val="000000"/>
        <w:spacing w:val="0"/>
        <w:position w:val="0"/>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52D5DF9A"/>
    <w:multiLevelType w:val="singleLevel"/>
    <w:tmpl w:val="52D5DF9A"/>
    <w:lvl w:ilvl="0" w:tentative="0">
      <w:start w:val="1"/>
      <w:numFmt w:val="decimal"/>
      <w:suff w:val="nothing"/>
      <w:lvlText w:val="%1）"/>
      <w:lvlJc w:val="left"/>
    </w:lvl>
  </w:abstractNum>
  <w:abstractNum w:abstractNumId="8">
    <w:nsid w:val="6366D3B1"/>
    <w:multiLevelType w:val="singleLevel"/>
    <w:tmpl w:val="6366D3B1"/>
    <w:lvl w:ilvl="0" w:tentative="0">
      <w:start w:val="1"/>
      <w:numFmt w:val="bullet"/>
      <w:pStyle w:val="23"/>
      <w:lvlText w:val=""/>
      <w:lvlJc w:val="left"/>
      <w:pPr>
        <w:tabs>
          <w:tab w:val="left" w:pos="780"/>
        </w:tabs>
        <w:ind w:left="780" w:hanging="360"/>
      </w:pPr>
      <w:rPr>
        <w:rFonts w:hint="default" w:ascii="Wingdings" w:hAnsi="Wingdings"/>
      </w:rPr>
    </w:lvl>
  </w:abstractNum>
  <w:abstractNum w:abstractNumId="9">
    <w:nsid w:val="6605A82E"/>
    <w:multiLevelType w:val="singleLevel"/>
    <w:tmpl w:val="6605A82E"/>
    <w:lvl w:ilvl="0" w:tentative="0">
      <w:start w:val="1"/>
      <w:numFmt w:val="decimal"/>
      <w:suff w:val="nothing"/>
      <w:lvlText w:val="（%1）"/>
      <w:lvlJc w:val="left"/>
    </w:lvl>
  </w:abstractNum>
  <w:abstractNum w:abstractNumId="10">
    <w:nsid w:val="70791EA5"/>
    <w:multiLevelType w:val="multilevel"/>
    <w:tmpl w:val="70791EA5"/>
    <w:lvl w:ilvl="0" w:tentative="0">
      <w:start w:val="1"/>
      <w:numFmt w:val="decimal"/>
      <w:suff w:val="space"/>
      <w:lvlText w:val="%1."/>
      <w:lvlJc w:val="left"/>
      <w:pPr>
        <w:ind w:left="0" w:firstLine="0"/>
      </w:pPr>
      <w:rPr>
        <w:rFonts w:hint="eastAsia"/>
      </w:rPr>
    </w:lvl>
    <w:lvl w:ilvl="1" w:tentative="0">
      <w:start w:val="1"/>
      <w:numFmt w:val="decimal"/>
      <w:pStyle w:val="148"/>
      <w:suff w:val="space"/>
      <w:lvlText w:val="%1.%2"/>
      <w:lvlJc w:val="left"/>
      <w:pPr>
        <w:ind w:left="0" w:firstLine="0"/>
      </w:pPr>
      <w:rPr>
        <w:rFonts w:hint="eastAsia"/>
      </w:rPr>
    </w:lvl>
    <w:lvl w:ilvl="2" w:tentative="0">
      <w:start w:val="1"/>
      <w:numFmt w:val="decimal"/>
      <w:pStyle w:val="145"/>
      <w:suff w:val="space"/>
      <w:lvlText w:val="%1.%2.%3"/>
      <w:lvlJc w:val="left"/>
      <w:pPr>
        <w:ind w:left="0" w:firstLine="0"/>
      </w:pPr>
      <w:rPr>
        <w:rFonts w:hint="eastAsia"/>
      </w:rPr>
    </w:lvl>
    <w:lvl w:ilvl="3" w:tentative="0">
      <w:start w:val="1"/>
      <w:numFmt w:val="decimal"/>
      <w:lvlRestart w:val="2"/>
      <w:pStyle w:val="146"/>
      <w:suff w:val="space"/>
      <w:lvlText w:val="表%1.%2-%4    "/>
      <w:lvlJc w:val="left"/>
      <w:pPr>
        <w:ind w:left="3600" w:firstLine="0"/>
      </w:pPr>
      <w:rPr>
        <w:rFonts w:hint="default"/>
        <w:b/>
        <w:bCs/>
        <w:color w:val="auto"/>
        <w:sz w:val="21"/>
        <w:szCs w:val="21"/>
      </w:rPr>
    </w:lvl>
    <w:lvl w:ilvl="4" w:tentative="0">
      <w:start w:val="1"/>
      <w:numFmt w:val="decimal"/>
      <w:lvlRestart w:val="3"/>
      <w:suff w:val="space"/>
      <w:lvlText w:val="%1.%2.%3.%5"/>
      <w:lvlJc w:val="left"/>
      <w:pPr>
        <w:ind w:left="0" w:firstLine="0"/>
      </w:pPr>
      <w:rPr>
        <w:rFonts w:hint="eastAsia"/>
      </w:rPr>
    </w:lvl>
    <w:lvl w:ilvl="5" w:tentative="0">
      <w:start w:val="1"/>
      <w:numFmt w:val="decimal"/>
      <w:lvlRestart w:val="2"/>
      <w:suff w:val="space"/>
      <w:lvlText w:val="图%1.%2-%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11">
    <w:nsid w:val="7FF1B596"/>
    <w:multiLevelType w:val="singleLevel"/>
    <w:tmpl w:val="7FF1B596"/>
    <w:lvl w:ilvl="0" w:tentative="0">
      <w:start w:val="1"/>
      <w:numFmt w:val="decimal"/>
      <w:suff w:val="nothing"/>
      <w:lvlText w:val="（%1）"/>
      <w:lvlJc w:val="left"/>
    </w:lvl>
  </w:abstractNum>
  <w:num w:numId="1">
    <w:abstractNumId w:val="0"/>
  </w:num>
  <w:num w:numId="2">
    <w:abstractNumId w:val="8"/>
  </w:num>
  <w:num w:numId="3">
    <w:abstractNumId w:val="5"/>
  </w:num>
  <w:num w:numId="4">
    <w:abstractNumId w:val="10"/>
  </w:num>
  <w:num w:numId="5">
    <w:abstractNumId w:val="6"/>
  </w:num>
  <w:num w:numId="6">
    <w:abstractNumId w:val="3"/>
  </w:num>
  <w:num w:numId="7">
    <w:abstractNumId w:val="11"/>
  </w:num>
  <w:num w:numId="8">
    <w:abstractNumId w:val="2"/>
  </w:num>
  <w:num w:numId="9">
    <w:abstractNumId w:val="9"/>
  </w:num>
  <w:num w:numId="10">
    <w:abstractNumId w:val="1"/>
  </w:num>
  <w:num w:numId="11">
    <w:abstractNumId w:val="7"/>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19"/>
  <w:hyphenationZone w:val="360"/>
  <w:drawingGridHorizontalSpacing w:val="24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Q0MzZiMzBjODBlYWM2ZWZlZTBmODc2N2QyNTJkNjYifQ=="/>
  </w:docVars>
  <w:rsids>
    <w:rsidRoot w:val="00172A27"/>
    <w:rsid w:val="0000278E"/>
    <w:rsid w:val="00006764"/>
    <w:rsid w:val="00007505"/>
    <w:rsid w:val="00011CBE"/>
    <w:rsid w:val="00027348"/>
    <w:rsid w:val="000429E4"/>
    <w:rsid w:val="00055384"/>
    <w:rsid w:val="0006485F"/>
    <w:rsid w:val="00074B50"/>
    <w:rsid w:val="00076791"/>
    <w:rsid w:val="000818B9"/>
    <w:rsid w:val="00087BC6"/>
    <w:rsid w:val="00090A93"/>
    <w:rsid w:val="00094251"/>
    <w:rsid w:val="000A298B"/>
    <w:rsid w:val="000B1E4F"/>
    <w:rsid w:val="000B5149"/>
    <w:rsid w:val="000C529A"/>
    <w:rsid w:val="000D55C7"/>
    <w:rsid w:val="000D708C"/>
    <w:rsid w:val="000F2910"/>
    <w:rsid w:val="00103968"/>
    <w:rsid w:val="00104645"/>
    <w:rsid w:val="00107245"/>
    <w:rsid w:val="0011135F"/>
    <w:rsid w:val="0011241E"/>
    <w:rsid w:val="00124821"/>
    <w:rsid w:val="00136439"/>
    <w:rsid w:val="001364C1"/>
    <w:rsid w:val="00144231"/>
    <w:rsid w:val="001516DC"/>
    <w:rsid w:val="00152C21"/>
    <w:rsid w:val="00156D90"/>
    <w:rsid w:val="0015718B"/>
    <w:rsid w:val="00161339"/>
    <w:rsid w:val="00172A27"/>
    <w:rsid w:val="00174A73"/>
    <w:rsid w:val="0017618D"/>
    <w:rsid w:val="001955B6"/>
    <w:rsid w:val="001957BD"/>
    <w:rsid w:val="001B20D7"/>
    <w:rsid w:val="001B2F5F"/>
    <w:rsid w:val="001C2C96"/>
    <w:rsid w:val="001D5D3E"/>
    <w:rsid w:val="001D70A0"/>
    <w:rsid w:val="001E7D27"/>
    <w:rsid w:val="001F7174"/>
    <w:rsid w:val="002018CC"/>
    <w:rsid w:val="0021214E"/>
    <w:rsid w:val="00212FBC"/>
    <w:rsid w:val="0021662C"/>
    <w:rsid w:val="00224291"/>
    <w:rsid w:val="00225258"/>
    <w:rsid w:val="00251F86"/>
    <w:rsid w:val="00274E87"/>
    <w:rsid w:val="0027562B"/>
    <w:rsid w:val="00280021"/>
    <w:rsid w:val="00280F87"/>
    <w:rsid w:val="002A4EE1"/>
    <w:rsid w:val="002B521D"/>
    <w:rsid w:val="002C3AFE"/>
    <w:rsid w:val="002E518D"/>
    <w:rsid w:val="002E7B44"/>
    <w:rsid w:val="00304E29"/>
    <w:rsid w:val="00330397"/>
    <w:rsid w:val="0033275E"/>
    <w:rsid w:val="00334530"/>
    <w:rsid w:val="00336487"/>
    <w:rsid w:val="00337018"/>
    <w:rsid w:val="00341164"/>
    <w:rsid w:val="003522DC"/>
    <w:rsid w:val="003609CC"/>
    <w:rsid w:val="00372119"/>
    <w:rsid w:val="0038664A"/>
    <w:rsid w:val="00395566"/>
    <w:rsid w:val="003B04FE"/>
    <w:rsid w:val="003C2CA6"/>
    <w:rsid w:val="003D252F"/>
    <w:rsid w:val="003D3D00"/>
    <w:rsid w:val="003E656A"/>
    <w:rsid w:val="003F0382"/>
    <w:rsid w:val="003F1271"/>
    <w:rsid w:val="003F71CA"/>
    <w:rsid w:val="00400B8D"/>
    <w:rsid w:val="004342F6"/>
    <w:rsid w:val="004375E1"/>
    <w:rsid w:val="00451841"/>
    <w:rsid w:val="004676FB"/>
    <w:rsid w:val="00482534"/>
    <w:rsid w:val="00484229"/>
    <w:rsid w:val="00486F75"/>
    <w:rsid w:val="004930F2"/>
    <w:rsid w:val="00494FFB"/>
    <w:rsid w:val="004A29E5"/>
    <w:rsid w:val="004B1506"/>
    <w:rsid w:val="004B19C7"/>
    <w:rsid w:val="004D1504"/>
    <w:rsid w:val="004F034B"/>
    <w:rsid w:val="00505EC3"/>
    <w:rsid w:val="0051282D"/>
    <w:rsid w:val="0051485B"/>
    <w:rsid w:val="005202E9"/>
    <w:rsid w:val="00522EF0"/>
    <w:rsid w:val="00524875"/>
    <w:rsid w:val="00526902"/>
    <w:rsid w:val="00532159"/>
    <w:rsid w:val="00535ED7"/>
    <w:rsid w:val="00546CD5"/>
    <w:rsid w:val="0056640B"/>
    <w:rsid w:val="00566612"/>
    <w:rsid w:val="00576568"/>
    <w:rsid w:val="0059616A"/>
    <w:rsid w:val="005B0A06"/>
    <w:rsid w:val="005B5884"/>
    <w:rsid w:val="005E5F5C"/>
    <w:rsid w:val="00604BF3"/>
    <w:rsid w:val="00604D6E"/>
    <w:rsid w:val="00606547"/>
    <w:rsid w:val="0061626E"/>
    <w:rsid w:val="00624636"/>
    <w:rsid w:val="00625810"/>
    <w:rsid w:val="0062609E"/>
    <w:rsid w:val="006318F9"/>
    <w:rsid w:val="00635A45"/>
    <w:rsid w:val="00646EC2"/>
    <w:rsid w:val="0065078F"/>
    <w:rsid w:val="006851D1"/>
    <w:rsid w:val="006928F1"/>
    <w:rsid w:val="006A4352"/>
    <w:rsid w:val="006A7A61"/>
    <w:rsid w:val="006B12DA"/>
    <w:rsid w:val="006C04EB"/>
    <w:rsid w:val="006D13E8"/>
    <w:rsid w:val="006D31D6"/>
    <w:rsid w:val="006D31F4"/>
    <w:rsid w:val="006D3D17"/>
    <w:rsid w:val="007020EC"/>
    <w:rsid w:val="00705C04"/>
    <w:rsid w:val="00716984"/>
    <w:rsid w:val="00731723"/>
    <w:rsid w:val="00737C06"/>
    <w:rsid w:val="00750E23"/>
    <w:rsid w:val="00754805"/>
    <w:rsid w:val="0075491C"/>
    <w:rsid w:val="00761EC6"/>
    <w:rsid w:val="0077525C"/>
    <w:rsid w:val="00783B64"/>
    <w:rsid w:val="00790A92"/>
    <w:rsid w:val="007A38D3"/>
    <w:rsid w:val="007A3DF8"/>
    <w:rsid w:val="007B394D"/>
    <w:rsid w:val="007B7BDA"/>
    <w:rsid w:val="007C3F9A"/>
    <w:rsid w:val="007C71E8"/>
    <w:rsid w:val="007E1D9D"/>
    <w:rsid w:val="007E2205"/>
    <w:rsid w:val="007E5C9E"/>
    <w:rsid w:val="008076CE"/>
    <w:rsid w:val="00811CDF"/>
    <w:rsid w:val="0081590D"/>
    <w:rsid w:val="008173B2"/>
    <w:rsid w:val="008203CC"/>
    <w:rsid w:val="00826241"/>
    <w:rsid w:val="00840CE6"/>
    <w:rsid w:val="00852931"/>
    <w:rsid w:val="008540BF"/>
    <w:rsid w:val="00854C2F"/>
    <w:rsid w:val="00866A37"/>
    <w:rsid w:val="00870C44"/>
    <w:rsid w:val="008814FE"/>
    <w:rsid w:val="008929DE"/>
    <w:rsid w:val="008A64DF"/>
    <w:rsid w:val="008A78C5"/>
    <w:rsid w:val="008B71CB"/>
    <w:rsid w:val="008B758B"/>
    <w:rsid w:val="008C6C96"/>
    <w:rsid w:val="008D2ED1"/>
    <w:rsid w:val="008E1E47"/>
    <w:rsid w:val="008F670D"/>
    <w:rsid w:val="00900D36"/>
    <w:rsid w:val="00903D0B"/>
    <w:rsid w:val="00906CBA"/>
    <w:rsid w:val="00907767"/>
    <w:rsid w:val="00913B9C"/>
    <w:rsid w:val="0092153D"/>
    <w:rsid w:val="00925007"/>
    <w:rsid w:val="00946003"/>
    <w:rsid w:val="00947B3B"/>
    <w:rsid w:val="00977399"/>
    <w:rsid w:val="00980070"/>
    <w:rsid w:val="00980952"/>
    <w:rsid w:val="00995012"/>
    <w:rsid w:val="009B0A90"/>
    <w:rsid w:val="009D1EA6"/>
    <w:rsid w:val="009D423B"/>
    <w:rsid w:val="009E043E"/>
    <w:rsid w:val="00A00F67"/>
    <w:rsid w:val="00A061DB"/>
    <w:rsid w:val="00A15AB7"/>
    <w:rsid w:val="00A262A7"/>
    <w:rsid w:val="00A3470B"/>
    <w:rsid w:val="00A57864"/>
    <w:rsid w:val="00A604A8"/>
    <w:rsid w:val="00A64E79"/>
    <w:rsid w:val="00A66565"/>
    <w:rsid w:val="00A87BCC"/>
    <w:rsid w:val="00A91684"/>
    <w:rsid w:val="00A93C33"/>
    <w:rsid w:val="00AA0AF2"/>
    <w:rsid w:val="00AA779D"/>
    <w:rsid w:val="00AB4A44"/>
    <w:rsid w:val="00AC69F8"/>
    <w:rsid w:val="00AD0189"/>
    <w:rsid w:val="00AD3221"/>
    <w:rsid w:val="00B02855"/>
    <w:rsid w:val="00B03714"/>
    <w:rsid w:val="00B23B2D"/>
    <w:rsid w:val="00B26650"/>
    <w:rsid w:val="00B31063"/>
    <w:rsid w:val="00B36D42"/>
    <w:rsid w:val="00B52173"/>
    <w:rsid w:val="00B611A9"/>
    <w:rsid w:val="00B62E13"/>
    <w:rsid w:val="00B76533"/>
    <w:rsid w:val="00B9615C"/>
    <w:rsid w:val="00BA00BB"/>
    <w:rsid w:val="00BB2B7A"/>
    <w:rsid w:val="00BC1787"/>
    <w:rsid w:val="00BD6BEF"/>
    <w:rsid w:val="00BE2A18"/>
    <w:rsid w:val="00BE6F66"/>
    <w:rsid w:val="00BF4C2A"/>
    <w:rsid w:val="00C05EBE"/>
    <w:rsid w:val="00C13121"/>
    <w:rsid w:val="00C142C6"/>
    <w:rsid w:val="00C318E5"/>
    <w:rsid w:val="00C367A5"/>
    <w:rsid w:val="00C607AE"/>
    <w:rsid w:val="00C67B84"/>
    <w:rsid w:val="00C72E10"/>
    <w:rsid w:val="00C809F2"/>
    <w:rsid w:val="00C8695D"/>
    <w:rsid w:val="00CA1CF7"/>
    <w:rsid w:val="00CB13D2"/>
    <w:rsid w:val="00CB48FF"/>
    <w:rsid w:val="00CB5EC4"/>
    <w:rsid w:val="00CB6753"/>
    <w:rsid w:val="00CD65FF"/>
    <w:rsid w:val="00CE6D55"/>
    <w:rsid w:val="00CF5500"/>
    <w:rsid w:val="00D00DF9"/>
    <w:rsid w:val="00D01278"/>
    <w:rsid w:val="00D034BD"/>
    <w:rsid w:val="00D23A84"/>
    <w:rsid w:val="00D457D2"/>
    <w:rsid w:val="00D61D09"/>
    <w:rsid w:val="00D73760"/>
    <w:rsid w:val="00D87534"/>
    <w:rsid w:val="00D94DF2"/>
    <w:rsid w:val="00DA3029"/>
    <w:rsid w:val="00DC2617"/>
    <w:rsid w:val="00DC4687"/>
    <w:rsid w:val="00DC6F71"/>
    <w:rsid w:val="00DE32AC"/>
    <w:rsid w:val="00DE3982"/>
    <w:rsid w:val="00DE4375"/>
    <w:rsid w:val="00E01540"/>
    <w:rsid w:val="00E07925"/>
    <w:rsid w:val="00E2246C"/>
    <w:rsid w:val="00E44E49"/>
    <w:rsid w:val="00E76E73"/>
    <w:rsid w:val="00E8399A"/>
    <w:rsid w:val="00E8542A"/>
    <w:rsid w:val="00EB4F65"/>
    <w:rsid w:val="00EB62F5"/>
    <w:rsid w:val="00EF07A0"/>
    <w:rsid w:val="00EF5BF1"/>
    <w:rsid w:val="00F036CB"/>
    <w:rsid w:val="00F05477"/>
    <w:rsid w:val="00F054BB"/>
    <w:rsid w:val="00F07215"/>
    <w:rsid w:val="00F218F8"/>
    <w:rsid w:val="00F23190"/>
    <w:rsid w:val="00F27FD9"/>
    <w:rsid w:val="00F30192"/>
    <w:rsid w:val="00F703F5"/>
    <w:rsid w:val="00F7726B"/>
    <w:rsid w:val="00F82CAA"/>
    <w:rsid w:val="00F90A58"/>
    <w:rsid w:val="00F91349"/>
    <w:rsid w:val="00F963F2"/>
    <w:rsid w:val="00FA32E1"/>
    <w:rsid w:val="00FC3EB0"/>
    <w:rsid w:val="00FC3FC5"/>
    <w:rsid w:val="00FC58A2"/>
    <w:rsid w:val="00FC6A89"/>
    <w:rsid w:val="00FC6FC8"/>
    <w:rsid w:val="00FF67A4"/>
    <w:rsid w:val="01177E03"/>
    <w:rsid w:val="011A3105"/>
    <w:rsid w:val="011E3D5D"/>
    <w:rsid w:val="012A3F86"/>
    <w:rsid w:val="0136732D"/>
    <w:rsid w:val="013B6D7C"/>
    <w:rsid w:val="014540C0"/>
    <w:rsid w:val="0156352C"/>
    <w:rsid w:val="015919F9"/>
    <w:rsid w:val="015C2B0C"/>
    <w:rsid w:val="016F3633"/>
    <w:rsid w:val="0172737E"/>
    <w:rsid w:val="01762819"/>
    <w:rsid w:val="01787946"/>
    <w:rsid w:val="0187402D"/>
    <w:rsid w:val="018D0AE9"/>
    <w:rsid w:val="019B67B7"/>
    <w:rsid w:val="019C51CE"/>
    <w:rsid w:val="01A52705"/>
    <w:rsid w:val="01A95943"/>
    <w:rsid w:val="01AC5842"/>
    <w:rsid w:val="01B043C6"/>
    <w:rsid w:val="01B26B01"/>
    <w:rsid w:val="01B666C0"/>
    <w:rsid w:val="01CD5E17"/>
    <w:rsid w:val="01CE42C8"/>
    <w:rsid w:val="01D6466C"/>
    <w:rsid w:val="01FC64BE"/>
    <w:rsid w:val="01FD4015"/>
    <w:rsid w:val="01FD6C84"/>
    <w:rsid w:val="02092F49"/>
    <w:rsid w:val="0217513A"/>
    <w:rsid w:val="02262255"/>
    <w:rsid w:val="022971CD"/>
    <w:rsid w:val="022F40C5"/>
    <w:rsid w:val="023818E5"/>
    <w:rsid w:val="0244674C"/>
    <w:rsid w:val="024E2050"/>
    <w:rsid w:val="025B7B3F"/>
    <w:rsid w:val="025C1534"/>
    <w:rsid w:val="025C2742"/>
    <w:rsid w:val="026223A4"/>
    <w:rsid w:val="027B7E2E"/>
    <w:rsid w:val="02832BC7"/>
    <w:rsid w:val="02B726F0"/>
    <w:rsid w:val="02C22312"/>
    <w:rsid w:val="02D911AE"/>
    <w:rsid w:val="02F4124E"/>
    <w:rsid w:val="02F51E78"/>
    <w:rsid w:val="02FB3EF3"/>
    <w:rsid w:val="02FD5E3E"/>
    <w:rsid w:val="03084CFA"/>
    <w:rsid w:val="03191434"/>
    <w:rsid w:val="03201948"/>
    <w:rsid w:val="032D5F8D"/>
    <w:rsid w:val="0334789D"/>
    <w:rsid w:val="0335736E"/>
    <w:rsid w:val="03380BE2"/>
    <w:rsid w:val="03394EB3"/>
    <w:rsid w:val="03494CE6"/>
    <w:rsid w:val="034F45E8"/>
    <w:rsid w:val="03500416"/>
    <w:rsid w:val="0352028D"/>
    <w:rsid w:val="03555A65"/>
    <w:rsid w:val="035A35E3"/>
    <w:rsid w:val="03687732"/>
    <w:rsid w:val="036C7E22"/>
    <w:rsid w:val="036D5C09"/>
    <w:rsid w:val="03800D34"/>
    <w:rsid w:val="03A21632"/>
    <w:rsid w:val="03B75719"/>
    <w:rsid w:val="03C95381"/>
    <w:rsid w:val="03CA4F28"/>
    <w:rsid w:val="03CE52D3"/>
    <w:rsid w:val="03D43FB0"/>
    <w:rsid w:val="03D64210"/>
    <w:rsid w:val="03D746CC"/>
    <w:rsid w:val="03E338C4"/>
    <w:rsid w:val="03E36B7B"/>
    <w:rsid w:val="03F40B5F"/>
    <w:rsid w:val="03F60FF6"/>
    <w:rsid w:val="03FE2875"/>
    <w:rsid w:val="04017AB8"/>
    <w:rsid w:val="040D00EE"/>
    <w:rsid w:val="040E4592"/>
    <w:rsid w:val="04151ED5"/>
    <w:rsid w:val="041544A9"/>
    <w:rsid w:val="041A6755"/>
    <w:rsid w:val="042570D0"/>
    <w:rsid w:val="042839DF"/>
    <w:rsid w:val="0431155A"/>
    <w:rsid w:val="0433739C"/>
    <w:rsid w:val="043937B8"/>
    <w:rsid w:val="043D0586"/>
    <w:rsid w:val="04441D61"/>
    <w:rsid w:val="044545BA"/>
    <w:rsid w:val="04460AF9"/>
    <w:rsid w:val="044F72A8"/>
    <w:rsid w:val="0455536E"/>
    <w:rsid w:val="045566D1"/>
    <w:rsid w:val="045722A1"/>
    <w:rsid w:val="045D2926"/>
    <w:rsid w:val="0462668B"/>
    <w:rsid w:val="048715F5"/>
    <w:rsid w:val="049875CE"/>
    <w:rsid w:val="049D3E9B"/>
    <w:rsid w:val="049F343C"/>
    <w:rsid w:val="04A171B4"/>
    <w:rsid w:val="04A35464"/>
    <w:rsid w:val="04B50EB1"/>
    <w:rsid w:val="04C7617A"/>
    <w:rsid w:val="04CB0577"/>
    <w:rsid w:val="04CC3CDA"/>
    <w:rsid w:val="04D85525"/>
    <w:rsid w:val="04D94B9F"/>
    <w:rsid w:val="04E0324B"/>
    <w:rsid w:val="04E672BC"/>
    <w:rsid w:val="04E92909"/>
    <w:rsid w:val="04EE6171"/>
    <w:rsid w:val="04F512AE"/>
    <w:rsid w:val="04F832B4"/>
    <w:rsid w:val="04FD0162"/>
    <w:rsid w:val="051658A8"/>
    <w:rsid w:val="05182619"/>
    <w:rsid w:val="051A6F66"/>
    <w:rsid w:val="05200FD3"/>
    <w:rsid w:val="05263B5D"/>
    <w:rsid w:val="052F2A11"/>
    <w:rsid w:val="0530678A"/>
    <w:rsid w:val="05325A96"/>
    <w:rsid w:val="053A788F"/>
    <w:rsid w:val="053E62FF"/>
    <w:rsid w:val="054115C5"/>
    <w:rsid w:val="054269F8"/>
    <w:rsid w:val="05490692"/>
    <w:rsid w:val="054E5A30"/>
    <w:rsid w:val="054E5D07"/>
    <w:rsid w:val="054F4E62"/>
    <w:rsid w:val="055661F0"/>
    <w:rsid w:val="056905C6"/>
    <w:rsid w:val="05692CEB"/>
    <w:rsid w:val="05781C36"/>
    <w:rsid w:val="05793C8D"/>
    <w:rsid w:val="05860158"/>
    <w:rsid w:val="05882BCF"/>
    <w:rsid w:val="058F4777"/>
    <w:rsid w:val="05905775"/>
    <w:rsid w:val="05924C72"/>
    <w:rsid w:val="0594165F"/>
    <w:rsid w:val="059A3CAF"/>
    <w:rsid w:val="05AC7DD6"/>
    <w:rsid w:val="05B62300"/>
    <w:rsid w:val="05C00253"/>
    <w:rsid w:val="05C90305"/>
    <w:rsid w:val="05CC438A"/>
    <w:rsid w:val="05DC4B7A"/>
    <w:rsid w:val="05EA06E6"/>
    <w:rsid w:val="05EA63E6"/>
    <w:rsid w:val="05EC0902"/>
    <w:rsid w:val="05EF467C"/>
    <w:rsid w:val="05F11741"/>
    <w:rsid w:val="05FC4B31"/>
    <w:rsid w:val="05FD56D0"/>
    <w:rsid w:val="06015A6F"/>
    <w:rsid w:val="06113AEC"/>
    <w:rsid w:val="061437AD"/>
    <w:rsid w:val="06263EF1"/>
    <w:rsid w:val="06284D83"/>
    <w:rsid w:val="062C0CFF"/>
    <w:rsid w:val="063351E1"/>
    <w:rsid w:val="063663D5"/>
    <w:rsid w:val="06426774"/>
    <w:rsid w:val="06532E6F"/>
    <w:rsid w:val="06566240"/>
    <w:rsid w:val="0667436F"/>
    <w:rsid w:val="066F719B"/>
    <w:rsid w:val="068943A3"/>
    <w:rsid w:val="068F06C2"/>
    <w:rsid w:val="069A035E"/>
    <w:rsid w:val="06A72A7B"/>
    <w:rsid w:val="06B06B27"/>
    <w:rsid w:val="06BB2083"/>
    <w:rsid w:val="06BD01A5"/>
    <w:rsid w:val="06BD5DFB"/>
    <w:rsid w:val="06C1684A"/>
    <w:rsid w:val="06C47634"/>
    <w:rsid w:val="06C92CC5"/>
    <w:rsid w:val="06D25D4A"/>
    <w:rsid w:val="06DE2083"/>
    <w:rsid w:val="06DF3FC3"/>
    <w:rsid w:val="06E7478C"/>
    <w:rsid w:val="06F347DF"/>
    <w:rsid w:val="070174DD"/>
    <w:rsid w:val="071B14A8"/>
    <w:rsid w:val="07373F44"/>
    <w:rsid w:val="07391925"/>
    <w:rsid w:val="074F739B"/>
    <w:rsid w:val="07506C6F"/>
    <w:rsid w:val="07693F6C"/>
    <w:rsid w:val="07757B77"/>
    <w:rsid w:val="07793417"/>
    <w:rsid w:val="07852DBD"/>
    <w:rsid w:val="078F48B0"/>
    <w:rsid w:val="078F7797"/>
    <w:rsid w:val="07910FA6"/>
    <w:rsid w:val="079C775B"/>
    <w:rsid w:val="07AA45D1"/>
    <w:rsid w:val="07B82220"/>
    <w:rsid w:val="07BA29FE"/>
    <w:rsid w:val="07BB21A3"/>
    <w:rsid w:val="07BC6623"/>
    <w:rsid w:val="07BD150D"/>
    <w:rsid w:val="07C2247A"/>
    <w:rsid w:val="07C61C9F"/>
    <w:rsid w:val="07D04F20"/>
    <w:rsid w:val="07D33806"/>
    <w:rsid w:val="07D51296"/>
    <w:rsid w:val="07DE3A35"/>
    <w:rsid w:val="07DF67C1"/>
    <w:rsid w:val="07E0133B"/>
    <w:rsid w:val="07E21AF0"/>
    <w:rsid w:val="07E64C3E"/>
    <w:rsid w:val="07E7014A"/>
    <w:rsid w:val="07E93FB8"/>
    <w:rsid w:val="07EA774E"/>
    <w:rsid w:val="07EE515B"/>
    <w:rsid w:val="07FA79DD"/>
    <w:rsid w:val="08001273"/>
    <w:rsid w:val="08030185"/>
    <w:rsid w:val="0804610A"/>
    <w:rsid w:val="08057FD4"/>
    <w:rsid w:val="08104776"/>
    <w:rsid w:val="08150A2D"/>
    <w:rsid w:val="08236132"/>
    <w:rsid w:val="08260C67"/>
    <w:rsid w:val="082E1242"/>
    <w:rsid w:val="08345247"/>
    <w:rsid w:val="08362309"/>
    <w:rsid w:val="08372653"/>
    <w:rsid w:val="084F0A5C"/>
    <w:rsid w:val="086179F2"/>
    <w:rsid w:val="086A641E"/>
    <w:rsid w:val="087516B5"/>
    <w:rsid w:val="087D0ACA"/>
    <w:rsid w:val="087E6808"/>
    <w:rsid w:val="08854455"/>
    <w:rsid w:val="08911C50"/>
    <w:rsid w:val="08966904"/>
    <w:rsid w:val="08A71BFF"/>
    <w:rsid w:val="08A9479A"/>
    <w:rsid w:val="08AE63C9"/>
    <w:rsid w:val="08B63B92"/>
    <w:rsid w:val="08C2255C"/>
    <w:rsid w:val="08C57954"/>
    <w:rsid w:val="08CB0CA3"/>
    <w:rsid w:val="08CC25ED"/>
    <w:rsid w:val="08D4468A"/>
    <w:rsid w:val="08F24482"/>
    <w:rsid w:val="08F972F8"/>
    <w:rsid w:val="08FC1340"/>
    <w:rsid w:val="09081968"/>
    <w:rsid w:val="09196250"/>
    <w:rsid w:val="091B505B"/>
    <w:rsid w:val="091E62C0"/>
    <w:rsid w:val="09264BC9"/>
    <w:rsid w:val="092E12A4"/>
    <w:rsid w:val="092E71EE"/>
    <w:rsid w:val="0930495B"/>
    <w:rsid w:val="093076A3"/>
    <w:rsid w:val="09450D0B"/>
    <w:rsid w:val="0947500A"/>
    <w:rsid w:val="094A2B91"/>
    <w:rsid w:val="09513196"/>
    <w:rsid w:val="095624EB"/>
    <w:rsid w:val="09682CCF"/>
    <w:rsid w:val="096D4E25"/>
    <w:rsid w:val="09700B29"/>
    <w:rsid w:val="097332C3"/>
    <w:rsid w:val="09776735"/>
    <w:rsid w:val="09804A1C"/>
    <w:rsid w:val="098350DA"/>
    <w:rsid w:val="09847D94"/>
    <w:rsid w:val="09850FEC"/>
    <w:rsid w:val="09882962"/>
    <w:rsid w:val="098957DB"/>
    <w:rsid w:val="099512B1"/>
    <w:rsid w:val="099530EA"/>
    <w:rsid w:val="09A522E4"/>
    <w:rsid w:val="09A65FAF"/>
    <w:rsid w:val="09A82D92"/>
    <w:rsid w:val="09BC2815"/>
    <w:rsid w:val="09C10530"/>
    <w:rsid w:val="09C645FB"/>
    <w:rsid w:val="09D516AE"/>
    <w:rsid w:val="09DA2761"/>
    <w:rsid w:val="09DE0562"/>
    <w:rsid w:val="09F04D02"/>
    <w:rsid w:val="09F47D86"/>
    <w:rsid w:val="0A0246AB"/>
    <w:rsid w:val="0A0F696E"/>
    <w:rsid w:val="0A1B7A08"/>
    <w:rsid w:val="0A1C5F64"/>
    <w:rsid w:val="0A1D2E3A"/>
    <w:rsid w:val="0A1E1953"/>
    <w:rsid w:val="0A2437AE"/>
    <w:rsid w:val="0A2E5550"/>
    <w:rsid w:val="0A316362"/>
    <w:rsid w:val="0A334D52"/>
    <w:rsid w:val="0A380AC9"/>
    <w:rsid w:val="0A3A393F"/>
    <w:rsid w:val="0A4147F3"/>
    <w:rsid w:val="0A496C6B"/>
    <w:rsid w:val="0A4C5E14"/>
    <w:rsid w:val="0A5A01FB"/>
    <w:rsid w:val="0A5A688E"/>
    <w:rsid w:val="0A610946"/>
    <w:rsid w:val="0A631014"/>
    <w:rsid w:val="0A691088"/>
    <w:rsid w:val="0A723671"/>
    <w:rsid w:val="0A7333A0"/>
    <w:rsid w:val="0A752C53"/>
    <w:rsid w:val="0A884FCC"/>
    <w:rsid w:val="0A8A06EA"/>
    <w:rsid w:val="0A8A487F"/>
    <w:rsid w:val="0A8B4CDD"/>
    <w:rsid w:val="0A9206A2"/>
    <w:rsid w:val="0A994291"/>
    <w:rsid w:val="0A9F6BE2"/>
    <w:rsid w:val="0AAC240E"/>
    <w:rsid w:val="0AB54F86"/>
    <w:rsid w:val="0ABD7054"/>
    <w:rsid w:val="0AC01703"/>
    <w:rsid w:val="0AC91212"/>
    <w:rsid w:val="0AC976A5"/>
    <w:rsid w:val="0ACC69AE"/>
    <w:rsid w:val="0AE33741"/>
    <w:rsid w:val="0AF4136C"/>
    <w:rsid w:val="0AFA5B66"/>
    <w:rsid w:val="0AFB256C"/>
    <w:rsid w:val="0AFE6997"/>
    <w:rsid w:val="0B034416"/>
    <w:rsid w:val="0B0F7CCE"/>
    <w:rsid w:val="0B22126F"/>
    <w:rsid w:val="0B2428DC"/>
    <w:rsid w:val="0B2F12FE"/>
    <w:rsid w:val="0B2F6114"/>
    <w:rsid w:val="0B324463"/>
    <w:rsid w:val="0B3D2ED0"/>
    <w:rsid w:val="0B400D8A"/>
    <w:rsid w:val="0B440899"/>
    <w:rsid w:val="0B4A634C"/>
    <w:rsid w:val="0B4B60CB"/>
    <w:rsid w:val="0B5B175A"/>
    <w:rsid w:val="0B691FA5"/>
    <w:rsid w:val="0B731858"/>
    <w:rsid w:val="0B7373D0"/>
    <w:rsid w:val="0B755F25"/>
    <w:rsid w:val="0B7F7B23"/>
    <w:rsid w:val="0B8B175B"/>
    <w:rsid w:val="0B8C3F23"/>
    <w:rsid w:val="0B974AFD"/>
    <w:rsid w:val="0B995BA3"/>
    <w:rsid w:val="0B9F387C"/>
    <w:rsid w:val="0BA63302"/>
    <w:rsid w:val="0BA95A1F"/>
    <w:rsid w:val="0BB42288"/>
    <w:rsid w:val="0BB45EA8"/>
    <w:rsid w:val="0BB748CA"/>
    <w:rsid w:val="0BB82AE5"/>
    <w:rsid w:val="0BB91287"/>
    <w:rsid w:val="0BBF741F"/>
    <w:rsid w:val="0BC23F01"/>
    <w:rsid w:val="0BC54079"/>
    <w:rsid w:val="0BCF275A"/>
    <w:rsid w:val="0BD009D5"/>
    <w:rsid w:val="0BD47E6F"/>
    <w:rsid w:val="0BDD3C20"/>
    <w:rsid w:val="0BDE6F3F"/>
    <w:rsid w:val="0BE327F3"/>
    <w:rsid w:val="0BEB05FD"/>
    <w:rsid w:val="0BEE4176"/>
    <w:rsid w:val="0BEE79B0"/>
    <w:rsid w:val="0BF00A21"/>
    <w:rsid w:val="0C027FC6"/>
    <w:rsid w:val="0C030754"/>
    <w:rsid w:val="0C0675D9"/>
    <w:rsid w:val="0C0F70F9"/>
    <w:rsid w:val="0C2E1F8E"/>
    <w:rsid w:val="0C326EE1"/>
    <w:rsid w:val="0C333C92"/>
    <w:rsid w:val="0C3524CF"/>
    <w:rsid w:val="0C3618C3"/>
    <w:rsid w:val="0C3B1B6A"/>
    <w:rsid w:val="0C4010EF"/>
    <w:rsid w:val="0C460641"/>
    <w:rsid w:val="0C542D5E"/>
    <w:rsid w:val="0C5C7C93"/>
    <w:rsid w:val="0C6B6388"/>
    <w:rsid w:val="0C7F5311"/>
    <w:rsid w:val="0C85560D"/>
    <w:rsid w:val="0C952B6A"/>
    <w:rsid w:val="0C98693B"/>
    <w:rsid w:val="0C994C14"/>
    <w:rsid w:val="0CA159D9"/>
    <w:rsid w:val="0CA370EA"/>
    <w:rsid w:val="0CA74361"/>
    <w:rsid w:val="0CC04897"/>
    <w:rsid w:val="0CC06645"/>
    <w:rsid w:val="0CC13F2C"/>
    <w:rsid w:val="0CC31C7D"/>
    <w:rsid w:val="0CCD4921"/>
    <w:rsid w:val="0CD27617"/>
    <w:rsid w:val="0CD57B6C"/>
    <w:rsid w:val="0CDE3226"/>
    <w:rsid w:val="0CEB1914"/>
    <w:rsid w:val="0CED79FD"/>
    <w:rsid w:val="0CEE31B2"/>
    <w:rsid w:val="0CF32BAF"/>
    <w:rsid w:val="0CF85DDF"/>
    <w:rsid w:val="0CFF1C2A"/>
    <w:rsid w:val="0D115454"/>
    <w:rsid w:val="0D116ECE"/>
    <w:rsid w:val="0D1A6E32"/>
    <w:rsid w:val="0D2941EA"/>
    <w:rsid w:val="0D295F98"/>
    <w:rsid w:val="0D357A93"/>
    <w:rsid w:val="0D376753"/>
    <w:rsid w:val="0D3E6DB7"/>
    <w:rsid w:val="0D441838"/>
    <w:rsid w:val="0D4B4161"/>
    <w:rsid w:val="0D4C06C2"/>
    <w:rsid w:val="0D4C4334"/>
    <w:rsid w:val="0D560821"/>
    <w:rsid w:val="0D5A74C0"/>
    <w:rsid w:val="0D68793F"/>
    <w:rsid w:val="0D6A551E"/>
    <w:rsid w:val="0D70296E"/>
    <w:rsid w:val="0D725199"/>
    <w:rsid w:val="0D805289"/>
    <w:rsid w:val="0D8471DD"/>
    <w:rsid w:val="0D89102D"/>
    <w:rsid w:val="0D891D01"/>
    <w:rsid w:val="0D8F0207"/>
    <w:rsid w:val="0D9667FA"/>
    <w:rsid w:val="0D9720CF"/>
    <w:rsid w:val="0D9E1418"/>
    <w:rsid w:val="0DA00E20"/>
    <w:rsid w:val="0DAB4DC4"/>
    <w:rsid w:val="0DC4096A"/>
    <w:rsid w:val="0DC67AA5"/>
    <w:rsid w:val="0DCA450B"/>
    <w:rsid w:val="0DD10821"/>
    <w:rsid w:val="0DD61058"/>
    <w:rsid w:val="0DD82A6D"/>
    <w:rsid w:val="0DE16873"/>
    <w:rsid w:val="0DFB4AC2"/>
    <w:rsid w:val="0E0C334B"/>
    <w:rsid w:val="0E143EAE"/>
    <w:rsid w:val="0E176D61"/>
    <w:rsid w:val="0E222F9C"/>
    <w:rsid w:val="0E286688"/>
    <w:rsid w:val="0E2942EF"/>
    <w:rsid w:val="0E2D7D0A"/>
    <w:rsid w:val="0E2F397A"/>
    <w:rsid w:val="0E34720E"/>
    <w:rsid w:val="0E3A6219"/>
    <w:rsid w:val="0E3B2427"/>
    <w:rsid w:val="0E3D6FAB"/>
    <w:rsid w:val="0E48264A"/>
    <w:rsid w:val="0E4A08BC"/>
    <w:rsid w:val="0E52127D"/>
    <w:rsid w:val="0E63372C"/>
    <w:rsid w:val="0E675FDB"/>
    <w:rsid w:val="0E6D169A"/>
    <w:rsid w:val="0E741495"/>
    <w:rsid w:val="0E76615A"/>
    <w:rsid w:val="0E796641"/>
    <w:rsid w:val="0E7B1BDF"/>
    <w:rsid w:val="0E864717"/>
    <w:rsid w:val="0E8C2C83"/>
    <w:rsid w:val="0E925BDA"/>
    <w:rsid w:val="0E9D384D"/>
    <w:rsid w:val="0EB918AB"/>
    <w:rsid w:val="0EBB2BD7"/>
    <w:rsid w:val="0EC71F0D"/>
    <w:rsid w:val="0ECB4164"/>
    <w:rsid w:val="0ED20472"/>
    <w:rsid w:val="0EDA7072"/>
    <w:rsid w:val="0EDD528C"/>
    <w:rsid w:val="0EE10F1D"/>
    <w:rsid w:val="0EE74DE8"/>
    <w:rsid w:val="0EF34C60"/>
    <w:rsid w:val="0EF86DFE"/>
    <w:rsid w:val="0F03382F"/>
    <w:rsid w:val="0F054E85"/>
    <w:rsid w:val="0F0938BD"/>
    <w:rsid w:val="0F0C474E"/>
    <w:rsid w:val="0F190B61"/>
    <w:rsid w:val="0F276F1B"/>
    <w:rsid w:val="0F340C24"/>
    <w:rsid w:val="0F35576D"/>
    <w:rsid w:val="0F44355D"/>
    <w:rsid w:val="0F47473A"/>
    <w:rsid w:val="0F4B43EC"/>
    <w:rsid w:val="0F5426A3"/>
    <w:rsid w:val="0F57734C"/>
    <w:rsid w:val="0F5968CE"/>
    <w:rsid w:val="0F5F275E"/>
    <w:rsid w:val="0F6E0DC3"/>
    <w:rsid w:val="0F6F7100"/>
    <w:rsid w:val="0F712F9E"/>
    <w:rsid w:val="0F747E34"/>
    <w:rsid w:val="0F8476B4"/>
    <w:rsid w:val="0F851F81"/>
    <w:rsid w:val="0F933B50"/>
    <w:rsid w:val="0F9841A9"/>
    <w:rsid w:val="0FAB0109"/>
    <w:rsid w:val="0FAF633F"/>
    <w:rsid w:val="0FB32491"/>
    <w:rsid w:val="0FB86474"/>
    <w:rsid w:val="0FBC5A16"/>
    <w:rsid w:val="0FBD55AF"/>
    <w:rsid w:val="0FBE5D4A"/>
    <w:rsid w:val="0FD06AAD"/>
    <w:rsid w:val="0FF22FB9"/>
    <w:rsid w:val="0FF763C2"/>
    <w:rsid w:val="0FF94348"/>
    <w:rsid w:val="0FF95AD5"/>
    <w:rsid w:val="10007796"/>
    <w:rsid w:val="10036F74"/>
    <w:rsid w:val="10106AC5"/>
    <w:rsid w:val="10197DE5"/>
    <w:rsid w:val="101C3B92"/>
    <w:rsid w:val="101D03EC"/>
    <w:rsid w:val="10226C56"/>
    <w:rsid w:val="102B45D1"/>
    <w:rsid w:val="102F6277"/>
    <w:rsid w:val="103E54D7"/>
    <w:rsid w:val="103E61FE"/>
    <w:rsid w:val="103F408D"/>
    <w:rsid w:val="10463305"/>
    <w:rsid w:val="104A0FBD"/>
    <w:rsid w:val="104E43FB"/>
    <w:rsid w:val="106A1755"/>
    <w:rsid w:val="107C4E2A"/>
    <w:rsid w:val="108C51BC"/>
    <w:rsid w:val="109B7F20"/>
    <w:rsid w:val="109C7DA8"/>
    <w:rsid w:val="109E7E96"/>
    <w:rsid w:val="10A57005"/>
    <w:rsid w:val="10A91532"/>
    <w:rsid w:val="10AA17F8"/>
    <w:rsid w:val="10B14C22"/>
    <w:rsid w:val="10B36C78"/>
    <w:rsid w:val="10B904F5"/>
    <w:rsid w:val="10C71308"/>
    <w:rsid w:val="10C761F4"/>
    <w:rsid w:val="10D038A4"/>
    <w:rsid w:val="10DB51CF"/>
    <w:rsid w:val="10E30B54"/>
    <w:rsid w:val="10ED3781"/>
    <w:rsid w:val="10FC23A5"/>
    <w:rsid w:val="11063FEA"/>
    <w:rsid w:val="11131C38"/>
    <w:rsid w:val="111A61F6"/>
    <w:rsid w:val="111C4E6A"/>
    <w:rsid w:val="112076B2"/>
    <w:rsid w:val="1125116C"/>
    <w:rsid w:val="11287383"/>
    <w:rsid w:val="112C08CD"/>
    <w:rsid w:val="112E1DCF"/>
    <w:rsid w:val="113737D3"/>
    <w:rsid w:val="113D2012"/>
    <w:rsid w:val="113E63AB"/>
    <w:rsid w:val="11407D54"/>
    <w:rsid w:val="114E0556"/>
    <w:rsid w:val="115A617C"/>
    <w:rsid w:val="115E34B7"/>
    <w:rsid w:val="116A724E"/>
    <w:rsid w:val="11731ED8"/>
    <w:rsid w:val="11760704"/>
    <w:rsid w:val="117F1171"/>
    <w:rsid w:val="11844705"/>
    <w:rsid w:val="119500A0"/>
    <w:rsid w:val="11990339"/>
    <w:rsid w:val="119C523B"/>
    <w:rsid w:val="119F0BF7"/>
    <w:rsid w:val="119F74B6"/>
    <w:rsid w:val="11CC15E8"/>
    <w:rsid w:val="11D84431"/>
    <w:rsid w:val="11D960C3"/>
    <w:rsid w:val="11E701D0"/>
    <w:rsid w:val="11EC514B"/>
    <w:rsid w:val="11F4365B"/>
    <w:rsid w:val="11FD6B10"/>
    <w:rsid w:val="120F3E55"/>
    <w:rsid w:val="12114F0A"/>
    <w:rsid w:val="12143B48"/>
    <w:rsid w:val="12244F80"/>
    <w:rsid w:val="122907E8"/>
    <w:rsid w:val="122D2CAA"/>
    <w:rsid w:val="123029A1"/>
    <w:rsid w:val="12303925"/>
    <w:rsid w:val="12386555"/>
    <w:rsid w:val="12481683"/>
    <w:rsid w:val="124C3E81"/>
    <w:rsid w:val="124E4E5A"/>
    <w:rsid w:val="12582FBE"/>
    <w:rsid w:val="12607D1F"/>
    <w:rsid w:val="126278D7"/>
    <w:rsid w:val="12772859"/>
    <w:rsid w:val="12837F21"/>
    <w:rsid w:val="12860984"/>
    <w:rsid w:val="128679E9"/>
    <w:rsid w:val="129B7E27"/>
    <w:rsid w:val="129F2844"/>
    <w:rsid w:val="129F4590"/>
    <w:rsid w:val="12A04AC7"/>
    <w:rsid w:val="12A8766D"/>
    <w:rsid w:val="12AD33CD"/>
    <w:rsid w:val="12BC4FDF"/>
    <w:rsid w:val="12C34799"/>
    <w:rsid w:val="12C82F39"/>
    <w:rsid w:val="12CD1ABC"/>
    <w:rsid w:val="12D529E4"/>
    <w:rsid w:val="12D82C44"/>
    <w:rsid w:val="12DD6CF8"/>
    <w:rsid w:val="12E50BB3"/>
    <w:rsid w:val="12E806A4"/>
    <w:rsid w:val="12EE3A0D"/>
    <w:rsid w:val="12F6691D"/>
    <w:rsid w:val="130354DD"/>
    <w:rsid w:val="13076D7C"/>
    <w:rsid w:val="130A36C0"/>
    <w:rsid w:val="13140A84"/>
    <w:rsid w:val="131F7DB7"/>
    <w:rsid w:val="13300276"/>
    <w:rsid w:val="13305412"/>
    <w:rsid w:val="13364149"/>
    <w:rsid w:val="13470A2E"/>
    <w:rsid w:val="135438B9"/>
    <w:rsid w:val="13617C08"/>
    <w:rsid w:val="13622204"/>
    <w:rsid w:val="136316FA"/>
    <w:rsid w:val="13715B8C"/>
    <w:rsid w:val="137338B8"/>
    <w:rsid w:val="13826694"/>
    <w:rsid w:val="138D071E"/>
    <w:rsid w:val="138F28CD"/>
    <w:rsid w:val="139231D1"/>
    <w:rsid w:val="13A552CF"/>
    <w:rsid w:val="13B660AC"/>
    <w:rsid w:val="13B7041D"/>
    <w:rsid w:val="13BD087C"/>
    <w:rsid w:val="13C17B94"/>
    <w:rsid w:val="13C22CA3"/>
    <w:rsid w:val="13C24A51"/>
    <w:rsid w:val="13C42EA9"/>
    <w:rsid w:val="13CD0249"/>
    <w:rsid w:val="13D10778"/>
    <w:rsid w:val="13D84756"/>
    <w:rsid w:val="13DC1FB6"/>
    <w:rsid w:val="13E56A59"/>
    <w:rsid w:val="13E675EB"/>
    <w:rsid w:val="13E7095B"/>
    <w:rsid w:val="13E76BAD"/>
    <w:rsid w:val="13EB4EDD"/>
    <w:rsid w:val="13F6765C"/>
    <w:rsid w:val="13FF0056"/>
    <w:rsid w:val="1405071D"/>
    <w:rsid w:val="14107ACE"/>
    <w:rsid w:val="141B4524"/>
    <w:rsid w:val="141E4167"/>
    <w:rsid w:val="14206187"/>
    <w:rsid w:val="14224964"/>
    <w:rsid w:val="142474B9"/>
    <w:rsid w:val="14265990"/>
    <w:rsid w:val="143E4A1F"/>
    <w:rsid w:val="14496F20"/>
    <w:rsid w:val="144B660A"/>
    <w:rsid w:val="144D6271"/>
    <w:rsid w:val="145644FD"/>
    <w:rsid w:val="145C18B0"/>
    <w:rsid w:val="146B0ABA"/>
    <w:rsid w:val="146B1167"/>
    <w:rsid w:val="147224C0"/>
    <w:rsid w:val="1482276E"/>
    <w:rsid w:val="14863CD0"/>
    <w:rsid w:val="148917B4"/>
    <w:rsid w:val="148C22E3"/>
    <w:rsid w:val="14A405FA"/>
    <w:rsid w:val="14B424E1"/>
    <w:rsid w:val="14B831D9"/>
    <w:rsid w:val="14BA1BCC"/>
    <w:rsid w:val="14BD3113"/>
    <w:rsid w:val="14C26137"/>
    <w:rsid w:val="14C447F8"/>
    <w:rsid w:val="14C44E68"/>
    <w:rsid w:val="14CA32B4"/>
    <w:rsid w:val="14E153AA"/>
    <w:rsid w:val="150A62DD"/>
    <w:rsid w:val="15105CB4"/>
    <w:rsid w:val="15126212"/>
    <w:rsid w:val="15192D96"/>
    <w:rsid w:val="15197764"/>
    <w:rsid w:val="151E215B"/>
    <w:rsid w:val="1522229D"/>
    <w:rsid w:val="1529706A"/>
    <w:rsid w:val="152C5478"/>
    <w:rsid w:val="153A69F5"/>
    <w:rsid w:val="15591989"/>
    <w:rsid w:val="155F63AA"/>
    <w:rsid w:val="156261C4"/>
    <w:rsid w:val="15724781"/>
    <w:rsid w:val="15780F1D"/>
    <w:rsid w:val="15962639"/>
    <w:rsid w:val="159B37AB"/>
    <w:rsid w:val="15A7375C"/>
    <w:rsid w:val="15B14D7D"/>
    <w:rsid w:val="15B4486D"/>
    <w:rsid w:val="15CC1BB7"/>
    <w:rsid w:val="15CE23A2"/>
    <w:rsid w:val="15D3322D"/>
    <w:rsid w:val="15DE3798"/>
    <w:rsid w:val="15E52C78"/>
    <w:rsid w:val="15EA111A"/>
    <w:rsid w:val="15F90B02"/>
    <w:rsid w:val="15FA603B"/>
    <w:rsid w:val="16027647"/>
    <w:rsid w:val="160475A2"/>
    <w:rsid w:val="16092E0B"/>
    <w:rsid w:val="16094BB9"/>
    <w:rsid w:val="160D33F7"/>
    <w:rsid w:val="16154E05"/>
    <w:rsid w:val="16157099"/>
    <w:rsid w:val="161B1AEA"/>
    <w:rsid w:val="1635775C"/>
    <w:rsid w:val="16372E16"/>
    <w:rsid w:val="164361D3"/>
    <w:rsid w:val="16495BA7"/>
    <w:rsid w:val="164C4F29"/>
    <w:rsid w:val="16505913"/>
    <w:rsid w:val="16512847"/>
    <w:rsid w:val="16583DDE"/>
    <w:rsid w:val="165B4EA8"/>
    <w:rsid w:val="16771BF4"/>
    <w:rsid w:val="167C54D4"/>
    <w:rsid w:val="167F131F"/>
    <w:rsid w:val="167F3167"/>
    <w:rsid w:val="16821E3E"/>
    <w:rsid w:val="168835F3"/>
    <w:rsid w:val="168A1F83"/>
    <w:rsid w:val="168C52AB"/>
    <w:rsid w:val="169700E8"/>
    <w:rsid w:val="16970417"/>
    <w:rsid w:val="16A14DF1"/>
    <w:rsid w:val="16A843D2"/>
    <w:rsid w:val="16AA01B2"/>
    <w:rsid w:val="16AB7923"/>
    <w:rsid w:val="16AC5EC2"/>
    <w:rsid w:val="16BF34C9"/>
    <w:rsid w:val="16C22EC5"/>
    <w:rsid w:val="16DD2A23"/>
    <w:rsid w:val="16E42F30"/>
    <w:rsid w:val="16E76640"/>
    <w:rsid w:val="16F74413"/>
    <w:rsid w:val="16F85E97"/>
    <w:rsid w:val="16F92883"/>
    <w:rsid w:val="16FC6A7F"/>
    <w:rsid w:val="16FE3FF2"/>
    <w:rsid w:val="16FF0834"/>
    <w:rsid w:val="170A508C"/>
    <w:rsid w:val="170F6CCF"/>
    <w:rsid w:val="17122F5A"/>
    <w:rsid w:val="17214ADB"/>
    <w:rsid w:val="1723372C"/>
    <w:rsid w:val="17397720"/>
    <w:rsid w:val="17461761"/>
    <w:rsid w:val="1747274E"/>
    <w:rsid w:val="174751F4"/>
    <w:rsid w:val="17510F3A"/>
    <w:rsid w:val="17602B90"/>
    <w:rsid w:val="1770017D"/>
    <w:rsid w:val="17761CD6"/>
    <w:rsid w:val="177644D0"/>
    <w:rsid w:val="177741C5"/>
    <w:rsid w:val="1780534F"/>
    <w:rsid w:val="17850079"/>
    <w:rsid w:val="178878E4"/>
    <w:rsid w:val="178B7021"/>
    <w:rsid w:val="178C5AA1"/>
    <w:rsid w:val="179A04DE"/>
    <w:rsid w:val="179F2B87"/>
    <w:rsid w:val="17A770D7"/>
    <w:rsid w:val="17AC452C"/>
    <w:rsid w:val="17AE04B3"/>
    <w:rsid w:val="17BE1D21"/>
    <w:rsid w:val="17C13EE2"/>
    <w:rsid w:val="17CA66EF"/>
    <w:rsid w:val="17CD1C16"/>
    <w:rsid w:val="17D16960"/>
    <w:rsid w:val="17E44778"/>
    <w:rsid w:val="17EA0ADA"/>
    <w:rsid w:val="17F12F10"/>
    <w:rsid w:val="17F453F5"/>
    <w:rsid w:val="17FC3582"/>
    <w:rsid w:val="17FD074D"/>
    <w:rsid w:val="18001AB9"/>
    <w:rsid w:val="18062254"/>
    <w:rsid w:val="18090EA0"/>
    <w:rsid w:val="180E3370"/>
    <w:rsid w:val="18122493"/>
    <w:rsid w:val="18145227"/>
    <w:rsid w:val="18170A6D"/>
    <w:rsid w:val="18243653"/>
    <w:rsid w:val="182C1A01"/>
    <w:rsid w:val="182C669D"/>
    <w:rsid w:val="18316649"/>
    <w:rsid w:val="183733A8"/>
    <w:rsid w:val="183B2D13"/>
    <w:rsid w:val="183C74C7"/>
    <w:rsid w:val="184243B2"/>
    <w:rsid w:val="184D46C6"/>
    <w:rsid w:val="185123CE"/>
    <w:rsid w:val="18585984"/>
    <w:rsid w:val="186A7883"/>
    <w:rsid w:val="186B0865"/>
    <w:rsid w:val="18702CCD"/>
    <w:rsid w:val="18812024"/>
    <w:rsid w:val="188F2DEE"/>
    <w:rsid w:val="1890336F"/>
    <w:rsid w:val="1890412B"/>
    <w:rsid w:val="1898096A"/>
    <w:rsid w:val="18A14E3D"/>
    <w:rsid w:val="18A9112F"/>
    <w:rsid w:val="18AF3243"/>
    <w:rsid w:val="18B232E6"/>
    <w:rsid w:val="18CE20EA"/>
    <w:rsid w:val="18D30F86"/>
    <w:rsid w:val="18E576F5"/>
    <w:rsid w:val="18EB2C9C"/>
    <w:rsid w:val="18F33B87"/>
    <w:rsid w:val="18F365C9"/>
    <w:rsid w:val="18F64F8E"/>
    <w:rsid w:val="18FC3389"/>
    <w:rsid w:val="19037FE5"/>
    <w:rsid w:val="19095239"/>
    <w:rsid w:val="1915022F"/>
    <w:rsid w:val="191D20AD"/>
    <w:rsid w:val="191D3287"/>
    <w:rsid w:val="19476C56"/>
    <w:rsid w:val="194A0AAB"/>
    <w:rsid w:val="194B54E8"/>
    <w:rsid w:val="196038C1"/>
    <w:rsid w:val="196F567B"/>
    <w:rsid w:val="1977314F"/>
    <w:rsid w:val="19781FD2"/>
    <w:rsid w:val="197E141A"/>
    <w:rsid w:val="1985647E"/>
    <w:rsid w:val="1988673C"/>
    <w:rsid w:val="198D54DA"/>
    <w:rsid w:val="199508EE"/>
    <w:rsid w:val="19A74E14"/>
    <w:rsid w:val="19AA0911"/>
    <w:rsid w:val="19B146A7"/>
    <w:rsid w:val="19B26AAE"/>
    <w:rsid w:val="19B61096"/>
    <w:rsid w:val="19B63CA2"/>
    <w:rsid w:val="19D46296"/>
    <w:rsid w:val="19DF2F0C"/>
    <w:rsid w:val="19E51499"/>
    <w:rsid w:val="19EB3418"/>
    <w:rsid w:val="19EC2827"/>
    <w:rsid w:val="19F80A95"/>
    <w:rsid w:val="1A045845"/>
    <w:rsid w:val="1A0D45F7"/>
    <w:rsid w:val="1A18333E"/>
    <w:rsid w:val="1A1A2FBC"/>
    <w:rsid w:val="1A2C0E5C"/>
    <w:rsid w:val="1A307114"/>
    <w:rsid w:val="1A341559"/>
    <w:rsid w:val="1A4A567E"/>
    <w:rsid w:val="1A626F8D"/>
    <w:rsid w:val="1A63231D"/>
    <w:rsid w:val="1A793FD6"/>
    <w:rsid w:val="1A845156"/>
    <w:rsid w:val="1A8A7AA3"/>
    <w:rsid w:val="1A8D7987"/>
    <w:rsid w:val="1A984129"/>
    <w:rsid w:val="1A9A04D5"/>
    <w:rsid w:val="1A9B0BEB"/>
    <w:rsid w:val="1A9D4B2C"/>
    <w:rsid w:val="1AA97D0E"/>
    <w:rsid w:val="1AAA5134"/>
    <w:rsid w:val="1AAD34D1"/>
    <w:rsid w:val="1AB07444"/>
    <w:rsid w:val="1AB07CF9"/>
    <w:rsid w:val="1AB75BC6"/>
    <w:rsid w:val="1ABA46D4"/>
    <w:rsid w:val="1AC82203"/>
    <w:rsid w:val="1AD31BE7"/>
    <w:rsid w:val="1ADC4161"/>
    <w:rsid w:val="1AE05A0D"/>
    <w:rsid w:val="1AE17EB2"/>
    <w:rsid w:val="1AE256A7"/>
    <w:rsid w:val="1AE53DA7"/>
    <w:rsid w:val="1AED57A0"/>
    <w:rsid w:val="1AEF71B4"/>
    <w:rsid w:val="1AF15819"/>
    <w:rsid w:val="1AF2152D"/>
    <w:rsid w:val="1AF649F1"/>
    <w:rsid w:val="1B0A13BE"/>
    <w:rsid w:val="1B2F23E0"/>
    <w:rsid w:val="1B41324C"/>
    <w:rsid w:val="1B4E4DCC"/>
    <w:rsid w:val="1B527CC4"/>
    <w:rsid w:val="1B561150"/>
    <w:rsid w:val="1B6A154A"/>
    <w:rsid w:val="1B6F2034"/>
    <w:rsid w:val="1B707488"/>
    <w:rsid w:val="1B72369B"/>
    <w:rsid w:val="1B7E7661"/>
    <w:rsid w:val="1B8B6070"/>
    <w:rsid w:val="1B8F5F08"/>
    <w:rsid w:val="1B936DF5"/>
    <w:rsid w:val="1B9413C8"/>
    <w:rsid w:val="1B99078D"/>
    <w:rsid w:val="1B9D1C38"/>
    <w:rsid w:val="1B9F478E"/>
    <w:rsid w:val="1BA23B03"/>
    <w:rsid w:val="1BA4024E"/>
    <w:rsid w:val="1BA74C23"/>
    <w:rsid w:val="1BC03A9C"/>
    <w:rsid w:val="1BC2419B"/>
    <w:rsid w:val="1BC2712A"/>
    <w:rsid w:val="1BDB6FF7"/>
    <w:rsid w:val="1BE04B5F"/>
    <w:rsid w:val="1BED2887"/>
    <w:rsid w:val="1BEF2AA3"/>
    <w:rsid w:val="1BF27E9D"/>
    <w:rsid w:val="1C0425E7"/>
    <w:rsid w:val="1C161D03"/>
    <w:rsid w:val="1C194834"/>
    <w:rsid w:val="1C1B3C1F"/>
    <w:rsid w:val="1C2261A1"/>
    <w:rsid w:val="1C362D93"/>
    <w:rsid w:val="1C3B19B0"/>
    <w:rsid w:val="1C417206"/>
    <w:rsid w:val="1C427076"/>
    <w:rsid w:val="1C441850"/>
    <w:rsid w:val="1C47643B"/>
    <w:rsid w:val="1C4849D5"/>
    <w:rsid w:val="1C5E5533"/>
    <w:rsid w:val="1C6F168E"/>
    <w:rsid w:val="1C744D1F"/>
    <w:rsid w:val="1C972C27"/>
    <w:rsid w:val="1C9E11FA"/>
    <w:rsid w:val="1CA70CF6"/>
    <w:rsid w:val="1CAE78D0"/>
    <w:rsid w:val="1CB258B3"/>
    <w:rsid w:val="1CB64253"/>
    <w:rsid w:val="1CC25AC1"/>
    <w:rsid w:val="1CC61A56"/>
    <w:rsid w:val="1CCB6E0D"/>
    <w:rsid w:val="1CCE7662"/>
    <w:rsid w:val="1CD66EA5"/>
    <w:rsid w:val="1CD83186"/>
    <w:rsid w:val="1CDB6B83"/>
    <w:rsid w:val="1CE6017B"/>
    <w:rsid w:val="1CEB3F2C"/>
    <w:rsid w:val="1D1A58FD"/>
    <w:rsid w:val="1D1B1A39"/>
    <w:rsid w:val="1D2034EF"/>
    <w:rsid w:val="1D207C71"/>
    <w:rsid w:val="1D2403CA"/>
    <w:rsid w:val="1D2574B3"/>
    <w:rsid w:val="1D28414B"/>
    <w:rsid w:val="1D2A05D5"/>
    <w:rsid w:val="1D3240BA"/>
    <w:rsid w:val="1D366DAF"/>
    <w:rsid w:val="1D40323B"/>
    <w:rsid w:val="1D417767"/>
    <w:rsid w:val="1D4B3D09"/>
    <w:rsid w:val="1D586F5A"/>
    <w:rsid w:val="1D5B4CE8"/>
    <w:rsid w:val="1D5E3A3C"/>
    <w:rsid w:val="1D614905"/>
    <w:rsid w:val="1D665F9A"/>
    <w:rsid w:val="1D6A0633"/>
    <w:rsid w:val="1D6A38DB"/>
    <w:rsid w:val="1D715A06"/>
    <w:rsid w:val="1D756FD8"/>
    <w:rsid w:val="1D7C5747"/>
    <w:rsid w:val="1D803C1B"/>
    <w:rsid w:val="1D8D5E08"/>
    <w:rsid w:val="1D8F7816"/>
    <w:rsid w:val="1D9A259A"/>
    <w:rsid w:val="1D9F5E03"/>
    <w:rsid w:val="1DA33D00"/>
    <w:rsid w:val="1DA36D78"/>
    <w:rsid w:val="1DA94809"/>
    <w:rsid w:val="1DAC6862"/>
    <w:rsid w:val="1DAF0830"/>
    <w:rsid w:val="1DB544ED"/>
    <w:rsid w:val="1DBC69B5"/>
    <w:rsid w:val="1DC00253"/>
    <w:rsid w:val="1DCC51B1"/>
    <w:rsid w:val="1DCE26D2"/>
    <w:rsid w:val="1DDA4976"/>
    <w:rsid w:val="1DDB3FF4"/>
    <w:rsid w:val="1DDC7057"/>
    <w:rsid w:val="1DE01D73"/>
    <w:rsid w:val="1DEF0B38"/>
    <w:rsid w:val="1DF0158F"/>
    <w:rsid w:val="1DF4614E"/>
    <w:rsid w:val="1DF76A17"/>
    <w:rsid w:val="1E016615"/>
    <w:rsid w:val="1E1020A9"/>
    <w:rsid w:val="1E214575"/>
    <w:rsid w:val="1E2C0243"/>
    <w:rsid w:val="1E2E5EE8"/>
    <w:rsid w:val="1E2F362A"/>
    <w:rsid w:val="1E4147DD"/>
    <w:rsid w:val="1E4569AA"/>
    <w:rsid w:val="1E4845F7"/>
    <w:rsid w:val="1E48598B"/>
    <w:rsid w:val="1E4A5814"/>
    <w:rsid w:val="1E4F03D6"/>
    <w:rsid w:val="1E533BFC"/>
    <w:rsid w:val="1E57507A"/>
    <w:rsid w:val="1E5906A7"/>
    <w:rsid w:val="1E594D81"/>
    <w:rsid w:val="1E615834"/>
    <w:rsid w:val="1E764DB5"/>
    <w:rsid w:val="1E7B061E"/>
    <w:rsid w:val="1E7D7557"/>
    <w:rsid w:val="1E94157B"/>
    <w:rsid w:val="1EA92A46"/>
    <w:rsid w:val="1EAC3CCC"/>
    <w:rsid w:val="1EAC4C7B"/>
    <w:rsid w:val="1EB27864"/>
    <w:rsid w:val="1ED41ADC"/>
    <w:rsid w:val="1EDA17E8"/>
    <w:rsid w:val="1EDD3FD4"/>
    <w:rsid w:val="1EE320DA"/>
    <w:rsid w:val="1EE32C94"/>
    <w:rsid w:val="1EE95587"/>
    <w:rsid w:val="1EEA1829"/>
    <w:rsid w:val="1EF44C0A"/>
    <w:rsid w:val="1EFD2FFE"/>
    <w:rsid w:val="1F063538"/>
    <w:rsid w:val="1F0E3240"/>
    <w:rsid w:val="1F0E5E2F"/>
    <w:rsid w:val="1F101126"/>
    <w:rsid w:val="1F161B67"/>
    <w:rsid w:val="1F273756"/>
    <w:rsid w:val="1F394646"/>
    <w:rsid w:val="1F487665"/>
    <w:rsid w:val="1F494A91"/>
    <w:rsid w:val="1F4A0114"/>
    <w:rsid w:val="1F4A6B79"/>
    <w:rsid w:val="1F630B17"/>
    <w:rsid w:val="1F661084"/>
    <w:rsid w:val="1F677A77"/>
    <w:rsid w:val="1F7A08D5"/>
    <w:rsid w:val="1F7D0AC9"/>
    <w:rsid w:val="1F877DA2"/>
    <w:rsid w:val="1F896D6A"/>
    <w:rsid w:val="1F8A1979"/>
    <w:rsid w:val="1F8B688A"/>
    <w:rsid w:val="1F95171E"/>
    <w:rsid w:val="1F9849B2"/>
    <w:rsid w:val="1FAE2DA8"/>
    <w:rsid w:val="1FB46C05"/>
    <w:rsid w:val="1FBE4C66"/>
    <w:rsid w:val="1FC009DE"/>
    <w:rsid w:val="1FCE4092"/>
    <w:rsid w:val="1FD20711"/>
    <w:rsid w:val="1FD44489"/>
    <w:rsid w:val="1FD760A0"/>
    <w:rsid w:val="1FDF13FF"/>
    <w:rsid w:val="1FED10A7"/>
    <w:rsid w:val="1FF24910"/>
    <w:rsid w:val="1FF561AE"/>
    <w:rsid w:val="1FF93EF0"/>
    <w:rsid w:val="1FFC700E"/>
    <w:rsid w:val="200E038C"/>
    <w:rsid w:val="20126D60"/>
    <w:rsid w:val="203F473B"/>
    <w:rsid w:val="20411657"/>
    <w:rsid w:val="20474C5B"/>
    <w:rsid w:val="204E2A69"/>
    <w:rsid w:val="20565C2B"/>
    <w:rsid w:val="205E38B6"/>
    <w:rsid w:val="2060456E"/>
    <w:rsid w:val="2066116A"/>
    <w:rsid w:val="2069562A"/>
    <w:rsid w:val="206C2050"/>
    <w:rsid w:val="207F554A"/>
    <w:rsid w:val="20821001"/>
    <w:rsid w:val="208903EF"/>
    <w:rsid w:val="20895DCF"/>
    <w:rsid w:val="2093163A"/>
    <w:rsid w:val="20AD1FB6"/>
    <w:rsid w:val="20CD7F3C"/>
    <w:rsid w:val="20D14525"/>
    <w:rsid w:val="20D44849"/>
    <w:rsid w:val="20D46834"/>
    <w:rsid w:val="20DB1848"/>
    <w:rsid w:val="20E30FCA"/>
    <w:rsid w:val="20E60FB8"/>
    <w:rsid w:val="20F30321"/>
    <w:rsid w:val="20FB2722"/>
    <w:rsid w:val="20FE42D5"/>
    <w:rsid w:val="210510A3"/>
    <w:rsid w:val="21185F97"/>
    <w:rsid w:val="211C6C63"/>
    <w:rsid w:val="2129610F"/>
    <w:rsid w:val="212969FE"/>
    <w:rsid w:val="212F12B7"/>
    <w:rsid w:val="21305EFA"/>
    <w:rsid w:val="21417B95"/>
    <w:rsid w:val="214E3DC8"/>
    <w:rsid w:val="214F0F55"/>
    <w:rsid w:val="21507EF7"/>
    <w:rsid w:val="21522687"/>
    <w:rsid w:val="215765F8"/>
    <w:rsid w:val="21627099"/>
    <w:rsid w:val="21665F3D"/>
    <w:rsid w:val="217259F5"/>
    <w:rsid w:val="21731164"/>
    <w:rsid w:val="21751354"/>
    <w:rsid w:val="21794FDF"/>
    <w:rsid w:val="21810781"/>
    <w:rsid w:val="218307C0"/>
    <w:rsid w:val="21852C8B"/>
    <w:rsid w:val="21980F98"/>
    <w:rsid w:val="219961AD"/>
    <w:rsid w:val="219A525F"/>
    <w:rsid w:val="219F4775"/>
    <w:rsid w:val="21AB33D9"/>
    <w:rsid w:val="21CD2F3E"/>
    <w:rsid w:val="21D20555"/>
    <w:rsid w:val="21D214A4"/>
    <w:rsid w:val="21D66991"/>
    <w:rsid w:val="21DB078B"/>
    <w:rsid w:val="21DE649C"/>
    <w:rsid w:val="21E13950"/>
    <w:rsid w:val="21E20502"/>
    <w:rsid w:val="21E310DC"/>
    <w:rsid w:val="21ED3D22"/>
    <w:rsid w:val="21F7445F"/>
    <w:rsid w:val="21FF3314"/>
    <w:rsid w:val="220B1088"/>
    <w:rsid w:val="221F6703"/>
    <w:rsid w:val="22256E39"/>
    <w:rsid w:val="2229136E"/>
    <w:rsid w:val="22372EF7"/>
    <w:rsid w:val="224B4015"/>
    <w:rsid w:val="22515C51"/>
    <w:rsid w:val="22547AD7"/>
    <w:rsid w:val="226B448E"/>
    <w:rsid w:val="226E2B8B"/>
    <w:rsid w:val="226F39E7"/>
    <w:rsid w:val="22704304"/>
    <w:rsid w:val="228269EF"/>
    <w:rsid w:val="22883309"/>
    <w:rsid w:val="229C4F13"/>
    <w:rsid w:val="22A30143"/>
    <w:rsid w:val="22AA220F"/>
    <w:rsid w:val="22AC658E"/>
    <w:rsid w:val="22B14ADD"/>
    <w:rsid w:val="22B91715"/>
    <w:rsid w:val="22B934C3"/>
    <w:rsid w:val="22B967FE"/>
    <w:rsid w:val="22BA5E53"/>
    <w:rsid w:val="22D8603F"/>
    <w:rsid w:val="22DE76E0"/>
    <w:rsid w:val="22EC7CE4"/>
    <w:rsid w:val="22F52F71"/>
    <w:rsid w:val="231150AD"/>
    <w:rsid w:val="231451F3"/>
    <w:rsid w:val="23177412"/>
    <w:rsid w:val="23201619"/>
    <w:rsid w:val="23236AD8"/>
    <w:rsid w:val="23250B58"/>
    <w:rsid w:val="233C59BD"/>
    <w:rsid w:val="233D398F"/>
    <w:rsid w:val="23591BC6"/>
    <w:rsid w:val="23597A57"/>
    <w:rsid w:val="236553F8"/>
    <w:rsid w:val="236C0836"/>
    <w:rsid w:val="23701656"/>
    <w:rsid w:val="237C6408"/>
    <w:rsid w:val="237D4995"/>
    <w:rsid w:val="23904853"/>
    <w:rsid w:val="239F090A"/>
    <w:rsid w:val="23A86EA7"/>
    <w:rsid w:val="23A92FDF"/>
    <w:rsid w:val="23AC4C2C"/>
    <w:rsid w:val="23B5369F"/>
    <w:rsid w:val="23C0040B"/>
    <w:rsid w:val="23C10881"/>
    <w:rsid w:val="23C32511"/>
    <w:rsid w:val="23C71C0F"/>
    <w:rsid w:val="23CD1AE5"/>
    <w:rsid w:val="23DA6519"/>
    <w:rsid w:val="23DC1B5F"/>
    <w:rsid w:val="23E173E8"/>
    <w:rsid w:val="23E9602A"/>
    <w:rsid w:val="23EB0CFA"/>
    <w:rsid w:val="23F21382"/>
    <w:rsid w:val="23F218B2"/>
    <w:rsid w:val="23F5210E"/>
    <w:rsid w:val="23FE7520"/>
    <w:rsid w:val="240B62AB"/>
    <w:rsid w:val="241B1421"/>
    <w:rsid w:val="241D0A36"/>
    <w:rsid w:val="241E5A1E"/>
    <w:rsid w:val="242C68E1"/>
    <w:rsid w:val="24316936"/>
    <w:rsid w:val="24392A65"/>
    <w:rsid w:val="243E1133"/>
    <w:rsid w:val="243E6375"/>
    <w:rsid w:val="24412359"/>
    <w:rsid w:val="245F0162"/>
    <w:rsid w:val="245F68FF"/>
    <w:rsid w:val="2466767A"/>
    <w:rsid w:val="24721326"/>
    <w:rsid w:val="24741D1C"/>
    <w:rsid w:val="24803A7D"/>
    <w:rsid w:val="24910197"/>
    <w:rsid w:val="24A34E81"/>
    <w:rsid w:val="24AA2C10"/>
    <w:rsid w:val="24AC15B1"/>
    <w:rsid w:val="24B15C48"/>
    <w:rsid w:val="24C02774"/>
    <w:rsid w:val="24C75E0E"/>
    <w:rsid w:val="24E0390B"/>
    <w:rsid w:val="24E231A5"/>
    <w:rsid w:val="24E32A79"/>
    <w:rsid w:val="24E50C5A"/>
    <w:rsid w:val="250255F5"/>
    <w:rsid w:val="250E4686"/>
    <w:rsid w:val="25166D35"/>
    <w:rsid w:val="251B2213"/>
    <w:rsid w:val="252512E3"/>
    <w:rsid w:val="25265FB5"/>
    <w:rsid w:val="252D7B95"/>
    <w:rsid w:val="25481AF8"/>
    <w:rsid w:val="25485D6F"/>
    <w:rsid w:val="254F3141"/>
    <w:rsid w:val="2553323D"/>
    <w:rsid w:val="255547A1"/>
    <w:rsid w:val="255E0779"/>
    <w:rsid w:val="25651A3C"/>
    <w:rsid w:val="25657DBC"/>
    <w:rsid w:val="256D0FD8"/>
    <w:rsid w:val="25745C4F"/>
    <w:rsid w:val="257C419D"/>
    <w:rsid w:val="25816B68"/>
    <w:rsid w:val="2586286E"/>
    <w:rsid w:val="259A75DB"/>
    <w:rsid w:val="259D71B4"/>
    <w:rsid w:val="25AC6189"/>
    <w:rsid w:val="25B04A8F"/>
    <w:rsid w:val="25B21CB9"/>
    <w:rsid w:val="25B222C3"/>
    <w:rsid w:val="25BC1449"/>
    <w:rsid w:val="25C32E1F"/>
    <w:rsid w:val="25D458D2"/>
    <w:rsid w:val="25DA50B8"/>
    <w:rsid w:val="25DC667A"/>
    <w:rsid w:val="25DE14A7"/>
    <w:rsid w:val="25DF5936"/>
    <w:rsid w:val="25EF58E2"/>
    <w:rsid w:val="25F446DA"/>
    <w:rsid w:val="25F85CA6"/>
    <w:rsid w:val="25FA159E"/>
    <w:rsid w:val="25FA2012"/>
    <w:rsid w:val="25FB41C7"/>
    <w:rsid w:val="25FF0727"/>
    <w:rsid w:val="26061115"/>
    <w:rsid w:val="26133151"/>
    <w:rsid w:val="2619104E"/>
    <w:rsid w:val="26201350"/>
    <w:rsid w:val="26284BE7"/>
    <w:rsid w:val="26296BB1"/>
    <w:rsid w:val="262B46D7"/>
    <w:rsid w:val="26312218"/>
    <w:rsid w:val="26347A30"/>
    <w:rsid w:val="263E08AF"/>
    <w:rsid w:val="264803D1"/>
    <w:rsid w:val="264D4B5C"/>
    <w:rsid w:val="2657371E"/>
    <w:rsid w:val="265F7FA5"/>
    <w:rsid w:val="266D2F42"/>
    <w:rsid w:val="2674314E"/>
    <w:rsid w:val="267D0193"/>
    <w:rsid w:val="268A2846"/>
    <w:rsid w:val="268D6C84"/>
    <w:rsid w:val="268E5AA7"/>
    <w:rsid w:val="269C0863"/>
    <w:rsid w:val="26A32238"/>
    <w:rsid w:val="26A76454"/>
    <w:rsid w:val="26BB3F9F"/>
    <w:rsid w:val="26C012C4"/>
    <w:rsid w:val="26DE5BEE"/>
    <w:rsid w:val="26F0427E"/>
    <w:rsid w:val="27067B4E"/>
    <w:rsid w:val="270B2AAB"/>
    <w:rsid w:val="270E1DFE"/>
    <w:rsid w:val="27132D4E"/>
    <w:rsid w:val="27147861"/>
    <w:rsid w:val="27157040"/>
    <w:rsid w:val="271B41C1"/>
    <w:rsid w:val="271D5449"/>
    <w:rsid w:val="2720475B"/>
    <w:rsid w:val="27243BCE"/>
    <w:rsid w:val="2729062F"/>
    <w:rsid w:val="273E043A"/>
    <w:rsid w:val="273E3DF8"/>
    <w:rsid w:val="273E5401"/>
    <w:rsid w:val="274F1A8E"/>
    <w:rsid w:val="27593B6D"/>
    <w:rsid w:val="27657761"/>
    <w:rsid w:val="276B6E49"/>
    <w:rsid w:val="277025F8"/>
    <w:rsid w:val="27872B1D"/>
    <w:rsid w:val="27912C60"/>
    <w:rsid w:val="279A4533"/>
    <w:rsid w:val="27A5574F"/>
    <w:rsid w:val="27AE55C0"/>
    <w:rsid w:val="27B055DB"/>
    <w:rsid w:val="27BA42D5"/>
    <w:rsid w:val="27BE1776"/>
    <w:rsid w:val="27BF1399"/>
    <w:rsid w:val="27D01E23"/>
    <w:rsid w:val="27D8711B"/>
    <w:rsid w:val="27E17743"/>
    <w:rsid w:val="27E6453D"/>
    <w:rsid w:val="27F324C2"/>
    <w:rsid w:val="27F976BF"/>
    <w:rsid w:val="27FA2506"/>
    <w:rsid w:val="27FF5E1C"/>
    <w:rsid w:val="28126714"/>
    <w:rsid w:val="28177725"/>
    <w:rsid w:val="28264A17"/>
    <w:rsid w:val="282B4E63"/>
    <w:rsid w:val="28357A8F"/>
    <w:rsid w:val="284C4787"/>
    <w:rsid w:val="28556371"/>
    <w:rsid w:val="285A5748"/>
    <w:rsid w:val="285C1BAD"/>
    <w:rsid w:val="28795A99"/>
    <w:rsid w:val="288B3B53"/>
    <w:rsid w:val="2890116A"/>
    <w:rsid w:val="28927D19"/>
    <w:rsid w:val="289947F7"/>
    <w:rsid w:val="28A94815"/>
    <w:rsid w:val="28A965E7"/>
    <w:rsid w:val="28C3509B"/>
    <w:rsid w:val="28C7297B"/>
    <w:rsid w:val="28CC017C"/>
    <w:rsid w:val="28CE392E"/>
    <w:rsid w:val="28D23530"/>
    <w:rsid w:val="28D75DD0"/>
    <w:rsid w:val="28E27033"/>
    <w:rsid w:val="28E86CDC"/>
    <w:rsid w:val="28EB21CB"/>
    <w:rsid w:val="28EB2BA8"/>
    <w:rsid w:val="28F962BB"/>
    <w:rsid w:val="29035658"/>
    <w:rsid w:val="292E4C0A"/>
    <w:rsid w:val="292F4A74"/>
    <w:rsid w:val="29366E60"/>
    <w:rsid w:val="293F2C50"/>
    <w:rsid w:val="29400E7C"/>
    <w:rsid w:val="29416447"/>
    <w:rsid w:val="29475CCC"/>
    <w:rsid w:val="29476828"/>
    <w:rsid w:val="294819CE"/>
    <w:rsid w:val="29524B8E"/>
    <w:rsid w:val="29565F0F"/>
    <w:rsid w:val="29582E01"/>
    <w:rsid w:val="295906D1"/>
    <w:rsid w:val="296A7C18"/>
    <w:rsid w:val="297816E4"/>
    <w:rsid w:val="299D769A"/>
    <w:rsid w:val="29A03F86"/>
    <w:rsid w:val="29A04643"/>
    <w:rsid w:val="29CB6802"/>
    <w:rsid w:val="29DD117E"/>
    <w:rsid w:val="29E3027D"/>
    <w:rsid w:val="29E32F33"/>
    <w:rsid w:val="29E7300B"/>
    <w:rsid w:val="29E85A7D"/>
    <w:rsid w:val="29F37D89"/>
    <w:rsid w:val="29F44EC2"/>
    <w:rsid w:val="29F633A4"/>
    <w:rsid w:val="29F82512"/>
    <w:rsid w:val="2A0C7C3E"/>
    <w:rsid w:val="2A1C0984"/>
    <w:rsid w:val="2A1D0A22"/>
    <w:rsid w:val="2A32262F"/>
    <w:rsid w:val="2A3317AB"/>
    <w:rsid w:val="2A337FFE"/>
    <w:rsid w:val="2A3764E1"/>
    <w:rsid w:val="2A481CFC"/>
    <w:rsid w:val="2A507D17"/>
    <w:rsid w:val="2A5749AB"/>
    <w:rsid w:val="2A614B6C"/>
    <w:rsid w:val="2A671DF4"/>
    <w:rsid w:val="2A6E7CB5"/>
    <w:rsid w:val="2A716218"/>
    <w:rsid w:val="2A7C7BF7"/>
    <w:rsid w:val="2A7D20BA"/>
    <w:rsid w:val="2A8062CA"/>
    <w:rsid w:val="2A842608"/>
    <w:rsid w:val="2A845E7D"/>
    <w:rsid w:val="2A846AAC"/>
    <w:rsid w:val="2A8D3E24"/>
    <w:rsid w:val="2A9B7BB0"/>
    <w:rsid w:val="2AA75ECD"/>
    <w:rsid w:val="2AAA4765"/>
    <w:rsid w:val="2AAC51FB"/>
    <w:rsid w:val="2ABA427C"/>
    <w:rsid w:val="2AC25F69"/>
    <w:rsid w:val="2ACE735A"/>
    <w:rsid w:val="2AD45F83"/>
    <w:rsid w:val="2ADE61BC"/>
    <w:rsid w:val="2AE3526D"/>
    <w:rsid w:val="2AED2B71"/>
    <w:rsid w:val="2AF459E0"/>
    <w:rsid w:val="2AFA52AB"/>
    <w:rsid w:val="2B155711"/>
    <w:rsid w:val="2B263482"/>
    <w:rsid w:val="2B280C8B"/>
    <w:rsid w:val="2B3B0E29"/>
    <w:rsid w:val="2B50111A"/>
    <w:rsid w:val="2B592898"/>
    <w:rsid w:val="2B614027"/>
    <w:rsid w:val="2B6D7BEC"/>
    <w:rsid w:val="2B7E7824"/>
    <w:rsid w:val="2B8446AF"/>
    <w:rsid w:val="2B92418C"/>
    <w:rsid w:val="2BAD433A"/>
    <w:rsid w:val="2BB673D9"/>
    <w:rsid w:val="2BBC4FAF"/>
    <w:rsid w:val="2BCE4483"/>
    <w:rsid w:val="2BD1105A"/>
    <w:rsid w:val="2BD64C13"/>
    <w:rsid w:val="2BDC17EF"/>
    <w:rsid w:val="2BEB4D1D"/>
    <w:rsid w:val="2BF26377"/>
    <w:rsid w:val="2BF437BD"/>
    <w:rsid w:val="2BFA5278"/>
    <w:rsid w:val="2C077995"/>
    <w:rsid w:val="2C122C6D"/>
    <w:rsid w:val="2C124C2B"/>
    <w:rsid w:val="2C1C2DFF"/>
    <w:rsid w:val="2C306F89"/>
    <w:rsid w:val="2C355C6B"/>
    <w:rsid w:val="2C4955AF"/>
    <w:rsid w:val="2C4C35F9"/>
    <w:rsid w:val="2C545D10"/>
    <w:rsid w:val="2C563659"/>
    <w:rsid w:val="2C5C5F6C"/>
    <w:rsid w:val="2C7831FE"/>
    <w:rsid w:val="2C7E5231"/>
    <w:rsid w:val="2C8E5424"/>
    <w:rsid w:val="2C923702"/>
    <w:rsid w:val="2C993CEB"/>
    <w:rsid w:val="2CA527C2"/>
    <w:rsid w:val="2CA53E3F"/>
    <w:rsid w:val="2CA701A0"/>
    <w:rsid w:val="2CA7360C"/>
    <w:rsid w:val="2CAD4098"/>
    <w:rsid w:val="2CB7301E"/>
    <w:rsid w:val="2CC00506"/>
    <w:rsid w:val="2CCC0AB9"/>
    <w:rsid w:val="2CD04900"/>
    <w:rsid w:val="2CD23AFF"/>
    <w:rsid w:val="2CDB7B2F"/>
    <w:rsid w:val="2CDD5265"/>
    <w:rsid w:val="2CE55668"/>
    <w:rsid w:val="2CF565D5"/>
    <w:rsid w:val="2D0A29E8"/>
    <w:rsid w:val="2D0B5451"/>
    <w:rsid w:val="2D1F49F0"/>
    <w:rsid w:val="2D2B621B"/>
    <w:rsid w:val="2D2D15BB"/>
    <w:rsid w:val="2D400BA3"/>
    <w:rsid w:val="2D430559"/>
    <w:rsid w:val="2D522E91"/>
    <w:rsid w:val="2D6230D5"/>
    <w:rsid w:val="2D687FBF"/>
    <w:rsid w:val="2D6B0AEA"/>
    <w:rsid w:val="2D6B4704"/>
    <w:rsid w:val="2D6F65BE"/>
    <w:rsid w:val="2D8A2CD3"/>
    <w:rsid w:val="2D8A37AD"/>
    <w:rsid w:val="2D96112A"/>
    <w:rsid w:val="2D984D48"/>
    <w:rsid w:val="2DA95A0E"/>
    <w:rsid w:val="2DAD1E76"/>
    <w:rsid w:val="2DBE3169"/>
    <w:rsid w:val="2DC53746"/>
    <w:rsid w:val="2DD80E21"/>
    <w:rsid w:val="2DDC3961"/>
    <w:rsid w:val="2DDD6BFF"/>
    <w:rsid w:val="2E054B58"/>
    <w:rsid w:val="2E086BB4"/>
    <w:rsid w:val="2E0E4935"/>
    <w:rsid w:val="2E176DF2"/>
    <w:rsid w:val="2E262A46"/>
    <w:rsid w:val="2E2C53C6"/>
    <w:rsid w:val="2E3A7BAD"/>
    <w:rsid w:val="2E441B11"/>
    <w:rsid w:val="2E4439BD"/>
    <w:rsid w:val="2E4E3659"/>
    <w:rsid w:val="2E540D5A"/>
    <w:rsid w:val="2E5C2074"/>
    <w:rsid w:val="2E600D66"/>
    <w:rsid w:val="2E644C2A"/>
    <w:rsid w:val="2E67296D"/>
    <w:rsid w:val="2E71190E"/>
    <w:rsid w:val="2E7157C2"/>
    <w:rsid w:val="2E7C27C8"/>
    <w:rsid w:val="2E7E04C5"/>
    <w:rsid w:val="2E883A48"/>
    <w:rsid w:val="2E8A43DA"/>
    <w:rsid w:val="2E8E4CE9"/>
    <w:rsid w:val="2E90522C"/>
    <w:rsid w:val="2E9A2484"/>
    <w:rsid w:val="2E9D1979"/>
    <w:rsid w:val="2E9E05A5"/>
    <w:rsid w:val="2EAC7152"/>
    <w:rsid w:val="2EB2227F"/>
    <w:rsid w:val="2EB42B6E"/>
    <w:rsid w:val="2EBA7EB1"/>
    <w:rsid w:val="2EBF66E8"/>
    <w:rsid w:val="2EC11CC0"/>
    <w:rsid w:val="2EC27162"/>
    <w:rsid w:val="2EC60811"/>
    <w:rsid w:val="2EC67693"/>
    <w:rsid w:val="2ECA368D"/>
    <w:rsid w:val="2ECC5093"/>
    <w:rsid w:val="2EE51A52"/>
    <w:rsid w:val="2EF75A9F"/>
    <w:rsid w:val="2F015C6E"/>
    <w:rsid w:val="2F0C35F9"/>
    <w:rsid w:val="2F1A59E5"/>
    <w:rsid w:val="2F1A6BC2"/>
    <w:rsid w:val="2F234C8D"/>
    <w:rsid w:val="2F24502B"/>
    <w:rsid w:val="2F3953A6"/>
    <w:rsid w:val="2F48454C"/>
    <w:rsid w:val="2F4B75B1"/>
    <w:rsid w:val="2F510852"/>
    <w:rsid w:val="2F554522"/>
    <w:rsid w:val="2F5729E1"/>
    <w:rsid w:val="2F5761B2"/>
    <w:rsid w:val="2F6A001E"/>
    <w:rsid w:val="2F6E32EF"/>
    <w:rsid w:val="2F795AC8"/>
    <w:rsid w:val="2F7C6285"/>
    <w:rsid w:val="2F7F628E"/>
    <w:rsid w:val="2F834453"/>
    <w:rsid w:val="2F8D2D68"/>
    <w:rsid w:val="2F8D379B"/>
    <w:rsid w:val="2F8F217B"/>
    <w:rsid w:val="2F8F5EF7"/>
    <w:rsid w:val="2F963509"/>
    <w:rsid w:val="2F9D1E6B"/>
    <w:rsid w:val="2F9E07DB"/>
    <w:rsid w:val="2FAD5D38"/>
    <w:rsid w:val="2FC40D49"/>
    <w:rsid w:val="2FD6492B"/>
    <w:rsid w:val="2FDA4FD6"/>
    <w:rsid w:val="2FDF3281"/>
    <w:rsid w:val="2FE53B49"/>
    <w:rsid w:val="300613AC"/>
    <w:rsid w:val="30091D80"/>
    <w:rsid w:val="301019B9"/>
    <w:rsid w:val="301360CA"/>
    <w:rsid w:val="301A7C10"/>
    <w:rsid w:val="30312FEB"/>
    <w:rsid w:val="304D311E"/>
    <w:rsid w:val="304E16EE"/>
    <w:rsid w:val="304E5B92"/>
    <w:rsid w:val="307578C3"/>
    <w:rsid w:val="307A0735"/>
    <w:rsid w:val="307E57DD"/>
    <w:rsid w:val="30811BBC"/>
    <w:rsid w:val="3082749C"/>
    <w:rsid w:val="30932699"/>
    <w:rsid w:val="30A340DD"/>
    <w:rsid w:val="30A7564E"/>
    <w:rsid w:val="30AB0D8B"/>
    <w:rsid w:val="30B26121"/>
    <w:rsid w:val="30BA05C7"/>
    <w:rsid w:val="30BD0CBC"/>
    <w:rsid w:val="30C974F7"/>
    <w:rsid w:val="30E77BF1"/>
    <w:rsid w:val="30FF6E8C"/>
    <w:rsid w:val="310D15A9"/>
    <w:rsid w:val="310F5A67"/>
    <w:rsid w:val="31191E14"/>
    <w:rsid w:val="31237440"/>
    <w:rsid w:val="31237868"/>
    <w:rsid w:val="312A4384"/>
    <w:rsid w:val="312F4378"/>
    <w:rsid w:val="31344D88"/>
    <w:rsid w:val="31387117"/>
    <w:rsid w:val="31456F95"/>
    <w:rsid w:val="31490108"/>
    <w:rsid w:val="3154714F"/>
    <w:rsid w:val="315A40C3"/>
    <w:rsid w:val="31621BDD"/>
    <w:rsid w:val="318D33AD"/>
    <w:rsid w:val="31AE3AF4"/>
    <w:rsid w:val="31C02E88"/>
    <w:rsid w:val="31CA0F99"/>
    <w:rsid w:val="31DC7654"/>
    <w:rsid w:val="31E565CF"/>
    <w:rsid w:val="31EC0383"/>
    <w:rsid w:val="31F85A80"/>
    <w:rsid w:val="31F94D8A"/>
    <w:rsid w:val="32130E41"/>
    <w:rsid w:val="32140715"/>
    <w:rsid w:val="32146967"/>
    <w:rsid w:val="321A047C"/>
    <w:rsid w:val="321C3938"/>
    <w:rsid w:val="3220530C"/>
    <w:rsid w:val="32252923"/>
    <w:rsid w:val="322828BB"/>
    <w:rsid w:val="32286D85"/>
    <w:rsid w:val="322D5CC7"/>
    <w:rsid w:val="323437DE"/>
    <w:rsid w:val="323A31D7"/>
    <w:rsid w:val="323B5F8E"/>
    <w:rsid w:val="32440F2F"/>
    <w:rsid w:val="324A4137"/>
    <w:rsid w:val="326D77B0"/>
    <w:rsid w:val="327775A4"/>
    <w:rsid w:val="32791896"/>
    <w:rsid w:val="32823E47"/>
    <w:rsid w:val="328463F0"/>
    <w:rsid w:val="32933D30"/>
    <w:rsid w:val="32A23F73"/>
    <w:rsid w:val="32A32C8C"/>
    <w:rsid w:val="32A74AC2"/>
    <w:rsid w:val="32B803DE"/>
    <w:rsid w:val="32B80B7A"/>
    <w:rsid w:val="32C8214C"/>
    <w:rsid w:val="32CB5278"/>
    <w:rsid w:val="32CC55D9"/>
    <w:rsid w:val="32F143F0"/>
    <w:rsid w:val="32FE2CD7"/>
    <w:rsid w:val="33001F37"/>
    <w:rsid w:val="33005C09"/>
    <w:rsid w:val="330507C9"/>
    <w:rsid w:val="3307664C"/>
    <w:rsid w:val="33103128"/>
    <w:rsid w:val="33141E44"/>
    <w:rsid w:val="33186655"/>
    <w:rsid w:val="33232C26"/>
    <w:rsid w:val="33467786"/>
    <w:rsid w:val="33486974"/>
    <w:rsid w:val="335241F5"/>
    <w:rsid w:val="33574D5E"/>
    <w:rsid w:val="335B4D0A"/>
    <w:rsid w:val="335C02D0"/>
    <w:rsid w:val="3361798A"/>
    <w:rsid w:val="33717C2C"/>
    <w:rsid w:val="33763463"/>
    <w:rsid w:val="33800259"/>
    <w:rsid w:val="33954D83"/>
    <w:rsid w:val="339E0DDD"/>
    <w:rsid w:val="33A12162"/>
    <w:rsid w:val="33A47097"/>
    <w:rsid w:val="33A62EF2"/>
    <w:rsid w:val="33B020BC"/>
    <w:rsid w:val="33B76CFF"/>
    <w:rsid w:val="33BA5E0A"/>
    <w:rsid w:val="33BC72B7"/>
    <w:rsid w:val="33BF64F6"/>
    <w:rsid w:val="33C6271F"/>
    <w:rsid w:val="33CF6FEA"/>
    <w:rsid w:val="33D27D84"/>
    <w:rsid w:val="33DA6B2A"/>
    <w:rsid w:val="33DC34B5"/>
    <w:rsid w:val="33E47451"/>
    <w:rsid w:val="33F66B3F"/>
    <w:rsid w:val="33FA0B1E"/>
    <w:rsid w:val="33FE3807"/>
    <w:rsid w:val="34000F51"/>
    <w:rsid w:val="340142B5"/>
    <w:rsid w:val="340B7E4D"/>
    <w:rsid w:val="340D6A0E"/>
    <w:rsid w:val="34104BC5"/>
    <w:rsid w:val="34192013"/>
    <w:rsid w:val="341D2EC6"/>
    <w:rsid w:val="341E13A8"/>
    <w:rsid w:val="341E6BA4"/>
    <w:rsid w:val="3421071B"/>
    <w:rsid w:val="342306C3"/>
    <w:rsid w:val="34256C0A"/>
    <w:rsid w:val="34390DE3"/>
    <w:rsid w:val="343D3DFC"/>
    <w:rsid w:val="343E2597"/>
    <w:rsid w:val="344931C5"/>
    <w:rsid w:val="34565A32"/>
    <w:rsid w:val="346B02A0"/>
    <w:rsid w:val="34732316"/>
    <w:rsid w:val="347D0201"/>
    <w:rsid w:val="347E7631"/>
    <w:rsid w:val="34880D58"/>
    <w:rsid w:val="3494526F"/>
    <w:rsid w:val="34976A43"/>
    <w:rsid w:val="349B1616"/>
    <w:rsid w:val="349E20A9"/>
    <w:rsid w:val="34AA2DD1"/>
    <w:rsid w:val="34B5144C"/>
    <w:rsid w:val="34B63D06"/>
    <w:rsid w:val="34C226AB"/>
    <w:rsid w:val="34C25B08"/>
    <w:rsid w:val="34CD04BF"/>
    <w:rsid w:val="34D77336"/>
    <w:rsid w:val="34DB40E6"/>
    <w:rsid w:val="34DD43B0"/>
    <w:rsid w:val="34DF6B18"/>
    <w:rsid w:val="34E15C97"/>
    <w:rsid w:val="34E2404A"/>
    <w:rsid w:val="34E75972"/>
    <w:rsid w:val="34E84946"/>
    <w:rsid w:val="34EB7E53"/>
    <w:rsid w:val="350031D3"/>
    <w:rsid w:val="350D749D"/>
    <w:rsid w:val="351642C7"/>
    <w:rsid w:val="35187948"/>
    <w:rsid w:val="351A6043"/>
    <w:rsid w:val="35277C9C"/>
    <w:rsid w:val="3529097C"/>
    <w:rsid w:val="353D4043"/>
    <w:rsid w:val="35424550"/>
    <w:rsid w:val="354D1BD4"/>
    <w:rsid w:val="35670D6E"/>
    <w:rsid w:val="356B10EA"/>
    <w:rsid w:val="35754D56"/>
    <w:rsid w:val="357C1883"/>
    <w:rsid w:val="358357A5"/>
    <w:rsid w:val="358362DE"/>
    <w:rsid w:val="35963460"/>
    <w:rsid w:val="359F29EC"/>
    <w:rsid w:val="35A340B4"/>
    <w:rsid w:val="35AD429D"/>
    <w:rsid w:val="35B7218A"/>
    <w:rsid w:val="35CF507F"/>
    <w:rsid w:val="35D25797"/>
    <w:rsid w:val="35DC154A"/>
    <w:rsid w:val="35DF31CA"/>
    <w:rsid w:val="35E86141"/>
    <w:rsid w:val="35F079BD"/>
    <w:rsid w:val="35F101EE"/>
    <w:rsid w:val="35F621A2"/>
    <w:rsid w:val="36074868"/>
    <w:rsid w:val="36185464"/>
    <w:rsid w:val="36257395"/>
    <w:rsid w:val="36295051"/>
    <w:rsid w:val="362A056A"/>
    <w:rsid w:val="36302BE4"/>
    <w:rsid w:val="36315871"/>
    <w:rsid w:val="363D7D9F"/>
    <w:rsid w:val="363E0457"/>
    <w:rsid w:val="363F76CF"/>
    <w:rsid w:val="36486245"/>
    <w:rsid w:val="364A0BE7"/>
    <w:rsid w:val="365638F7"/>
    <w:rsid w:val="365A6A30"/>
    <w:rsid w:val="365D3374"/>
    <w:rsid w:val="365F2CAD"/>
    <w:rsid w:val="365F7C86"/>
    <w:rsid w:val="36664CCB"/>
    <w:rsid w:val="36696115"/>
    <w:rsid w:val="366D1BB3"/>
    <w:rsid w:val="36730780"/>
    <w:rsid w:val="36744AFD"/>
    <w:rsid w:val="367B6FB5"/>
    <w:rsid w:val="368C50C1"/>
    <w:rsid w:val="369E6270"/>
    <w:rsid w:val="36A01EB4"/>
    <w:rsid w:val="36B2214A"/>
    <w:rsid w:val="36B71DE4"/>
    <w:rsid w:val="36B83D65"/>
    <w:rsid w:val="36B85B13"/>
    <w:rsid w:val="36C62AD0"/>
    <w:rsid w:val="36CA3A99"/>
    <w:rsid w:val="36DC6347"/>
    <w:rsid w:val="36E27034"/>
    <w:rsid w:val="36E95F5D"/>
    <w:rsid w:val="36F831E2"/>
    <w:rsid w:val="36F90280"/>
    <w:rsid w:val="36FA72BC"/>
    <w:rsid w:val="36FB2189"/>
    <w:rsid w:val="37021A13"/>
    <w:rsid w:val="370276D6"/>
    <w:rsid w:val="371528BE"/>
    <w:rsid w:val="37160A8C"/>
    <w:rsid w:val="371D207A"/>
    <w:rsid w:val="37306073"/>
    <w:rsid w:val="373912E6"/>
    <w:rsid w:val="373C5B22"/>
    <w:rsid w:val="374003BC"/>
    <w:rsid w:val="374019EB"/>
    <w:rsid w:val="37442C12"/>
    <w:rsid w:val="374F7A62"/>
    <w:rsid w:val="375A306E"/>
    <w:rsid w:val="377024E9"/>
    <w:rsid w:val="37714421"/>
    <w:rsid w:val="3771457F"/>
    <w:rsid w:val="37884EC3"/>
    <w:rsid w:val="378D4C9F"/>
    <w:rsid w:val="379359F2"/>
    <w:rsid w:val="37A8193E"/>
    <w:rsid w:val="37A90805"/>
    <w:rsid w:val="37B81B43"/>
    <w:rsid w:val="37C277A3"/>
    <w:rsid w:val="37C379C0"/>
    <w:rsid w:val="37C64260"/>
    <w:rsid w:val="37D1186B"/>
    <w:rsid w:val="37E51340"/>
    <w:rsid w:val="37E64902"/>
    <w:rsid w:val="37F065A7"/>
    <w:rsid w:val="37F86F59"/>
    <w:rsid w:val="37FF06CA"/>
    <w:rsid w:val="38051CFC"/>
    <w:rsid w:val="38054BC3"/>
    <w:rsid w:val="380A05F1"/>
    <w:rsid w:val="38383681"/>
    <w:rsid w:val="38433B03"/>
    <w:rsid w:val="38496962"/>
    <w:rsid w:val="385467BE"/>
    <w:rsid w:val="385A4470"/>
    <w:rsid w:val="385B0E4C"/>
    <w:rsid w:val="385E0102"/>
    <w:rsid w:val="386736E2"/>
    <w:rsid w:val="386B3F7D"/>
    <w:rsid w:val="38721026"/>
    <w:rsid w:val="38747C16"/>
    <w:rsid w:val="38780652"/>
    <w:rsid w:val="3879165E"/>
    <w:rsid w:val="387E0FDF"/>
    <w:rsid w:val="38853417"/>
    <w:rsid w:val="38874674"/>
    <w:rsid w:val="38887E34"/>
    <w:rsid w:val="388B24D5"/>
    <w:rsid w:val="388F4F9A"/>
    <w:rsid w:val="38926ECC"/>
    <w:rsid w:val="389F68E9"/>
    <w:rsid w:val="38A031CD"/>
    <w:rsid w:val="38A71A86"/>
    <w:rsid w:val="38AC0A41"/>
    <w:rsid w:val="38AF73EA"/>
    <w:rsid w:val="38B91D97"/>
    <w:rsid w:val="38C7140B"/>
    <w:rsid w:val="38CE3E7E"/>
    <w:rsid w:val="38D35166"/>
    <w:rsid w:val="39072C3F"/>
    <w:rsid w:val="390E61D2"/>
    <w:rsid w:val="3911775D"/>
    <w:rsid w:val="391A56D5"/>
    <w:rsid w:val="391B3E85"/>
    <w:rsid w:val="393B37BE"/>
    <w:rsid w:val="393F43BF"/>
    <w:rsid w:val="395F21EA"/>
    <w:rsid w:val="39601210"/>
    <w:rsid w:val="39606090"/>
    <w:rsid w:val="39711105"/>
    <w:rsid w:val="39736669"/>
    <w:rsid w:val="397A1C84"/>
    <w:rsid w:val="397E08D1"/>
    <w:rsid w:val="39921007"/>
    <w:rsid w:val="399664AE"/>
    <w:rsid w:val="399A5EAF"/>
    <w:rsid w:val="39C649EB"/>
    <w:rsid w:val="39C81F86"/>
    <w:rsid w:val="39D32C64"/>
    <w:rsid w:val="39D4535A"/>
    <w:rsid w:val="39D64915"/>
    <w:rsid w:val="39D96DB9"/>
    <w:rsid w:val="39DE5D89"/>
    <w:rsid w:val="39E409CF"/>
    <w:rsid w:val="39EC4F3C"/>
    <w:rsid w:val="39F03FC1"/>
    <w:rsid w:val="3A085004"/>
    <w:rsid w:val="3A137788"/>
    <w:rsid w:val="3A1E4827"/>
    <w:rsid w:val="3A23099B"/>
    <w:rsid w:val="3A235E98"/>
    <w:rsid w:val="3A331955"/>
    <w:rsid w:val="3A3A3812"/>
    <w:rsid w:val="3A405F2A"/>
    <w:rsid w:val="3A4635AC"/>
    <w:rsid w:val="3A5914A3"/>
    <w:rsid w:val="3A621A86"/>
    <w:rsid w:val="3A7D7C08"/>
    <w:rsid w:val="3A7E7074"/>
    <w:rsid w:val="3A930476"/>
    <w:rsid w:val="3A96307B"/>
    <w:rsid w:val="3A9D7997"/>
    <w:rsid w:val="3A9F73B3"/>
    <w:rsid w:val="3AB711ED"/>
    <w:rsid w:val="3AB900AC"/>
    <w:rsid w:val="3AC70A1B"/>
    <w:rsid w:val="3ACC63EF"/>
    <w:rsid w:val="3ACE0BA8"/>
    <w:rsid w:val="3AEA4B65"/>
    <w:rsid w:val="3AF1423A"/>
    <w:rsid w:val="3AF46352"/>
    <w:rsid w:val="3AF92B9E"/>
    <w:rsid w:val="3B024227"/>
    <w:rsid w:val="3B0A6B5A"/>
    <w:rsid w:val="3B2B6D72"/>
    <w:rsid w:val="3B2E0BAA"/>
    <w:rsid w:val="3B3E219E"/>
    <w:rsid w:val="3B4E14F1"/>
    <w:rsid w:val="3B64380F"/>
    <w:rsid w:val="3B697D2B"/>
    <w:rsid w:val="3B6B3EF3"/>
    <w:rsid w:val="3B746ABD"/>
    <w:rsid w:val="3B8406BA"/>
    <w:rsid w:val="3B8C664A"/>
    <w:rsid w:val="3B914B85"/>
    <w:rsid w:val="3B964177"/>
    <w:rsid w:val="3B9D352A"/>
    <w:rsid w:val="3BAE2878"/>
    <w:rsid w:val="3BAE3989"/>
    <w:rsid w:val="3BB6540B"/>
    <w:rsid w:val="3BBB3029"/>
    <w:rsid w:val="3BBC4A6C"/>
    <w:rsid w:val="3BC431AC"/>
    <w:rsid w:val="3BC82C9D"/>
    <w:rsid w:val="3BC91E1B"/>
    <w:rsid w:val="3BC96A15"/>
    <w:rsid w:val="3BD66A3C"/>
    <w:rsid w:val="3BF3663F"/>
    <w:rsid w:val="3BFA3AF0"/>
    <w:rsid w:val="3C0F0C90"/>
    <w:rsid w:val="3C11605C"/>
    <w:rsid w:val="3C1402DD"/>
    <w:rsid w:val="3C1934F8"/>
    <w:rsid w:val="3C1D51BC"/>
    <w:rsid w:val="3C290C2E"/>
    <w:rsid w:val="3C340332"/>
    <w:rsid w:val="3C34124F"/>
    <w:rsid w:val="3C3B31C3"/>
    <w:rsid w:val="3C4434E3"/>
    <w:rsid w:val="3C5103C8"/>
    <w:rsid w:val="3C636521"/>
    <w:rsid w:val="3C703217"/>
    <w:rsid w:val="3C750D5F"/>
    <w:rsid w:val="3C770B48"/>
    <w:rsid w:val="3C7F31B6"/>
    <w:rsid w:val="3C804DE0"/>
    <w:rsid w:val="3C8F6B05"/>
    <w:rsid w:val="3C931327"/>
    <w:rsid w:val="3CA16062"/>
    <w:rsid w:val="3CA37640"/>
    <w:rsid w:val="3CAC611A"/>
    <w:rsid w:val="3CB75F29"/>
    <w:rsid w:val="3CBE629F"/>
    <w:rsid w:val="3CBF7882"/>
    <w:rsid w:val="3CC92EAE"/>
    <w:rsid w:val="3CCC6361"/>
    <w:rsid w:val="3CCF770F"/>
    <w:rsid w:val="3CD23276"/>
    <w:rsid w:val="3CD66855"/>
    <w:rsid w:val="3CDA4665"/>
    <w:rsid w:val="3CED4FAD"/>
    <w:rsid w:val="3CFA38B3"/>
    <w:rsid w:val="3CFA4721"/>
    <w:rsid w:val="3CFC3046"/>
    <w:rsid w:val="3D006466"/>
    <w:rsid w:val="3D0A1093"/>
    <w:rsid w:val="3D100542"/>
    <w:rsid w:val="3D16393C"/>
    <w:rsid w:val="3D167A38"/>
    <w:rsid w:val="3D193084"/>
    <w:rsid w:val="3D1A41FF"/>
    <w:rsid w:val="3D1D11F9"/>
    <w:rsid w:val="3D1D4DBF"/>
    <w:rsid w:val="3D350C8E"/>
    <w:rsid w:val="3D412847"/>
    <w:rsid w:val="3D413084"/>
    <w:rsid w:val="3D466DF8"/>
    <w:rsid w:val="3D480CC3"/>
    <w:rsid w:val="3D5F13DF"/>
    <w:rsid w:val="3D637963"/>
    <w:rsid w:val="3D6764E5"/>
    <w:rsid w:val="3D6C797C"/>
    <w:rsid w:val="3D6D250F"/>
    <w:rsid w:val="3D7D5801"/>
    <w:rsid w:val="3D814499"/>
    <w:rsid w:val="3D925068"/>
    <w:rsid w:val="3D9519EC"/>
    <w:rsid w:val="3DA70EB3"/>
    <w:rsid w:val="3DAE12BB"/>
    <w:rsid w:val="3DBA1E71"/>
    <w:rsid w:val="3DC3734E"/>
    <w:rsid w:val="3DC55AB9"/>
    <w:rsid w:val="3DCE273D"/>
    <w:rsid w:val="3DD0235C"/>
    <w:rsid w:val="3DD97A8E"/>
    <w:rsid w:val="3DDA6CB7"/>
    <w:rsid w:val="3DDD0A06"/>
    <w:rsid w:val="3DE65365"/>
    <w:rsid w:val="3DF804B3"/>
    <w:rsid w:val="3DFF3C2D"/>
    <w:rsid w:val="3E005157"/>
    <w:rsid w:val="3E0166B6"/>
    <w:rsid w:val="3E142BE7"/>
    <w:rsid w:val="3E1675C3"/>
    <w:rsid w:val="3E173A67"/>
    <w:rsid w:val="3E247F32"/>
    <w:rsid w:val="3E29637D"/>
    <w:rsid w:val="3E2D205D"/>
    <w:rsid w:val="3E317844"/>
    <w:rsid w:val="3E3363C7"/>
    <w:rsid w:val="3E3E6C1D"/>
    <w:rsid w:val="3E46434D"/>
    <w:rsid w:val="3E482900"/>
    <w:rsid w:val="3E485CAB"/>
    <w:rsid w:val="3E513636"/>
    <w:rsid w:val="3E5F3E47"/>
    <w:rsid w:val="3E62431C"/>
    <w:rsid w:val="3E632BC1"/>
    <w:rsid w:val="3E642A25"/>
    <w:rsid w:val="3E6F38A3"/>
    <w:rsid w:val="3E730E05"/>
    <w:rsid w:val="3E84678B"/>
    <w:rsid w:val="3E8A3280"/>
    <w:rsid w:val="3E8B6FE1"/>
    <w:rsid w:val="3E907376"/>
    <w:rsid w:val="3E9C1829"/>
    <w:rsid w:val="3E9E4064"/>
    <w:rsid w:val="3EA03214"/>
    <w:rsid w:val="3EA177D5"/>
    <w:rsid w:val="3EA34921"/>
    <w:rsid w:val="3EA572C5"/>
    <w:rsid w:val="3EBB0897"/>
    <w:rsid w:val="3EBE2135"/>
    <w:rsid w:val="3ECA13E6"/>
    <w:rsid w:val="3ECB73EF"/>
    <w:rsid w:val="3ED6747E"/>
    <w:rsid w:val="3ED82AA3"/>
    <w:rsid w:val="3EDE4585"/>
    <w:rsid w:val="3EEA594E"/>
    <w:rsid w:val="3EEE0757"/>
    <w:rsid w:val="3EF4253D"/>
    <w:rsid w:val="3F081602"/>
    <w:rsid w:val="3F10683A"/>
    <w:rsid w:val="3F171845"/>
    <w:rsid w:val="3F175977"/>
    <w:rsid w:val="3F1B557D"/>
    <w:rsid w:val="3F211EC4"/>
    <w:rsid w:val="3F36061D"/>
    <w:rsid w:val="3F4E170B"/>
    <w:rsid w:val="3F506416"/>
    <w:rsid w:val="3F551613"/>
    <w:rsid w:val="3F5B48B2"/>
    <w:rsid w:val="3F600A8B"/>
    <w:rsid w:val="3F6C0667"/>
    <w:rsid w:val="3F7438C7"/>
    <w:rsid w:val="3F7C6162"/>
    <w:rsid w:val="3F893749"/>
    <w:rsid w:val="3F9A02F7"/>
    <w:rsid w:val="3FA053A2"/>
    <w:rsid w:val="3FA53B70"/>
    <w:rsid w:val="3FB41389"/>
    <w:rsid w:val="3FB96BEC"/>
    <w:rsid w:val="3FC61EF1"/>
    <w:rsid w:val="3FC6557A"/>
    <w:rsid w:val="3FD30320"/>
    <w:rsid w:val="3FDC0668"/>
    <w:rsid w:val="3FFD1E5D"/>
    <w:rsid w:val="40095632"/>
    <w:rsid w:val="400B79E3"/>
    <w:rsid w:val="4031571E"/>
    <w:rsid w:val="40316936"/>
    <w:rsid w:val="40337F36"/>
    <w:rsid w:val="403501D5"/>
    <w:rsid w:val="40362FE4"/>
    <w:rsid w:val="40464190"/>
    <w:rsid w:val="404B3AB5"/>
    <w:rsid w:val="405A6A87"/>
    <w:rsid w:val="40644F5E"/>
    <w:rsid w:val="40727FCD"/>
    <w:rsid w:val="409727F0"/>
    <w:rsid w:val="409B10E5"/>
    <w:rsid w:val="40A052BB"/>
    <w:rsid w:val="40A84E4B"/>
    <w:rsid w:val="40AA62D5"/>
    <w:rsid w:val="40B14638"/>
    <w:rsid w:val="40B80297"/>
    <w:rsid w:val="40B9045A"/>
    <w:rsid w:val="40CA2BBB"/>
    <w:rsid w:val="40CA3DDD"/>
    <w:rsid w:val="40CF5B6F"/>
    <w:rsid w:val="40DA57F1"/>
    <w:rsid w:val="40DF5386"/>
    <w:rsid w:val="40F112A6"/>
    <w:rsid w:val="40F167F2"/>
    <w:rsid w:val="40F75126"/>
    <w:rsid w:val="40FB5CAD"/>
    <w:rsid w:val="410339EC"/>
    <w:rsid w:val="410B53D9"/>
    <w:rsid w:val="41146E12"/>
    <w:rsid w:val="412073E8"/>
    <w:rsid w:val="41260BDD"/>
    <w:rsid w:val="413546D8"/>
    <w:rsid w:val="414539FA"/>
    <w:rsid w:val="4148154B"/>
    <w:rsid w:val="41495F2F"/>
    <w:rsid w:val="414D154E"/>
    <w:rsid w:val="41503C34"/>
    <w:rsid w:val="415E375B"/>
    <w:rsid w:val="417F057B"/>
    <w:rsid w:val="41815CF0"/>
    <w:rsid w:val="41826A64"/>
    <w:rsid w:val="418B393B"/>
    <w:rsid w:val="418B4EA7"/>
    <w:rsid w:val="41955799"/>
    <w:rsid w:val="41A9589F"/>
    <w:rsid w:val="41B57C1A"/>
    <w:rsid w:val="41BF1594"/>
    <w:rsid w:val="41C361D5"/>
    <w:rsid w:val="41CE4BA8"/>
    <w:rsid w:val="41D8350E"/>
    <w:rsid w:val="41DA0660"/>
    <w:rsid w:val="41DC5CF0"/>
    <w:rsid w:val="41EB460D"/>
    <w:rsid w:val="41EE5263"/>
    <w:rsid w:val="42042555"/>
    <w:rsid w:val="42055DC3"/>
    <w:rsid w:val="422A188F"/>
    <w:rsid w:val="422E072C"/>
    <w:rsid w:val="42310E70"/>
    <w:rsid w:val="42586B9E"/>
    <w:rsid w:val="426B3A19"/>
    <w:rsid w:val="426D273C"/>
    <w:rsid w:val="42715607"/>
    <w:rsid w:val="427E3E57"/>
    <w:rsid w:val="42852F1D"/>
    <w:rsid w:val="428829CA"/>
    <w:rsid w:val="4290203A"/>
    <w:rsid w:val="42961184"/>
    <w:rsid w:val="42B912F6"/>
    <w:rsid w:val="42C155B3"/>
    <w:rsid w:val="42C44F46"/>
    <w:rsid w:val="42C83582"/>
    <w:rsid w:val="42E80424"/>
    <w:rsid w:val="42EF2308"/>
    <w:rsid w:val="42EF756B"/>
    <w:rsid w:val="42F356A5"/>
    <w:rsid w:val="42FA74B4"/>
    <w:rsid w:val="42FF1FAC"/>
    <w:rsid w:val="43012E33"/>
    <w:rsid w:val="430F1B7C"/>
    <w:rsid w:val="43100201"/>
    <w:rsid w:val="43212C92"/>
    <w:rsid w:val="432258D5"/>
    <w:rsid w:val="432A5B97"/>
    <w:rsid w:val="43481717"/>
    <w:rsid w:val="435272F0"/>
    <w:rsid w:val="435344B1"/>
    <w:rsid w:val="435F1404"/>
    <w:rsid w:val="436514C7"/>
    <w:rsid w:val="436D1329"/>
    <w:rsid w:val="43727992"/>
    <w:rsid w:val="437521A8"/>
    <w:rsid w:val="438A6C5E"/>
    <w:rsid w:val="439711A6"/>
    <w:rsid w:val="439922C0"/>
    <w:rsid w:val="439C4422"/>
    <w:rsid w:val="439D68D0"/>
    <w:rsid w:val="43B24FFD"/>
    <w:rsid w:val="43B3534F"/>
    <w:rsid w:val="43B371D1"/>
    <w:rsid w:val="43B74BFF"/>
    <w:rsid w:val="43BD7DA5"/>
    <w:rsid w:val="43C33D49"/>
    <w:rsid w:val="43C55D14"/>
    <w:rsid w:val="43CC0E50"/>
    <w:rsid w:val="43D06A80"/>
    <w:rsid w:val="43D44D4F"/>
    <w:rsid w:val="43D46490"/>
    <w:rsid w:val="43D67F21"/>
    <w:rsid w:val="43DB1093"/>
    <w:rsid w:val="43E3619A"/>
    <w:rsid w:val="43E443EC"/>
    <w:rsid w:val="43E53CC0"/>
    <w:rsid w:val="43E9625C"/>
    <w:rsid w:val="44077BDE"/>
    <w:rsid w:val="440E23CF"/>
    <w:rsid w:val="4420119C"/>
    <w:rsid w:val="44216CF4"/>
    <w:rsid w:val="443D549C"/>
    <w:rsid w:val="44405FFD"/>
    <w:rsid w:val="44551C46"/>
    <w:rsid w:val="44616966"/>
    <w:rsid w:val="44634A97"/>
    <w:rsid w:val="446C1485"/>
    <w:rsid w:val="446C7847"/>
    <w:rsid w:val="446E340C"/>
    <w:rsid w:val="44707FC3"/>
    <w:rsid w:val="44755186"/>
    <w:rsid w:val="4475692B"/>
    <w:rsid w:val="447B63D2"/>
    <w:rsid w:val="44884E24"/>
    <w:rsid w:val="448B5417"/>
    <w:rsid w:val="448C4EE6"/>
    <w:rsid w:val="448F143D"/>
    <w:rsid w:val="44915BF6"/>
    <w:rsid w:val="449753BF"/>
    <w:rsid w:val="449E2B67"/>
    <w:rsid w:val="44B7775D"/>
    <w:rsid w:val="44BF3D3A"/>
    <w:rsid w:val="44C2711F"/>
    <w:rsid w:val="44CC6C2E"/>
    <w:rsid w:val="44D34460"/>
    <w:rsid w:val="44DB0811"/>
    <w:rsid w:val="44E1310E"/>
    <w:rsid w:val="44E14873"/>
    <w:rsid w:val="44F20D8A"/>
    <w:rsid w:val="44F867C4"/>
    <w:rsid w:val="44FB3473"/>
    <w:rsid w:val="45012D7B"/>
    <w:rsid w:val="450F37C6"/>
    <w:rsid w:val="45181851"/>
    <w:rsid w:val="451F17D5"/>
    <w:rsid w:val="45214951"/>
    <w:rsid w:val="45253CC8"/>
    <w:rsid w:val="452C73BF"/>
    <w:rsid w:val="452F1446"/>
    <w:rsid w:val="45390B0D"/>
    <w:rsid w:val="453916FC"/>
    <w:rsid w:val="4543787F"/>
    <w:rsid w:val="45454DB4"/>
    <w:rsid w:val="45723C79"/>
    <w:rsid w:val="457572C5"/>
    <w:rsid w:val="457E4334"/>
    <w:rsid w:val="45836C19"/>
    <w:rsid w:val="45893181"/>
    <w:rsid w:val="458A19D8"/>
    <w:rsid w:val="458E34F2"/>
    <w:rsid w:val="459375F7"/>
    <w:rsid w:val="4599501F"/>
    <w:rsid w:val="459D6C51"/>
    <w:rsid w:val="45A46C77"/>
    <w:rsid w:val="45A60722"/>
    <w:rsid w:val="45AD256B"/>
    <w:rsid w:val="45AF2037"/>
    <w:rsid w:val="45B00410"/>
    <w:rsid w:val="45BB59CD"/>
    <w:rsid w:val="45BB73CE"/>
    <w:rsid w:val="45C15C36"/>
    <w:rsid w:val="45D77B37"/>
    <w:rsid w:val="45F823D0"/>
    <w:rsid w:val="46003033"/>
    <w:rsid w:val="46072075"/>
    <w:rsid w:val="461420EB"/>
    <w:rsid w:val="461A7601"/>
    <w:rsid w:val="4631143E"/>
    <w:rsid w:val="46326F64"/>
    <w:rsid w:val="46340F2E"/>
    <w:rsid w:val="46394F03"/>
    <w:rsid w:val="463C4240"/>
    <w:rsid w:val="463E42E5"/>
    <w:rsid w:val="46405B25"/>
    <w:rsid w:val="46412BC8"/>
    <w:rsid w:val="4647659F"/>
    <w:rsid w:val="46494E1C"/>
    <w:rsid w:val="465014F2"/>
    <w:rsid w:val="46553EAF"/>
    <w:rsid w:val="46650216"/>
    <w:rsid w:val="466A06FF"/>
    <w:rsid w:val="466E5A4E"/>
    <w:rsid w:val="466E77BA"/>
    <w:rsid w:val="467C15D0"/>
    <w:rsid w:val="468379D1"/>
    <w:rsid w:val="46915C2C"/>
    <w:rsid w:val="46A22B25"/>
    <w:rsid w:val="46AB0C65"/>
    <w:rsid w:val="46AE0C2F"/>
    <w:rsid w:val="46AE6F33"/>
    <w:rsid w:val="46B02CAB"/>
    <w:rsid w:val="46C93D6D"/>
    <w:rsid w:val="46C97F31"/>
    <w:rsid w:val="46CA1A47"/>
    <w:rsid w:val="46D00713"/>
    <w:rsid w:val="46DA12C7"/>
    <w:rsid w:val="46DF3663"/>
    <w:rsid w:val="46E62229"/>
    <w:rsid w:val="46E66AFE"/>
    <w:rsid w:val="46EB4713"/>
    <w:rsid w:val="46F75D6B"/>
    <w:rsid w:val="46FA3181"/>
    <w:rsid w:val="470E352E"/>
    <w:rsid w:val="47121221"/>
    <w:rsid w:val="47195775"/>
    <w:rsid w:val="472765E2"/>
    <w:rsid w:val="47292D93"/>
    <w:rsid w:val="472E5C1A"/>
    <w:rsid w:val="4736547B"/>
    <w:rsid w:val="473868BA"/>
    <w:rsid w:val="47431429"/>
    <w:rsid w:val="474653BD"/>
    <w:rsid w:val="4748193C"/>
    <w:rsid w:val="474F5CEF"/>
    <w:rsid w:val="4752344F"/>
    <w:rsid w:val="47694C08"/>
    <w:rsid w:val="47721D0E"/>
    <w:rsid w:val="477423B9"/>
    <w:rsid w:val="477B022D"/>
    <w:rsid w:val="478A3A1C"/>
    <w:rsid w:val="47914128"/>
    <w:rsid w:val="47A3653C"/>
    <w:rsid w:val="47AB6FCE"/>
    <w:rsid w:val="47AC3472"/>
    <w:rsid w:val="47C34AA7"/>
    <w:rsid w:val="47C71780"/>
    <w:rsid w:val="47D15893"/>
    <w:rsid w:val="47DE717A"/>
    <w:rsid w:val="47E67C80"/>
    <w:rsid w:val="47E72A45"/>
    <w:rsid w:val="47E759FB"/>
    <w:rsid w:val="48012FE0"/>
    <w:rsid w:val="48027536"/>
    <w:rsid w:val="4806205F"/>
    <w:rsid w:val="480A63EB"/>
    <w:rsid w:val="481E59C9"/>
    <w:rsid w:val="48205C0E"/>
    <w:rsid w:val="48220E4D"/>
    <w:rsid w:val="482254E2"/>
    <w:rsid w:val="483416BA"/>
    <w:rsid w:val="483C0579"/>
    <w:rsid w:val="484F3DFE"/>
    <w:rsid w:val="485A1DD5"/>
    <w:rsid w:val="485F39D1"/>
    <w:rsid w:val="486508D7"/>
    <w:rsid w:val="486660CD"/>
    <w:rsid w:val="48674C76"/>
    <w:rsid w:val="48677399"/>
    <w:rsid w:val="486D24D6"/>
    <w:rsid w:val="48763A80"/>
    <w:rsid w:val="48782FB7"/>
    <w:rsid w:val="48815894"/>
    <w:rsid w:val="48892E91"/>
    <w:rsid w:val="48910D54"/>
    <w:rsid w:val="48977AAB"/>
    <w:rsid w:val="48A13776"/>
    <w:rsid w:val="48AA482F"/>
    <w:rsid w:val="48AC2FFE"/>
    <w:rsid w:val="48B01D2B"/>
    <w:rsid w:val="48C06AA9"/>
    <w:rsid w:val="48DB38E3"/>
    <w:rsid w:val="48DB3AB4"/>
    <w:rsid w:val="48DB509E"/>
    <w:rsid w:val="48DD02F6"/>
    <w:rsid w:val="48F068EC"/>
    <w:rsid w:val="48FA1FBB"/>
    <w:rsid w:val="48FC3F85"/>
    <w:rsid w:val="48FC4A68"/>
    <w:rsid w:val="49012A81"/>
    <w:rsid w:val="490B5F77"/>
    <w:rsid w:val="491D766A"/>
    <w:rsid w:val="49312615"/>
    <w:rsid w:val="49385C0C"/>
    <w:rsid w:val="493C78E2"/>
    <w:rsid w:val="49402818"/>
    <w:rsid w:val="494245E3"/>
    <w:rsid w:val="494D47E1"/>
    <w:rsid w:val="495145E3"/>
    <w:rsid w:val="495864E1"/>
    <w:rsid w:val="49830203"/>
    <w:rsid w:val="49830732"/>
    <w:rsid w:val="49982502"/>
    <w:rsid w:val="49A56E1B"/>
    <w:rsid w:val="49A74BD7"/>
    <w:rsid w:val="49AD5280"/>
    <w:rsid w:val="49AD702E"/>
    <w:rsid w:val="49BE59E9"/>
    <w:rsid w:val="49DB1DED"/>
    <w:rsid w:val="49E50D76"/>
    <w:rsid w:val="49E911A1"/>
    <w:rsid w:val="49EB7CD2"/>
    <w:rsid w:val="49ED38CE"/>
    <w:rsid w:val="49F14479"/>
    <w:rsid w:val="49FC1D63"/>
    <w:rsid w:val="4A0E33F7"/>
    <w:rsid w:val="4A1366B9"/>
    <w:rsid w:val="4A2370F4"/>
    <w:rsid w:val="4A3416AD"/>
    <w:rsid w:val="4A393D3D"/>
    <w:rsid w:val="4A3A3DDE"/>
    <w:rsid w:val="4A542B1D"/>
    <w:rsid w:val="4A563C58"/>
    <w:rsid w:val="4A5D69CA"/>
    <w:rsid w:val="4A7E0C1B"/>
    <w:rsid w:val="4A843BCC"/>
    <w:rsid w:val="4A8B785B"/>
    <w:rsid w:val="4A921BF7"/>
    <w:rsid w:val="4A92263F"/>
    <w:rsid w:val="4A9A4577"/>
    <w:rsid w:val="4AA91EEB"/>
    <w:rsid w:val="4AC747E0"/>
    <w:rsid w:val="4ACF0CBD"/>
    <w:rsid w:val="4AD57D13"/>
    <w:rsid w:val="4ADD1A9D"/>
    <w:rsid w:val="4AEE1EAA"/>
    <w:rsid w:val="4AEF6619"/>
    <w:rsid w:val="4AF55F4B"/>
    <w:rsid w:val="4AFB026D"/>
    <w:rsid w:val="4B0233A9"/>
    <w:rsid w:val="4B031DB2"/>
    <w:rsid w:val="4B074656"/>
    <w:rsid w:val="4B0A243B"/>
    <w:rsid w:val="4B0B16F4"/>
    <w:rsid w:val="4B0C2888"/>
    <w:rsid w:val="4B10319A"/>
    <w:rsid w:val="4B176B5E"/>
    <w:rsid w:val="4B1C45AB"/>
    <w:rsid w:val="4B2557D5"/>
    <w:rsid w:val="4B2D3C27"/>
    <w:rsid w:val="4B30516A"/>
    <w:rsid w:val="4B485566"/>
    <w:rsid w:val="4B4F76A7"/>
    <w:rsid w:val="4B5736FD"/>
    <w:rsid w:val="4B5A1437"/>
    <w:rsid w:val="4B661D77"/>
    <w:rsid w:val="4B700C5B"/>
    <w:rsid w:val="4B702A09"/>
    <w:rsid w:val="4B7F2773"/>
    <w:rsid w:val="4B803312"/>
    <w:rsid w:val="4B836BCF"/>
    <w:rsid w:val="4B893ACB"/>
    <w:rsid w:val="4B8D4055"/>
    <w:rsid w:val="4B8F7333"/>
    <w:rsid w:val="4B921463"/>
    <w:rsid w:val="4B92472D"/>
    <w:rsid w:val="4B985ABC"/>
    <w:rsid w:val="4B9B725E"/>
    <w:rsid w:val="4BAC3140"/>
    <w:rsid w:val="4BB12CE7"/>
    <w:rsid w:val="4BC13264"/>
    <w:rsid w:val="4BC7641F"/>
    <w:rsid w:val="4BCB6CF0"/>
    <w:rsid w:val="4BCD52BA"/>
    <w:rsid w:val="4BDD28C6"/>
    <w:rsid w:val="4BE027E4"/>
    <w:rsid w:val="4BF72F56"/>
    <w:rsid w:val="4BF929FE"/>
    <w:rsid w:val="4BF931D8"/>
    <w:rsid w:val="4C04361E"/>
    <w:rsid w:val="4C0952CF"/>
    <w:rsid w:val="4C0A69B9"/>
    <w:rsid w:val="4C101B77"/>
    <w:rsid w:val="4C1753ED"/>
    <w:rsid w:val="4C1B5E9F"/>
    <w:rsid w:val="4C281051"/>
    <w:rsid w:val="4C29379A"/>
    <w:rsid w:val="4C29701F"/>
    <w:rsid w:val="4C2A09CE"/>
    <w:rsid w:val="4C3A380D"/>
    <w:rsid w:val="4C3A59AD"/>
    <w:rsid w:val="4C3B2889"/>
    <w:rsid w:val="4C3B4DC5"/>
    <w:rsid w:val="4C3F20FA"/>
    <w:rsid w:val="4C3F544E"/>
    <w:rsid w:val="4C455C43"/>
    <w:rsid w:val="4C47677D"/>
    <w:rsid w:val="4C59524B"/>
    <w:rsid w:val="4C6101D8"/>
    <w:rsid w:val="4C6F0F12"/>
    <w:rsid w:val="4C6F3C04"/>
    <w:rsid w:val="4C7079EB"/>
    <w:rsid w:val="4C7322AC"/>
    <w:rsid w:val="4C770B1A"/>
    <w:rsid w:val="4C79710D"/>
    <w:rsid w:val="4C800D4A"/>
    <w:rsid w:val="4C8D7391"/>
    <w:rsid w:val="4C910CDE"/>
    <w:rsid w:val="4C9332CB"/>
    <w:rsid w:val="4C942727"/>
    <w:rsid w:val="4C96791F"/>
    <w:rsid w:val="4C9B3AB5"/>
    <w:rsid w:val="4C9D244F"/>
    <w:rsid w:val="4CA36DAE"/>
    <w:rsid w:val="4CAA3CF8"/>
    <w:rsid w:val="4CB035EF"/>
    <w:rsid w:val="4CB132D9"/>
    <w:rsid w:val="4CB91EC4"/>
    <w:rsid w:val="4CBB358F"/>
    <w:rsid w:val="4CBC6F8B"/>
    <w:rsid w:val="4CBE507E"/>
    <w:rsid w:val="4CD13823"/>
    <w:rsid w:val="4CD314A1"/>
    <w:rsid w:val="4CD33C90"/>
    <w:rsid w:val="4CE21872"/>
    <w:rsid w:val="4CE50B13"/>
    <w:rsid w:val="4CEE0EF7"/>
    <w:rsid w:val="4CF64EEE"/>
    <w:rsid w:val="4CFA2A94"/>
    <w:rsid w:val="4CFB1B53"/>
    <w:rsid w:val="4D042593"/>
    <w:rsid w:val="4D066022"/>
    <w:rsid w:val="4D07280D"/>
    <w:rsid w:val="4D09071B"/>
    <w:rsid w:val="4D0A4797"/>
    <w:rsid w:val="4D0D7727"/>
    <w:rsid w:val="4D0E4287"/>
    <w:rsid w:val="4D1453D3"/>
    <w:rsid w:val="4D3E5BAF"/>
    <w:rsid w:val="4D4417DD"/>
    <w:rsid w:val="4D4453AA"/>
    <w:rsid w:val="4D46724C"/>
    <w:rsid w:val="4D491763"/>
    <w:rsid w:val="4D5B4478"/>
    <w:rsid w:val="4D6A1CC9"/>
    <w:rsid w:val="4D702758"/>
    <w:rsid w:val="4D776549"/>
    <w:rsid w:val="4D79005E"/>
    <w:rsid w:val="4D7C1024"/>
    <w:rsid w:val="4D7E02ED"/>
    <w:rsid w:val="4D8245E3"/>
    <w:rsid w:val="4D927681"/>
    <w:rsid w:val="4D9724CF"/>
    <w:rsid w:val="4D9C5989"/>
    <w:rsid w:val="4D9E1BBD"/>
    <w:rsid w:val="4DAC0A13"/>
    <w:rsid w:val="4DAE6661"/>
    <w:rsid w:val="4DB11353"/>
    <w:rsid w:val="4DBE40CE"/>
    <w:rsid w:val="4DD3656C"/>
    <w:rsid w:val="4DDA0F16"/>
    <w:rsid w:val="4DDB3223"/>
    <w:rsid w:val="4DDE1361"/>
    <w:rsid w:val="4DE13DC5"/>
    <w:rsid w:val="4DE35DFD"/>
    <w:rsid w:val="4DE438B0"/>
    <w:rsid w:val="4DEA1F48"/>
    <w:rsid w:val="4DED6593"/>
    <w:rsid w:val="4DF1753E"/>
    <w:rsid w:val="4DF7360B"/>
    <w:rsid w:val="4E024D81"/>
    <w:rsid w:val="4E0E0D23"/>
    <w:rsid w:val="4E173610"/>
    <w:rsid w:val="4E28021B"/>
    <w:rsid w:val="4E3B1BFA"/>
    <w:rsid w:val="4E467DDE"/>
    <w:rsid w:val="4E487DC2"/>
    <w:rsid w:val="4E507B58"/>
    <w:rsid w:val="4E56393E"/>
    <w:rsid w:val="4E5A2AE4"/>
    <w:rsid w:val="4E5B5CFD"/>
    <w:rsid w:val="4E63140E"/>
    <w:rsid w:val="4E646856"/>
    <w:rsid w:val="4E6863A5"/>
    <w:rsid w:val="4E6C3227"/>
    <w:rsid w:val="4E6F3A9B"/>
    <w:rsid w:val="4E73360E"/>
    <w:rsid w:val="4E740A62"/>
    <w:rsid w:val="4E790683"/>
    <w:rsid w:val="4E81291A"/>
    <w:rsid w:val="4E8923F8"/>
    <w:rsid w:val="4E954ECF"/>
    <w:rsid w:val="4E9854E3"/>
    <w:rsid w:val="4E985832"/>
    <w:rsid w:val="4E9C188B"/>
    <w:rsid w:val="4EA41F28"/>
    <w:rsid w:val="4EA64192"/>
    <w:rsid w:val="4EAB722A"/>
    <w:rsid w:val="4EB212ED"/>
    <w:rsid w:val="4ED27537"/>
    <w:rsid w:val="4ED74597"/>
    <w:rsid w:val="4ED87569"/>
    <w:rsid w:val="4EDF490A"/>
    <w:rsid w:val="4EE116B1"/>
    <w:rsid w:val="4EE342F7"/>
    <w:rsid w:val="4EE52C52"/>
    <w:rsid w:val="4EF0009D"/>
    <w:rsid w:val="4F003E2D"/>
    <w:rsid w:val="4F1425EC"/>
    <w:rsid w:val="4F1A33B7"/>
    <w:rsid w:val="4F1C563E"/>
    <w:rsid w:val="4F2664F9"/>
    <w:rsid w:val="4F312E9A"/>
    <w:rsid w:val="4F334479"/>
    <w:rsid w:val="4F3448DA"/>
    <w:rsid w:val="4F451E95"/>
    <w:rsid w:val="4F4A53A9"/>
    <w:rsid w:val="4F583EE0"/>
    <w:rsid w:val="4F594DA2"/>
    <w:rsid w:val="4F5D2D42"/>
    <w:rsid w:val="4F7E3E6F"/>
    <w:rsid w:val="4F81157A"/>
    <w:rsid w:val="4F814167"/>
    <w:rsid w:val="4F840D9B"/>
    <w:rsid w:val="4F892B16"/>
    <w:rsid w:val="4F8D5416"/>
    <w:rsid w:val="4F9D706A"/>
    <w:rsid w:val="4FA17635"/>
    <w:rsid w:val="4FB95833"/>
    <w:rsid w:val="4FBC6CA7"/>
    <w:rsid w:val="4FBF11AA"/>
    <w:rsid w:val="4FC652ED"/>
    <w:rsid w:val="4FC852ED"/>
    <w:rsid w:val="4FCF29EC"/>
    <w:rsid w:val="4FD80B7D"/>
    <w:rsid w:val="4FDC583B"/>
    <w:rsid w:val="4FDF2459"/>
    <w:rsid w:val="4FE13ED5"/>
    <w:rsid w:val="4FE21ACA"/>
    <w:rsid w:val="4FF3100B"/>
    <w:rsid w:val="4FF754A7"/>
    <w:rsid w:val="5014086D"/>
    <w:rsid w:val="501C4E7B"/>
    <w:rsid w:val="501F67AB"/>
    <w:rsid w:val="505428F9"/>
    <w:rsid w:val="505E65F2"/>
    <w:rsid w:val="50621A3A"/>
    <w:rsid w:val="506710C0"/>
    <w:rsid w:val="50742A3F"/>
    <w:rsid w:val="507652D2"/>
    <w:rsid w:val="507A7D36"/>
    <w:rsid w:val="50A43A72"/>
    <w:rsid w:val="50AC44E3"/>
    <w:rsid w:val="50B7212B"/>
    <w:rsid w:val="50B909AE"/>
    <w:rsid w:val="50C02456"/>
    <w:rsid w:val="50DE6667"/>
    <w:rsid w:val="50F25C6E"/>
    <w:rsid w:val="50F934A0"/>
    <w:rsid w:val="50FC6476"/>
    <w:rsid w:val="51003901"/>
    <w:rsid w:val="511033E7"/>
    <w:rsid w:val="5114473D"/>
    <w:rsid w:val="511A0EED"/>
    <w:rsid w:val="51294579"/>
    <w:rsid w:val="512D6CA6"/>
    <w:rsid w:val="512F4230"/>
    <w:rsid w:val="513309A9"/>
    <w:rsid w:val="513C7BF6"/>
    <w:rsid w:val="51536723"/>
    <w:rsid w:val="51541873"/>
    <w:rsid w:val="515C14C3"/>
    <w:rsid w:val="515C1700"/>
    <w:rsid w:val="515F27BF"/>
    <w:rsid w:val="51621046"/>
    <w:rsid w:val="5167078A"/>
    <w:rsid w:val="516B4FDE"/>
    <w:rsid w:val="516F7D8A"/>
    <w:rsid w:val="51722469"/>
    <w:rsid w:val="517B21F2"/>
    <w:rsid w:val="51913CDA"/>
    <w:rsid w:val="51940CA9"/>
    <w:rsid w:val="519B00B4"/>
    <w:rsid w:val="51BE389E"/>
    <w:rsid w:val="51C70692"/>
    <w:rsid w:val="51C71776"/>
    <w:rsid w:val="51CE0565"/>
    <w:rsid w:val="51D535C6"/>
    <w:rsid w:val="51EE6435"/>
    <w:rsid w:val="51FA14B6"/>
    <w:rsid w:val="51FA357D"/>
    <w:rsid w:val="52141ACD"/>
    <w:rsid w:val="521C0134"/>
    <w:rsid w:val="52314B86"/>
    <w:rsid w:val="524209B0"/>
    <w:rsid w:val="524E01D4"/>
    <w:rsid w:val="52524C6E"/>
    <w:rsid w:val="52532CA5"/>
    <w:rsid w:val="528511E3"/>
    <w:rsid w:val="5296768F"/>
    <w:rsid w:val="529C60EC"/>
    <w:rsid w:val="529F66EB"/>
    <w:rsid w:val="52A47381"/>
    <w:rsid w:val="52C222A5"/>
    <w:rsid w:val="52C3645B"/>
    <w:rsid w:val="52DB1650"/>
    <w:rsid w:val="52E358DF"/>
    <w:rsid w:val="52FC57CF"/>
    <w:rsid w:val="53005A6E"/>
    <w:rsid w:val="53134B34"/>
    <w:rsid w:val="5315304E"/>
    <w:rsid w:val="53270C19"/>
    <w:rsid w:val="53277E51"/>
    <w:rsid w:val="53391347"/>
    <w:rsid w:val="534316A5"/>
    <w:rsid w:val="534730D7"/>
    <w:rsid w:val="534D7554"/>
    <w:rsid w:val="53551D09"/>
    <w:rsid w:val="535D7D17"/>
    <w:rsid w:val="535E583D"/>
    <w:rsid w:val="53656BCB"/>
    <w:rsid w:val="53696F4D"/>
    <w:rsid w:val="537B1F4B"/>
    <w:rsid w:val="537B2681"/>
    <w:rsid w:val="537E1A3B"/>
    <w:rsid w:val="53895EAA"/>
    <w:rsid w:val="538D28CA"/>
    <w:rsid w:val="538D7C23"/>
    <w:rsid w:val="538F18CD"/>
    <w:rsid w:val="538F59F6"/>
    <w:rsid w:val="539923CB"/>
    <w:rsid w:val="539C60F4"/>
    <w:rsid w:val="539F47D9"/>
    <w:rsid w:val="53A012CC"/>
    <w:rsid w:val="53A127C6"/>
    <w:rsid w:val="53AB6B4B"/>
    <w:rsid w:val="53AF1153"/>
    <w:rsid w:val="53D162CE"/>
    <w:rsid w:val="53D21C17"/>
    <w:rsid w:val="53F1340B"/>
    <w:rsid w:val="53FB27D9"/>
    <w:rsid w:val="54060DDF"/>
    <w:rsid w:val="5411465D"/>
    <w:rsid w:val="5413489E"/>
    <w:rsid w:val="541D3F8D"/>
    <w:rsid w:val="54216F96"/>
    <w:rsid w:val="54330412"/>
    <w:rsid w:val="543A3DCD"/>
    <w:rsid w:val="543F741C"/>
    <w:rsid w:val="54441BEB"/>
    <w:rsid w:val="544B79B5"/>
    <w:rsid w:val="54520A64"/>
    <w:rsid w:val="54576514"/>
    <w:rsid w:val="546E10E8"/>
    <w:rsid w:val="54781E89"/>
    <w:rsid w:val="547A5F32"/>
    <w:rsid w:val="54866DF9"/>
    <w:rsid w:val="54947768"/>
    <w:rsid w:val="549C036B"/>
    <w:rsid w:val="54A728C5"/>
    <w:rsid w:val="54B1555C"/>
    <w:rsid w:val="54C468F5"/>
    <w:rsid w:val="54CE36B5"/>
    <w:rsid w:val="54CF254E"/>
    <w:rsid w:val="54D63972"/>
    <w:rsid w:val="54D87748"/>
    <w:rsid w:val="54E0748A"/>
    <w:rsid w:val="54E7411B"/>
    <w:rsid w:val="55012924"/>
    <w:rsid w:val="55127B6F"/>
    <w:rsid w:val="55151425"/>
    <w:rsid w:val="551B5793"/>
    <w:rsid w:val="551B6D37"/>
    <w:rsid w:val="551D2725"/>
    <w:rsid w:val="551E7032"/>
    <w:rsid w:val="55286102"/>
    <w:rsid w:val="552A3C28"/>
    <w:rsid w:val="552F28E4"/>
    <w:rsid w:val="553A670F"/>
    <w:rsid w:val="55441D0D"/>
    <w:rsid w:val="554A560A"/>
    <w:rsid w:val="554A7A88"/>
    <w:rsid w:val="554D505F"/>
    <w:rsid w:val="55516453"/>
    <w:rsid w:val="5552317F"/>
    <w:rsid w:val="55554315"/>
    <w:rsid w:val="5560764A"/>
    <w:rsid w:val="556364B8"/>
    <w:rsid w:val="55684D48"/>
    <w:rsid w:val="55691A78"/>
    <w:rsid w:val="556E559E"/>
    <w:rsid w:val="55774994"/>
    <w:rsid w:val="55805F3E"/>
    <w:rsid w:val="558C043F"/>
    <w:rsid w:val="55A734CB"/>
    <w:rsid w:val="55A82E06"/>
    <w:rsid w:val="55B83D7C"/>
    <w:rsid w:val="55BA1450"/>
    <w:rsid w:val="55BA1559"/>
    <w:rsid w:val="55C220B3"/>
    <w:rsid w:val="55C367D4"/>
    <w:rsid w:val="55D01C98"/>
    <w:rsid w:val="55D343BA"/>
    <w:rsid w:val="55D50038"/>
    <w:rsid w:val="55D95A0F"/>
    <w:rsid w:val="55EC7A1D"/>
    <w:rsid w:val="55F25FF3"/>
    <w:rsid w:val="55F342AE"/>
    <w:rsid w:val="55FD2693"/>
    <w:rsid w:val="560179FC"/>
    <w:rsid w:val="56124994"/>
    <w:rsid w:val="5629593A"/>
    <w:rsid w:val="562E7138"/>
    <w:rsid w:val="56322683"/>
    <w:rsid w:val="563918F1"/>
    <w:rsid w:val="563C11B4"/>
    <w:rsid w:val="56453ABB"/>
    <w:rsid w:val="56457C82"/>
    <w:rsid w:val="564C5785"/>
    <w:rsid w:val="564E7DEA"/>
    <w:rsid w:val="56533E33"/>
    <w:rsid w:val="565A1DCD"/>
    <w:rsid w:val="56763C45"/>
    <w:rsid w:val="56791C0F"/>
    <w:rsid w:val="568B4B9B"/>
    <w:rsid w:val="568F44C0"/>
    <w:rsid w:val="569378D7"/>
    <w:rsid w:val="569955B3"/>
    <w:rsid w:val="56A174EE"/>
    <w:rsid w:val="56B77B44"/>
    <w:rsid w:val="56B85CCC"/>
    <w:rsid w:val="56BC7955"/>
    <w:rsid w:val="56C67981"/>
    <w:rsid w:val="56DC5FD8"/>
    <w:rsid w:val="56E95E04"/>
    <w:rsid w:val="56F01B58"/>
    <w:rsid w:val="56F3426A"/>
    <w:rsid w:val="56F36B97"/>
    <w:rsid w:val="56F4639D"/>
    <w:rsid w:val="56F900CC"/>
    <w:rsid w:val="56FB1D20"/>
    <w:rsid w:val="570046B2"/>
    <w:rsid w:val="570075C1"/>
    <w:rsid w:val="570873E6"/>
    <w:rsid w:val="570E17B8"/>
    <w:rsid w:val="570F30D6"/>
    <w:rsid w:val="57174680"/>
    <w:rsid w:val="571921A6"/>
    <w:rsid w:val="572E0607"/>
    <w:rsid w:val="573A4CC3"/>
    <w:rsid w:val="57491898"/>
    <w:rsid w:val="57566F57"/>
    <w:rsid w:val="5759206A"/>
    <w:rsid w:val="57601D03"/>
    <w:rsid w:val="57702B74"/>
    <w:rsid w:val="57713C61"/>
    <w:rsid w:val="57735FC7"/>
    <w:rsid w:val="57794EE9"/>
    <w:rsid w:val="577F1C4E"/>
    <w:rsid w:val="578A6B9C"/>
    <w:rsid w:val="57942795"/>
    <w:rsid w:val="57944156"/>
    <w:rsid w:val="579A08FF"/>
    <w:rsid w:val="579B2BBB"/>
    <w:rsid w:val="57A11964"/>
    <w:rsid w:val="57AE0B41"/>
    <w:rsid w:val="57B91294"/>
    <w:rsid w:val="57C83767"/>
    <w:rsid w:val="57CA53FE"/>
    <w:rsid w:val="57CB4647"/>
    <w:rsid w:val="57CD4D3F"/>
    <w:rsid w:val="57D77E09"/>
    <w:rsid w:val="57D8524A"/>
    <w:rsid w:val="57DB56AE"/>
    <w:rsid w:val="57DC4038"/>
    <w:rsid w:val="57DE0CFA"/>
    <w:rsid w:val="57F63B1C"/>
    <w:rsid w:val="57F809EA"/>
    <w:rsid w:val="57F87AFA"/>
    <w:rsid w:val="57FE2881"/>
    <w:rsid w:val="57FF75EE"/>
    <w:rsid w:val="580734B0"/>
    <w:rsid w:val="580A7FE1"/>
    <w:rsid w:val="5812316E"/>
    <w:rsid w:val="5816112E"/>
    <w:rsid w:val="58163C65"/>
    <w:rsid w:val="58197240"/>
    <w:rsid w:val="5820448D"/>
    <w:rsid w:val="582A3DF5"/>
    <w:rsid w:val="58330EA3"/>
    <w:rsid w:val="583F4D2F"/>
    <w:rsid w:val="5844187F"/>
    <w:rsid w:val="58461A08"/>
    <w:rsid w:val="58490869"/>
    <w:rsid w:val="584A59F2"/>
    <w:rsid w:val="584F2D6B"/>
    <w:rsid w:val="5866654A"/>
    <w:rsid w:val="58692CBA"/>
    <w:rsid w:val="58727595"/>
    <w:rsid w:val="587578B0"/>
    <w:rsid w:val="587D2491"/>
    <w:rsid w:val="5881525E"/>
    <w:rsid w:val="5886083F"/>
    <w:rsid w:val="588E1C22"/>
    <w:rsid w:val="58913FBE"/>
    <w:rsid w:val="5895292F"/>
    <w:rsid w:val="589C053C"/>
    <w:rsid w:val="58A43CF2"/>
    <w:rsid w:val="58A60EE7"/>
    <w:rsid w:val="58A75590"/>
    <w:rsid w:val="58B90BB1"/>
    <w:rsid w:val="58C30A41"/>
    <w:rsid w:val="58D00F8B"/>
    <w:rsid w:val="58D169BC"/>
    <w:rsid w:val="58D345D7"/>
    <w:rsid w:val="58D35424"/>
    <w:rsid w:val="58D86B7A"/>
    <w:rsid w:val="58DA5965"/>
    <w:rsid w:val="58DB3C34"/>
    <w:rsid w:val="58DF3D9A"/>
    <w:rsid w:val="58ED348A"/>
    <w:rsid w:val="58ED7447"/>
    <w:rsid w:val="58F170EE"/>
    <w:rsid w:val="58FD3402"/>
    <w:rsid w:val="5902171C"/>
    <w:rsid w:val="59100849"/>
    <w:rsid w:val="59103362"/>
    <w:rsid w:val="592E7177"/>
    <w:rsid w:val="592F7421"/>
    <w:rsid w:val="593C6EBF"/>
    <w:rsid w:val="59533A85"/>
    <w:rsid w:val="59621C8A"/>
    <w:rsid w:val="59796FBC"/>
    <w:rsid w:val="5982373F"/>
    <w:rsid w:val="59830A7D"/>
    <w:rsid w:val="5988716F"/>
    <w:rsid w:val="599D2D41"/>
    <w:rsid w:val="59AD3FE1"/>
    <w:rsid w:val="59AD4E28"/>
    <w:rsid w:val="59AF4004"/>
    <w:rsid w:val="59B30690"/>
    <w:rsid w:val="59B668FA"/>
    <w:rsid w:val="59B7384C"/>
    <w:rsid w:val="59BB112C"/>
    <w:rsid w:val="59BE5287"/>
    <w:rsid w:val="59BE6F3F"/>
    <w:rsid w:val="59BE78D6"/>
    <w:rsid w:val="59C12681"/>
    <w:rsid w:val="59CB1402"/>
    <w:rsid w:val="59D54DD3"/>
    <w:rsid w:val="59FB46B1"/>
    <w:rsid w:val="5A011185"/>
    <w:rsid w:val="5A091C04"/>
    <w:rsid w:val="5A09562C"/>
    <w:rsid w:val="5A0F59F5"/>
    <w:rsid w:val="5A1051BA"/>
    <w:rsid w:val="5A210AC0"/>
    <w:rsid w:val="5A217372"/>
    <w:rsid w:val="5A234C0E"/>
    <w:rsid w:val="5A23764E"/>
    <w:rsid w:val="5A304047"/>
    <w:rsid w:val="5A3D07F3"/>
    <w:rsid w:val="5A3E7124"/>
    <w:rsid w:val="5A4460BF"/>
    <w:rsid w:val="5A47527D"/>
    <w:rsid w:val="5A483B51"/>
    <w:rsid w:val="5A4B23F0"/>
    <w:rsid w:val="5A4E0FC9"/>
    <w:rsid w:val="5A4F7C8D"/>
    <w:rsid w:val="5A5023AA"/>
    <w:rsid w:val="5A5A11A4"/>
    <w:rsid w:val="5A5F25C6"/>
    <w:rsid w:val="5A65093D"/>
    <w:rsid w:val="5A694668"/>
    <w:rsid w:val="5A6B1F3A"/>
    <w:rsid w:val="5A722EBF"/>
    <w:rsid w:val="5A817FEA"/>
    <w:rsid w:val="5A910497"/>
    <w:rsid w:val="5A943B67"/>
    <w:rsid w:val="5A955FE8"/>
    <w:rsid w:val="5A9A1850"/>
    <w:rsid w:val="5AA272CE"/>
    <w:rsid w:val="5AB64547"/>
    <w:rsid w:val="5AB86084"/>
    <w:rsid w:val="5AC62F6A"/>
    <w:rsid w:val="5AC67833"/>
    <w:rsid w:val="5AC70954"/>
    <w:rsid w:val="5ACD5782"/>
    <w:rsid w:val="5AFF70F5"/>
    <w:rsid w:val="5B0623BE"/>
    <w:rsid w:val="5B1038C0"/>
    <w:rsid w:val="5B114271"/>
    <w:rsid w:val="5B136F0D"/>
    <w:rsid w:val="5B180C30"/>
    <w:rsid w:val="5B226ED3"/>
    <w:rsid w:val="5B23618B"/>
    <w:rsid w:val="5B267F77"/>
    <w:rsid w:val="5B2E1680"/>
    <w:rsid w:val="5B30104D"/>
    <w:rsid w:val="5B392E17"/>
    <w:rsid w:val="5B4379D5"/>
    <w:rsid w:val="5B485C9F"/>
    <w:rsid w:val="5B4B48F9"/>
    <w:rsid w:val="5B5437AD"/>
    <w:rsid w:val="5B6F05E7"/>
    <w:rsid w:val="5B863B83"/>
    <w:rsid w:val="5B903BC0"/>
    <w:rsid w:val="5B9D4333"/>
    <w:rsid w:val="5B9E2C7A"/>
    <w:rsid w:val="5BA02501"/>
    <w:rsid w:val="5BA83421"/>
    <w:rsid w:val="5BB15A9E"/>
    <w:rsid w:val="5BBE156E"/>
    <w:rsid w:val="5BC11D24"/>
    <w:rsid w:val="5BC60B81"/>
    <w:rsid w:val="5BE54D4D"/>
    <w:rsid w:val="5BEE6990"/>
    <w:rsid w:val="5BF64864"/>
    <w:rsid w:val="5BF95090"/>
    <w:rsid w:val="5BFE1433"/>
    <w:rsid w:val="5C043B52"/>
    <w:rsid w:val="5C0B0C58"/>
    <w:rsid w:val="5C0B3782"/>
    <w:rsid w:val="5C185B22"/>
    <w:rsid w:val="5C220057"/>
    <w:rsid w:val="5C2238AB"/>
    <w:rsid w:val="5C233A2C"/>
    <w:rsid w:val="5C2C70F3"/>
    <w:rsid w:val="5C407940"/>
    <w:rsid w:val="5C432AC2"/>
    <w:rsid w:val="5C4D7DD8"/>
    <w:rsid w:val="5C585574"/>
    <w:rsid w:val="5C677ECC"/>
    <w:rsid w:val="5C6C2D78"/>
    <w:rsid w:val="5C6E089F"/>
    <w:rsid w:val="5C7346DF"/>
    <w:rsid w:val="5C837EC2"/>
    <w:rsid w:val="5C872843"/>
    <w:rsid w:val="5C9E7D8C"/>
    <w:rsid w:val="5CAA473F"/>
    <w:rsid w:val="5CB27795"/>
    <w:rsid w:val="5CB66FD7"/>
    <w:rsid w:val="5CBC0B98"/>
    <w:rsid w:val="5CC22998"/>
    <w:rsid w:val="5CCF09EA"/>
    <w:rsid w:val="5CD82E08"/>
    <w:rsid w:val="5CE9261B"/>
    <w:rsid w:val="5CE96177"/>
    <w:rsid w:val="5CEC5C67"/>
    <w:rsid w:val="5CF40DE6"/>
    <w:rsid w:val="5CF83790"/>
    <w:rsid w:val="5CFE29D2"/>
    <w:rsid w:val="5D0200D7"/>
    <w:rsid w:val="5D025143"/>
    <w:rsid w:val="5D0F1AFC"/>
    <w:rsid w:val="5D114EF3"/>
    <w:rsid w:val="5D1256CE"/>
    <w:rsid w:val="5D1415DB"/>
    <w:rsid w:val="5D17501F"/>
    <w:rsid w:val="5D1F0D86"/>
    <w:rsid w:val="5D26535D"/>
    <w:rsid w:val="5D2909F2"/>
    <w:rsid w:val="5D2B03F2"/>
    <w:rsid w:val="5D3513BC"/>
    <w:rsid w:val="5D3F4BF0"/>
    <w:rsid w:val="5D3F671D"/>
    <w:rsid w:val="5D4B6A7E"/>
    <w:rsid w:val="5D4D2BAA"/>
    <w:rsid w:val="5D4D4B30"/>
    <w:rsid w:val="5D5157FE"/>
    <w:rsid w:val="5D547765"/>
    <w:rsid w:val="5D5E7D46"/>
    <w:rsid w:val="5D6A5A0A"/>
    <w:rsid w:val="5D707CC1"/>
    <w:rsid w:val="5D7243BE"/>
    <w:rsid w:val="5D7974FF"/>
    <w:rsid w:val="5D7B1D0F"/>
    <w:rsid w:val="5D911FE7"/>
    <w:rsid w:val="5D9D1DC2"/>
    <w:rsid w:val="5D9E6676"/>
    <w:rsid w:val="5DA444F5"/>
    <w:rsid w:val="5DA463E6"/>
    <w:rsid w:val="5DBB717D"/>
    <w:rsid w:val="5DBC481C"/>
    <w:rsid w:val="5DC57DDD"/>
    <w:rsid w:val="5DC73049"/>
    <w:rsid w:val="5DC800F2"/>
    <w:rsid w:val="5DD45079"/>
    <w:rsid w:val="5DD55472"/>
    <w:rsid w:val="5DE055FE"/>
    <w:rsid w:val="5DE3706A"/>
    <w:rsid w:val="5DEC23C3"/>
    <w:rsid w:val="5DED0C7E"/>
    <w:rsid w:val="5DF43496"/>
    <w:rsid w:val="5E015DB2"/>
    <w:rsid w:val="5E070FAB"/>
    <w:rsid w:val="5E077567"/>
    <w:rsid w:val="5E092B2D"/>
    <w:rsid w:val="5E0D3794"/>
    <w:rsid w:val="5E0E4A19"/>
    <w:rsid w:val="5E176D14"/>
    <w:rsid w:val="5E1851DE"/>
    <w:rsid w:val="5E211506"/>
    <w:rsid w:val="5E2219B4"/>
    <w:rsid w:val="5E2558D5"/>
    <w:rsid w:val="5E287173"/>
    <w:rsid w:val="5E28722B"/>
    <w:rsid w:val="5E2C6C63"/>
    <w:rsid w:val="5E2E29DB"/>
    <w:rsid w:val="5E480FCE"/>
    <w:rsid w:val="5E59557E"/>
    <w:rsid w:val="5E5E48BB"/>
    <w:rsid w:val="5E625ABF"/>
    <w:rsid w:val="5E671A49"/>
    <w:rsid w:val="5E76694E"/>
    <w:rsid w:val="5E79200A"/>
    <w:rsid w:val="5E874F0A"/>
    <w:rsid w:val="5E993BCD"/>
    <w:rsid w:val="5E997A50"/>
    <w:rsid w:val="5EA34C96"/>
    <w:rsid w:val="5EA40783"/>
    <w:rsid w:val="5EAC6A04"/>
    <w:rsid w:val="5EB937F4"/>
    <w:rsid w:val="5EBD78BB"/>
    <w:rsid w:val="5EBF1885"/>
    <w:rsid w:val="5EDD4D7D"/>
    <w:rsid w:val="5EE96902"/>
    <w:rsid w:val="5EEB371F"/>
    <w:rsid w:val="5EEF62A0"/>
    <w:rsid w:val="5EFE089A"/>
    <w:rsid w:val="5EFE2E50"/>
    <w:rsid w:val="5F012F87"/>
    <w:rsid w:val="5F023E74"/>
    <w:rsid w:val="5F091B9E"/>
    <w:rsid w:val="5F17346F"/>
    <w:rsid w:val="5F2660BA"/>
    <w:rsid w:val="5F3150FF"/>
    <w:rsid w:val="5F447FDD"/>
    <w:rsid w:val="5F4B16BC"/>
    <w:rsid w:val="5F5F534D"/>
    <w:rsid w:val="5F655DAB"/>
    <w:rsid w:val="5F6617DC"/>
    <w:rsid w:val="5F702A4C"/>
    <w:rsid w:val="5F7408C2"/>
    <w:rsid w:val="5F74619D"/>
    <w:rsid w:val="5F7C2839"/>
    <w:rsid w:val="5F824241"/>
    <w:rsid w:val="5F9F30CB"/>
    <w:rsid w:val="5FAB096E"/>
    <w:rsid w:val="5FAF1783"/>
    <w:rsid w:val="5FB24D9D"/>
    <w:rsid w:val="5FB30363"/>
    <w:rsid w:val="5FB70ABF"/>
    <w:rsid w:val="5FBF69B6"/>
    <w:rsid w:val="5FC3200D"/>
    <w:rsid w:val="5FD63E76"/>
    <w:rsid w:val="5FD643C6"/>
    <w:rsid w:val="5FE13A7D"/>
    <w:rsid w:val="5FE516E5"/>
    <w:rsid w:val="5FF05552"/>
    <w:rsid w:val="5FF11F12"/>
    <w:rsid w:val="5FFB6376"/>
    <w:rsid w:val="60050EFD"/>
    <w:rsid w:val="600A22DC"/>
    <w:rsid w:val="602B7C90"/>
    <w:rsid w:val="60363CE5"/>
    <w:rsid w:val="603A3F6B"/>
    <w:rsid w:val="603B0E28"/>
    <w:rsid w:val="60625D15"/>
    <w:rsid w:val="60835F45"/>
    <w:rsid w:val="60912DAE"/>
    <w:rsid w:val="609558DE"/>
    <w:rsid w:val="609F196E"/>
    <w:rsid w:val="60A12245"/>
    <w:rsid w:val="60A54AAB"/>
    <w:rsid w:val="60A70CDE"/>
    <w:rsid w:val="60B73959"/>
    <w:rsid w:val="60B82A30"/>
    <w:rsid w:val="60D63600"/>
    <w:rsid w:val="60DE5CA9"/>
    <w:rsid w:val="60E004DA"/>
    <w:rsid w:val="60E618D8"/>
    <w:rsid w:val="60E83F3B"/>
    <w:rsid w:val="60EA60CC"/>
    <w:rsid w:val="60FD0443"/>
    <w:rsid w:val="61012E7D"/>
    <w:rsid w:val="610360A0"/>
    <w:rsid w:val="610572F8"/>
    <w:rsid w:val="61131A15"/>
    <w:rsid w:val="6117319A"/>
    <w:rsid w:val="61255085"/>
    <w:rsid w:val="61265BEC"/>
    <w:rsid w:val="612752C6"/>
    <w:rsid w:val="613A304A"/>
    <w:rsid w:val="61406582"/>
    <w:rsid w:val="61587D6F"/>
    <w:rsid w:val="616553DB"/>
    <w:rsid w:val="616A1B52"/>
    <w:rsid w:val="616D5CB5"/>
    <w:rsid w:val="617D26D3"/>
    <w:rsid w:val="6190792C"/>
    <w:rsid w:val="61994561"/>
    <w:rsid w:val="61994610"/>
    <w:rsid w:val="61A33596"/>
    <w:rsid w:val="61A66180"/>
    <w:rsid w:val="61BD34CC"/>
    <w:rsid w:val="61C9201A"/>
    <w:rsid w:val="61C972DC"/>
    <w:rsid w:val="61DC274E"/>
    <w:rsid w:val="61DE64C6"/>
    <w:rsid w:val="61DF5F4C"/>
    <w:rsid w:val="61E770F1"/>
    <w:rsid w:val="61EB746D"/>
    <w:rsid w:val="61ED04E4"/>
    <w:rsid w:val="61F92B44"/>
    <w:rsid w:val="62077F39"/>
    <w:rsid w:val="620F21D5"/>
    <w:rsid w:val="62175534"/>
    <w:rsid w:val="623278F5"/>
    <w:rsid w:val="62500A46"/>
    <w:rsid w:val="625C45FA"/>
    <w:rsid w:val="62622B7D"/>
    <w:rsid w:val="62724D12"/>
    <w:rsid w:val="6273229D"/>
    <w:rsid w:val="62753E29"/>
    <w:rsid w:val="627E59DB"/>
    <w:rsid w:val="628030DA"/>
    <w:rsid w:val="62812C14"/>
    <w:rsid w:val="628229B0"/>
    <w:rsid w:val="6288396A"/>
    <w:rsid w:val="628A69CE"/>
    <w:rsid w:val="628C1F1B"/>
    <w:rsid w:val="629D3C8C"/>
    <w:rsid w:val="629E5419"/>
    <w:rsid w:val="62AB5B45"/>
    <w:rsid w:val="62AF3E7E"/>
    <w:rsid w:val="62B45FAA"/>
    <w:rsid w:val="62CD124A"/>
    <w:rsid w:val="62D14798"/>
    <w:rsid w:val="62DD16EC"/>
    <w:rsid w:val="62DF2EA3"/>
    <w:rsid w:val="62E51D7A"/>
    <w:rsid w:val="62E80C7F"/>
    <w:rsid w:val="62F615EE"/>
    <w:rsid w:val="62FB1DC0"/>
    <w:rsid w:val="62FC4B66"/>
    <w:rsid w:val="630B32EB"/>
    <w:rsid w:val="63230724"/>
    <w:rsid w:val="6336652D"/>
    <w:rsid w:val="63395F12"/>
    <w:rsid w:val="634218F3"/>
    <w:rsid w:val="634669F3"/>
    <w:rsid w:val="634B7B8C"/>
    <w:rsid w:val="635011B8"/>
    <w:rsid w:val="637A5D7B"/>
    <w:rsid w:val="637E336C"/>
    <w:rsid w:val="63857EEF"/>
    <w:rsid w:val="63862972"/>
    <w:rsid w:val="63922BBB"/>
    <w:rsid w:val="63927FEF"/>
    <w:rsid w:val="63B05C41"/>
    <w:rsid w:val="63B24364"/>
    <w:rsid w:val="63BF5DBC"/>
    <w:rsid w:val="63BF624E"/>
    <w:rsid w:val="63C32FF9"/>
    <w:rsid w:val="63D570F4"/>
    <w:rsid w:val="63DA5C57"/>
    <w:rsid w:val="63E14BB4"/>
    <w:rsid w:val="63E679FF"/>
    <w:rsid w:val="63EA73A4"/>
    <w:rsid w:val="63F202B4"/>
    <w:rsid w:val="63F27BBE"/>
    <w:rsid w:val="63F83144"/>
    <w:rsid w:val="63F93652"/>
    <w:rsid w:val="63FA7F02"/>
    <w:rsid w:val="64037F8B"/>
    <w:rsid w:val="640E68C7"/>
    <w:rsid w:val="64137F7D"/>
    <w:rsid w:val="641642B3"/>
    <w:rsid w:val="6420186A"/>
    <w:rsid w:val="643D7852"/>
    <w:rsid w:val="643E11CC"/>
    <w:rsid w:val="64431436"/>
    <w:rsid w:val="644A1BF1"/>
    <w:rsid w:val="644A4DB3"/>
    <w:rsid w:val="644F200A"/>
    <w:rsid w:val="64601415"/>
    <w:rsid w:val="64737FA7"/>
    <w:rsid w:val="64791A88"/>
    <w:rsid w:val="64824800"/>
    <w:rsid w:val="648E569C"/>
    <w:rsid w:val="64924C1A"/>
    <w:rsid w:val="6496255B"/>
    <w:rsid w:val="64994E32"/>
    <w:rsid w:val="64A00151"/>
    <w:rsid w:val="64B13F23"/>
    <w:rsid w:val="64B241AB"/>
    <w:rsid w:val="64B404FA"/>
    <w:rsid w:val="64B9658D"/>
    <w:rsid w:val="64CC1BBE"/>
    <w:rsid w:val="64D0045F"/>
    <w:rsid w:val="64D255E1"/>
    <w:rsid w:val="64EB4530"/>
    <w:rsid w:val="64F27CBC"/>
    <w:rsid w:val="64F31483"/>
    <w:rsid w:val="64F31A29"/>
    <w:rsid w:val="64F343D6"/>
    <w:rsid w:val="64F63B27"/>
    <w:rsid w:val="64FB3541"/>
    <w:rsid w:val="650A06B1"/>
    <w:rsid w:val="650B3114"/>
    <w:rsid w:val="650F6997"/>
    <w:rsid w:val="65213D8C"/>
    <w:rsid w:val="65340BD8"/>
    <w:rsid w:val="6535644E"/>
    <w:rsid w:val="653916E2"/>
    <w:rsid w:val="6545060B"/>
    <w:rsid w:val="65493C57"/>
    <w:rsid w:val="654C280A"/>
    <w:rsid w:val="6565189F"/>
    <w:rsid w:val="65685987"/>
    <w:rsid w:val="657D2B36"/>
    <w:rsid w:val="65915D4B"/>
    <w:rsid w:val="65924F60"/>
    <w:rsid w:val="659F09EE"/>
    <w:rsid w:val="65A44CD1"/>
    <w:rsid w:val="65A74E99"/>
    <w:rsid w:val="65BF03BD"/>
    <w:rsid w:val="65CB7653"/>
    <w:rsid w:val="65D070F3"/>
    <w:rsid w:val="65D471D1"/>
    <w:rsid w:val="65DA6FA5"/>
    <w:rsid w:val="65EC0A86"/>
    <w:rsid w:val="65EE47FE"/>
    <w:rsid w:val="65F722BC"/>
    <w:rsid w:val="660D737A"/>
    <w:rsid w:val="66154489"/>
    <w:rsid w:val="662E109F"/>
    <w:rsid w:val="6639016F"/>
    <w:rsid w:val="66477914"/>
    <w:rsid w:val="664B39FF"/>
    <w:rsid w:val="66581CAB"/>
    <w:rsid w:val="666679CF"/>
    <w:rsid w:val="667043FD"/>
    <w:rsid w:val="667D5C7B"/>
    <w:rsid w:val="6684352C"/>
    <w:rsid w:val="66862210"/>
    <w:rsid w:val="669426E0"/>
    <w:rsid w:val="66945FE1"/>
    <w:rsid w:val="66960D29"/>
    <w:rsid w:val="66A7410C"/>
    <w:rsid w:val="66AA03D9"/>
    <w:rsid w:val="66B168DC"/>
    <w:rsid w:val="66B71C06"/>
    <w:rsid w:val="66CD3F04"/>
    <w:rsid w:val="66CF0E40"/>
    <w:rsid w:val="66D7138E"/>
    <w:rsid w:val="66D85EBE"/>
    <w:rsid w:val="66DE6B36"/>
    <w:rsid w:val="66E57F7C"/>
    <w:rsid w:val="66E71F70"/>
    <w:rsid w:val="66E73D5E"/>
    <w:rsid w:val="66E7638F"/>
    <w:rsid w:val="66EF1480"/>
    <w:rsid w:val="66F83C73"/>
    <w:rsid w:val="670A02E9"/>
    <w:rsid w:val="67183BDE"/>
    <w:rsid w:val="67185FD7"/>
    <w:rsid w:val="67186F49"/>
    <w:rsid w:val="671C162B"/>
    <w:rsid w:val="671C58B1"/>
    <w:rsid w:val="67212E7F"/>
    <w:rsid w:val="67242BCD"/>
    <w:rsid w:val="672500BF"/>
    <w:rsid w:val="67302D72"/>
    <w:rsid w:val="67486190"/>
    <w:rsid w:val="674A1F08"/>
    <w:rsid w:val="674F25AA"/>
    <w:rsid w:val="6752137E"/>
    <w:rsid w:val="675876D3"/>
    <w:rsid w:val="675A00DA"/>
    <w:rsid w:val="67662D8D"/>
    <w:rsid w:val="67752C6B"/>
    <w:rsid w:val="6779381C"/>
    <w:rsid w:val="678D31A2"/>
    <w:rsid w:val="67987282"/>
    <w:rsid w:val="67996E6C"/>
    <w:rsid w:val="67A20BE7"/>
    <w:rsid w:val="67A4110F"/>
    <w:rsid w:val="67AA29A7"/>
    <w:rsid w:val="67AC2BC3"/>
    <w:rsid w:val="67AE31B4"/>
    <w:rsid w:val="67C473FE"/>
    <w:rsid w:val="67D279F2"/>
    <w:rsid w:val="67D3318B"/>
    <w:rsid w:val="67DD0FCE"/>
    <w:rsid w:val="67E54529"/>
    <w:rsid w:val="67F53BD9"/>
    <w:rsid w:val="68295FC1"/>
    <w:rsid w:val="68442E3B"/>
    <w:rsid w:val="684D7785"/>
    <w:rsid w:val="6850342F"/>
    <w:rsid w:val="68517AF3"/>
    <w:rsid w:val="685650C2"/>
    <w:rsid w:val="686274C3"/>
    <w:rsid w:val="686F0ED6"/>
    <w:rsid w:val="68772EAD"/>
    <w:rsid w:val="688672DF"/>
    <w:rsid w:val="688A2F04"/>
    <w:rsid w:val="688C4B4A"/>
    <w:rsid w:val="68907DEF"/>
    <w:rsid w:val="6891707D"/>
    <w:rsid w:val="68971E56"/>
    <w:rsid w:val="68A30B07"/>
    <w:rsid w:val="68A6012F"/>
    <w:rsid w:val="68A973ED"/>
    <w:rsid w:val="68AC3A86"/>
    <w:rsid w:val="68AD4425"/>
    <w:rsid w:val="68B07906"/>
    <w:rsid w:val="68B16919"/>
    <w:rsid w:val="68B25D40"/>
    <w:rsid w:val="68B4792D"/>
    <w:rsid w:val="68B61D29"/>
    <w:rsid w:val="68BB2BA4"/>
    <w:rsid w:val="68BB7419"/>
    <w:rsid w:val="68C41A78"/>
    <w:rsid w:val="68D075D9"/>
    <w:rsid w:val="68D423D1"/>
    <w:rsid w:val="68E03877"/>
    <w:rsid w:val="68E04CF0"/>
    <w:rsid w:val="68E07C6F"/>
    <w:rsid w:val="68E4244B"/>
    <w:rsid w:val="68E74FB7"/>
    <w:rsid w:val="68F42F4A"/>
    <w:rsid w:val="68F71770"/>
    <w:rsid w:val="68F91E38"/>
    <w:rsid w:val="68FD67A7"/>
    <w:rsid w:val="69076AC3"/>
    <w:rsid w:val="69096D76"/>
    <w:rsid w:val="690A5BF1"/>
    <w:rsid w:val="6917399C"/>
    <w:rsid w:val="69204F6A"/>
    <w:rsid w:val="69215BAE"/>
    <w:rsid w:val="6922333E"/>
    <w:rsid w:val="692A3D9F"/>
    <w:rsid w:val="692B454E"/>
    <w:rsid w:val="69366BE8"/>
    <w:rsid w:val="69366E3F"/>
    <w:rsid w:val="69390486"/>
    <w:rsid w:val="693B2696"/>
    <w:rsid w:val="693F5EA4"/>
    <w:rsid w:val="69413CEA"/>
    <w:rsid w:val="6945507D"/>
    <w:rsid w:val="69521FDD"/>
    <w:rsid w:val="695452C0"/>
    <w:rsid w:val="69646951"/>
    <w:rsid w:val="69871DA3"/>
    <w:rsid w:val="699346E7"/>
    <w:rsid w:val="69B13290"/>
    <w:rsid w:val="69BA3375"/>
    <w:rsid w:val="69BD327D"/>
    <w:rsid w:val="69BF6BDD"/>
    <w:rsid w:val="69C45FA2"/>
    <w:rsid w:val="69CD29FC"/>
    <w:rsid w:val="69CF4947"/>
    <w:rsid w:val="69D7551A"/>
    <w:rsid w:val="69D865C0"/>
    <w:rsid w:val="69D93053"/>
    <w:rsid w:val="69DD3507"/>
    <w:rsid w:val="69E5637A"/>
    <w:rsid w:val="69EB1780"/>
    <w:rsid w:val="69EC5ECF"/>
    <w:rsid w:val="69F14922"/>
    <w:rsid w:val="69F85C4B"/>
    <w:rsid w:val="6A081FF0"/>
    <w:rsid w:val="6A0B2E38"/>
    <w:rsid w:val="6A110154"/>
    <w:rsid w:val="6A140DF8"/>
    <w:rsid w:val="6A18009C"/>
    <w:rsid w:val="6A18502F"/>
    <w:rsid w:val="6A396731"/>
    <w:rsid w:val="6A4A4C31"/>
    <w:rsid w:val="6A4C7F5F"/>
    <w:rsid w:val="6A532A08"/>
    <w:rsid w:val="6A5437CA"/>
    <w:rsid w:val="6A571316"/>
    <w:rsid w:val="6A597DAD"/>
    <w:rsid w:val="6A5C61DA"/>
    <w:rsid w:val="6A6141A3"/>
    <w:rsid w:val="6A654C21"/>
    <w:rsid w:val="6A7327E5"/>
    <w:rsid w:val="6A782144"/>
    <w:rsid w:val="6A81400C"/>
    <w:rsid w:val="6A9E4777"/>
    <w:rsid w:val="6A9F172D"/>
    <w:rsid w:val="6AA57017"/>
    <w:rsid w:val="6AA907CF"/>
    <w:rsid w:val="6AB75366"/>
    <w:rsid w:val="6AB96DFC"/>
    <w:rsid w:val="6ABF0DA9"/>
    <w:rsid w:val="6AC02C0D"/>
    <w:rsid w:val="6AD21F31"/>
    <w:rsid w:val="6AE33281"/>
    <w:rsid w:val="6AE96A85"/>
    <w:rsid w:val="6AEC2376"/>
    <w:rsid w:val="6AF0035A"/>
    <w:rsid w:val="6AFC79BD"/>
    <w:rsid w:val="6B080110"/>
    <w:rsid w:val="6B135820"/>
    <w:rsid w:val="6B1C67D0"/>
    <w:rsid w:val="6B1F7917"/>
    <w:rsid w:val="6B33774D"/>
    <w:rsid w:val="6B3E1D84"/>
    <w:rsid w:val="6B463F87"/>
    <w:rsid w:val="6B4C1076"/>
    <w:rsid w:val="6B523CF7"/>
    <w:rsid w:val="6B5670CE"/>
    <w:rsid w:val="6B5C220A"/>
    <w:rsid w:val="6B651A23"/>
    <w:rsid w:val="6B7F67E4"/>
    <w:rsid w:val="6B890171"/>
    <w:rsid w:val="6B8A0A6F"/>
    <w:rsid w:val="6B8D7B94"/>
    <w:rsid w:val="6B923E7E"/>
    <w:rsid w:val="6B966DF8"/>
    <w:rsid w:val="6BA73DCD"/>
    <w:rsid w:val="6BB01188"/>
    <w:rsid w:val="6BB10000"/>
    <w:rsid w:val="6BB36D47"/>
    <w:rsid w:val="6BBA0754"/>
    <w:rsid w:val="6BBD1287"/>
    <w:rsid w:val="6BC517CC"/>
    <w:rsid w:val="6BC77959"/>
    <w:rsid w:val="6BC86C48"/>
    <w:rsid w:val="6BD77BAE"/>
    <w:rsid w:val="6BDB4497"/>
    <w:rsid w:val="6BE20961"/>
    <w:rsid w:val="6BE315AB"/>
    <w:rsid w:val="6BE72DB3"/>
    <w:rsid w:val="6BEF307E"/>
    <w:rsid w:val="6BEF4971"/>
    <w:rsid w:val="6BF121F9"/>
    <w:rsid w:val="6BF12D98"/>
    <w:rsid w:val="6BF44EAF"/>
    <w:rsid w:val="6BF57F88"/>
    <w:rsid w:val="6BFF476F"/>
    <w:rsid w:val="6C013726"/>
    <w:rsid w:val="6C110B55"/>
    <w:rsid w:val="6C180427"/>
    <w:rsid w:val="6C244EFD"/>
    <w:rsid w:val="6C2E53D9"/>
    <w:rsid w:val="6C3A5D62"/>
    <w:rsid w:val="6C3E53B1"/>
    <w:rsid w:val="6C4165A9"/>
    <w:rsid w:val="6C525B34"/>
    <w:rsid w:val="6C532A41"/>
    <w:rsid w:val="6C577D46"/>
    <w:rsid w:val="6C5F0204"/>
    <w:rsid w:val="6C6A357A"/>
    <w:rsid w:val="6C846341"/>
    <w:rsid w:val="6C8F058E"/>
    <w:rsid w:val="6C900DAF"/>
    <w:rsid w:val="6CA9147F"/>
    <w:rsid w:val="6CB35262"/>
    <w:rsid w:val="6CC02F50"/>
    <w:rsid w:val="6CC13712"/>
    <w:rsid w:val="6CC25359"/>
    <w:rsid w:val="6CC72000"/>
    <w:rsid w:val="6CC91FF6"/>
    <w:rsid w:val="6CDF597E"/>
    <w:rsid w:val="6CE1330F"/>
    <w:rsid w:val="6CE452D6"/>
    <w:rsid w:val="6CE95B6F"/>
    <w:rsid w:val="6CF444C7"/>
    <w:rsid w:val="6CF84FC5"/>
    <w:rsid w:val="6D051C7B"/>
    <w:rsid w:val="6D077569"/>
    <w:rsid w:val="6D0F39D8"/>
    <w:rsid w:val="6D195A21"/>
    <w:rsid w:val="6D1A1643"/>
    <w:rsid w:val="6D1E0990"/>
    <w:rsid w:val="6D203490"/>
    <w:rsid w:val="6D2154B9"/>
    <w:rsid w:val="6D2D20B0"/>
    <w:rsid w:val="6D351B91"/>
    <w:rsid w:val="6D377D5F"/>
    <w:rsid w:val="6D437B8A"/>
    <w:rsid w:val="6D52682A"/>
    <w:rsid w:val="6D527B91"/>
    <w:rsid w:val="6D5D6493"/>
    <w:rsid w:val="6D5E73B2"/>
    <w:rsid w:val="6D5E7D55"/>
    <w:rsid w:val="6D6427DC"/>
    <w:rsid w:val="6D701DBD"/>
    <w:rsid w:val="6D716441"/>
    <w:rsid w:val="6D8223FC"/>
    <w:rsid w:val="6D853818"/>
    <w:rsid w:val="6D924450"/>
    <w:rsid w:val="6DA06D26"/>
    <w:rsid w:val="6DAD385D"/>
    <w:rsid w:val="6DAF2C53"/>
    <w:rsid w:val="6DB32D75"/>
    <w:rsid w:val="6DBB186E"/>
    <w:rsid w:val="6DBF2DFF"/>
    <w:rsid w:val="6DC412C1"/>
    <w:rsid w:val="6DC97C49"/>
    <w:rsid w:val="6DE568D8"/>
    <w:rsid w:val="6DE7010F"/>
    <w:rsid w:val="6E030931"/>
    <w:rsid w:val="6E0E1B48"/>
    <w:rsid w:val="6E0E5823"/>
    <w:rsid w:val="6E121FE5"/>
    <w:rsid w:val="6E1F40EF"/>
    <w:rsid w:val="6E272ECE"/>
    <w:rsid w:val="6E2A648C"/>
    <w:rsid w:val="6E341917"/>
    <w:rsid w:val="6E3557E7"/>
    <w:rsid w:val="6E422D5D"/>
    <w:rsid w:val="6E515CBC"/>
    <w:rsid w:val="6E57601A"/>
    <w:rsid w:val="6E6B20DD"/>
    <w:rsid w:val="6E6B54BC"/>
    <w:rsid w:val="6E6C09B6"/>
    <w:rsid w:val="6E6D2268"/>
    <w:rsid w:val="6E713316"/>
    <w:rsid w:val="6E7361E8"/>
    <w:rsid w:val="6E8D5F43"/>
    <w:rsid w:val="6E8E5D1B"/>
    <w:rsid w:val="6E9310B7"/>
    <w:rsid w:val="6E9B422F"/>
    <w:rsid w:val="6EA36ACE"/>
    <w:rsid w:val="6EA43712"/>
    <w:rsid w:val="6EA84B58"/>
    <w:rsid w:val="6EB94A45"/>
    <w:rsid w:val="6EBC053F"/>
    <w:rsid w:val="6EBC7B8F"/>
    <w:rsid w:val="6EC000AB"/>
    <w:rsid w:val="6ECB182C"/>
    <w:rsid w:val="6ED773B0"/>
    <w:rsid w:val="6EDF73DA"/>
    <w:rsid w:val="6EE4255E"/>
    <w:rsid w:val="6EE73E73"/>
    <w:rsid w:val="6EEC520A"/>
    <w:rsid w:val="6F013B3F"/>
    <w:rsid w:val="6F161A21"/>
    <w:rsid w:val="6F183B34"/>
    <w:rsid w:val="6F1D01A1"/>
    <w:rsid w:val="6F347726"/>
    <w:rsid w:val="6F3614A9"/>
    <w:rsid w:val="6F3B30CC"/>
    <w:rsid w:val="6F410095"/>
    <w:rsid w:val="6F421E74"/>
    <w:rsid w:val="6F425CD6"/>
    <w:rsid w:val="6F44427E"/>
    <w:rsid w:val="6F471E8C"/>
    <w:rsid w:val="6F491EC8"/>
    <w:rsid w:val="6F4C1917"/>
    <w:rsid w:val="6F5E7F90"/>
    <w:rsid w:val="6F5F0EF2"/>
    <w:rsid w:val="6F5F61F1"/>
    <w:rsid w:val="6F641E77"/>
    <w:rsid w:val="6F6B6EC0"/>
    <w:rsid w:val="6F6E177D"/>
    <w:rsid w:val="6F6F3EC3"/>
    <w:rsid w:val="6F793947"/>
    <w:rsid w:val="6F804939"/>
    <w:rsid w:val="6F843DA5"/>
    <w:rsid w:val="6FA5220E"/>
    <w:rsid w:val="6FB9318F"/>
    <w:rsid w:val="6FBC7D53"/>
    <w:rsid w:val="6FC223F4"/>
    <w:rsid w:val="6FC62348"/>
    <w:rsid w:val="6FD04C7A"/>
    <w:rsid w:val="6FE52B30"/>
    <w:rsid w:val="6FE74427"/>
    <w:rsid w:val="6FEC1F1C"/>
    <w:rsid w:val="6FED5B27"/>
    <w:rsid w:val="6FF0087B"/>
    <w:rsid w:val="6FF67CBD"/>
    <w:rsid w:val="700417EE"/>
    <w:rsid w:val="700E6207"/>
    <w:rsid w:val="702F5A34"/>
    <w:rsid w:val="70311EF8"/>
    <w:rsid w:val="7033060D"/>
    <w:rsid w:val="703805DC"/>
    <w:rsid w:val="70392C76"/>
    <w:rsid w:val="703D3958"/>
    <w:rsid w:val="70585696"/>
    <w:rsid w:val="70681BCB"/>
    <w:rsid w:val="706E214A"/>
    <w:rsid w:val="70826B10"/>
    <w:rsid w:val="70883D8D"/>
    <w:rsid w:val="7089584F"/>
    <w:rsid w:val="70986CED"/>
    <w:rsid w:val="709A5A59"/>
    <w:rsid w:val="70A703CB"/>
    <w:rsid w:val="70BB20F0"/>
    <w:rsid w:val="70C718F0"/>
    <w:rsid w:val="70D30266"/>
    <w:rsid w:val="70D872D4"/>
    <w:rsid w:val="70D92621"/>
    <w:rsid w:val="70DB76F0"/>
    <w:rsid w:val="70DF4972"/>
    <w:rsid w:val="70E84C6C"/>
    <w:rsid w:val="70F51137"/>
    <w:rsid w:val="70FD13AF"/>
    <w:rsid w:val="70FF1FB5"/>
    <w:rsid w:val="710B6B8F"/>
    <w:rsid w:val="710D3ECF"/>
    <w:rsid w:val="71122C4E"/>
    <w:rsid w:val="71147636"/>
    <w:rsid w:val="71155335"/>
    <w:rsid w:val="71233EF6"/>
    <w:rsid w:val="712B6F2E"/>
    <w:rsid w:val="712C203B"/>
    <w:rsid w:val="712D491D"/>
    <w:rsid w:val="713170E7"/>
    <w:rsid w:val="71364733"/>
    <w:rsid w:val="713B2AAC"/>
    <w:rsid w:val="713D2AD3"/>
    <w:rsid w:val="71434477"/>
    <w:rsid w:val="71484441"/>
    <w:rsid w:val="71590265"/>
    <w:rsid w:val="715B72CC"/>
    <w:rsid w:val="715D6A0E"/>
    <w:rsid w:val="715E2971"/>
    <w:rsid w:val="716F1490"/>
    <w:rsid w:val="7174513B"/>
    <w:rsid w:val="717C3606"/>
    <w:rsid w:val="717F504A"/>
    <w:rsid w:val="717F5A62"/>
    <w:rsid w:val="71836742"/>
    <w:rsid w:val="719251BA"/>
    <w:rsid w:val="7192695B"/>
    <w:rsid w:val="719F7F3A"/>
    <w:rsid w:val="71AF42FD"/>
    <w:rsid w:val="71B467BF"/>
    <w:rsid w:val="71B52674"/>
    <w:rsid w:val="71B674E5"/>
    <w:rsid w:val="71BA365A"/>
    <w:rsid w:val="71D45ECD"/>
    <w:rsid w:val="71D75DB1"/>
    <w:rsid w:val="71E202B2"/>
    <w:rsid w:val="71E51D6F"/>
    <w:rsid w:val="71FC644A"/>
    <w:rsid w:val="71FE226D"/>
    <w:rsid w:val="72192E49"/>
    <w:rsid w:val="721C3121"/>
    <w:rsid w:val="721E571E"/>
    <w:rsid w:val="72227DFF"/>
    <w:rsid w:val="72253C9E"/>
    <w:rsid w:val="7231434F"/>
    <w:rsid w:val="723D0FE7"/>
    <w:rsid w:val="723F6439"/>
    <w:rsid w:val="72404EFD"/>
    <w:rsid w:val="724E3997"/>
    <w:rsid w:val="72564E99"/>
    <w:rsid w:val="72567FD4"/>
    <w:rsid w:val="7261227B"/>
    <w:rsid w:val="72703CB7"/>
    <w:rsid w:val="727E6F0A"/>
    <w:rsid w:val="72816276"/>
    <w:rsid w:val="72822E9E"/>
    <w:rsid w:val="728311F0"/>
    <w:rsid w:val="728931F6"/>
    <w:rsid w:val="728D72D4"/>
    <w:rsid w:val="72961917"/>
    <w:rsid w:val="729D390D"/>
    <w:rsid w:val="72A26C55"/>
    <w:rsid w:val="72A46B76"/>
    <w:rsid w:val="72A55860"/>
    <w:rsid w:val="72A55954"/>
    <w:rsid w:val="72A66542"/>
    <w:rsid w:val="72A76461"/>
    <w:rsid w:val="72AA334F"/>
    <w:rsid w:val="72AC0479"/>
    <w:rsid w:val="72B5390F"/>
    <w:rsid w:val="72C214EC"/>
    <w:rsid w:val="72C65A98"/>
    <w:rsid w:val="72C718FD"/>
    <w:rsid w:val="72D336FA"/>
    <w:rsid w:val="72E27C32"/>
    <w:rsid w:val="72EC66CD"/>
    <w:rsid w:val="72F21F81"/>
    <w:rsid w:val="72F3336A"/>
    <w:rsid w:val="73016E15"/>
    <w:rsid w:val="730D2B8A"/>
    <w:rsid w:val="73134DA6"/>
    <w:rsid w:val="73150018"/>
    <w:rsid w:val="73183658"/>
    <w:rsid w:val="731851C3"/>
    <w:rsid w:val="731F693F"/>
    <w:rsid w:val="732301DD"/>
    <w:rsid w:val="73231686"/>
    <w:rsid w:val="73373C88"/>
    <w:rsid w:val="733B7757"/>
    <w:rsid w:val="733F2B3D"/>
    <w:rsid w:val="73400B20"/>
    <w:rsid w:val="73421F7A"/>
    <w:rsid w:val="73442CBA"/>
    <w:rsid w:val="7346211D"/>
    <w:rsid w:val="735301AA"/>
    <w:rsid w:val="735638CC"/>
    <w:rsid w:val="735827AB"/>
    <w:rsid w:val="7358470B"/>
    <w:rsid w:val="736D0B0D"/>
    <w:rsid w:val="737536C8"/>
    <w:rsid w:val="737C4621"/>
    <w:rsid w:val="737F279E"/>
    <w:rsid w:val="73880333"/>
    <w:rsid w:val="73886292"/>
    <w:rsid w:val="73903399"/>
    <w:rsid w:val="739734EF"/>
    <w:rsid w:val="73983FDE"/>
    <w:rsid w:val="73A83DF5"/>
    <w:rsid w:val="73B62B52"/>
    <w:rsid w:val="73BF36C6"/>
    <w:rsid w:val="73C74715"/>
    <w:rsid w:val="73C81CE9"/>
    <w:rsid w:val="73CC6A77"/>
    <w:rsid w:val="73D268B9"/>
    <w:rsid w:val="73DE7D66"/>
    <w:rsid w:val="73E22025"/>
    <w:rsid w:val="73E503F0"/>
    <w:rsid w:val="73EA4857"/>
    <w:rsid w:val="73EC65DF"/>
    <w:rsid w:val="73EF00BF"/>
    <w:rsid w:val="73F15B71"/>
    <w:rsid w:val="73FD5016"/>
    <w:rsid w:val="74083EA6"/>
    <w:rsid w:val="74106039"/>
    <w:rsid w:val="74136F3C"/>
    <w:rsid w:val="741A29B0"/>
    <w:rsid w:val="74275AAB"/>
    <w:rsid w:val="74335FA4"/>
    <w:rsid w:val="74392A0E"/>
    <w:rsid w:val="743A1B60"/>
    <w:rsid w:val="744E128A"/>
    <w:rsid w:val="74514F84"/>
    <w:rsid w:val="74573C49"/>
    <w:rsid w:val="746740F9"/>
    <w:rsid w:val="74746816"/>
    <w:rsid w:val="74767411"/>
    <w:rsid w:val="749E302D"/>
    <w:rsid w:val="74AB3C22"/>
    <w:rsid w:val="74AE164B"/>
    <w:rsid w:val="74B9247B"/>
    <w:rsid w:val="74BC2A45"/>
    <w:rsid w:val="74BE5A95"/>
    <w:rsid w:val="74C4154C"/>
    <w:rsid w:val="74CC011D"/>
    <w:rsid w:val="74D15A17"/>
    <w:rsid w:val="74D84F6F"/>
    <w:rsid w:val="74D84FF7"/>
    <w:rsid w:val="74E62E29"/>
    <w:rsid w:val="74EB4D2A"/>
    <w:rsid w:val="74EE65C9"/>
    <w:rsid w:val="74EF6212"/>
    <w:rsid w:val="74F710C4"/>
    <w:rsid w:val="75047B9A"/>
    <w:rsid w:val="7509498A"/>
    <w:rsid w:val="751244AA"/>
    <w:rsid w:val="75252659"/>
    <w:rsid w:val="75291564"/>
    <w:rsid w:val="75372475"/>
    <w:rsid w:val="75385D85"/>
    <w:rsid w:val="753F00DF"/>
    <w:rsid w:val="75410C31"/>
    <w:rsid w:val="75432CC7"/>
    <w:rsid w:val="7549409D"/>
    <w:rsid w:val="75504895"/>
    <w:rsid w:val="755713D8"/>
    <w:rsid w:val="755723C0"/>
    <w:rsid w:val="75596138"/>
    <w:rsid w:val="757812AF"/>
    <w:rsid w:val="757B56BE"/>
    <w:rsid w:val="757E21E4"/>
    <w:rsid w:val="75834F63"/>
    <w:rsid w:val="75901DEC"/>
    <w:rsid w:val="759310CC"/>
    <w:rsid w:val="75956A44"/>
    <w:rsid w:val="759639F7"/>
    <w:rsid w:val="75B35B00"/>
    <w:rsid w:val="75B62282"/>
    <w:rsid w:val="75BD5610"/>
    <w:rsid w:val="75CA64C6"/>
    <w:rsid w:val="75CD3638"/>
    <w:rsid w:val="75CF395C"/>
    <w:rsid w:val="75D05C1D"/>
    <w:rsid w:val="75D23F2F"/>
    <w:rsid w:val="75D532E5"/>
    <w:rsid w:val="75E572F8"/>
    <w:rsid w:val="75E6443D"/>
    <w:rsid w:val="75F0258E"/>
    <w:rsid w:val="7602039F"/>
    <w:rsid w:val="761158B3"/>
    <w:rsid w:val="761642F9"/>
    <w:rsid w:val="761645FB"/>
    <w:rsid w:val="76165DD7"/>
    <w:rsid w:val="7620086F"/>
    <w:rsid w:val="76232C1F"/>
    <w:rsid w:val="763149BF"/>
    <w:rsid w:val="7631703C"/>
    <w:rsid w:val="763A7555"/>
    <w:rsid w:val="764F2F30"/>
    <w:rsid w:val="76562678"/>
    <w:rsid w:val="765E6BE4"/>
    <w:rsid w:val="765F28DB"/>
    <w:rsid w:val="7664216F"/>
    <w:rsid w:val="7664543D"/>
    <w:rsid w:val="76705B14"/>
    <w:rsid w:val="767147EA"/>
    <w:rsid w:val="767E397C"/>
    <w:rsid w:val="767F0ECD"/>
    <w:rsid w:val="768B51F2"/>
    <w:rsid w:val="76963FA5"/>
    <w:rsid w:val="7697080C"/>
    <w:rsid w:val="769C3E9C"/>
    <w:rsid w:val="76A2353F"/>
    <w:rsid w:val="76B15B00"/>
    <w:rsid w:val="76B86E8E"/>
    <w:rsid w:val="76BB24DB"/>
    <w:rsid w:val="76C23869"/>
    <w:rsid w:val="76C40B40"/>
    <w:rsid w:val="76C60525"/>
    <w:rsid w:val="76CB20D1"/>
    <w:rsid w:val="76DC7535"/>
    <w:rsid w:val="76EA2225"/>
    <w:rsid w:val="76EC0597"/>
    <w:rsid w:val="76ED78FA"/>
    <w:rsid w:val="76F37EC6"/>
    <w:rsid w:val="76F96E50"/>
    <w:rsid w:val="77050B48"/>
    <w:rsid w:val="7707556D"/>
    <w:rsid w:val="77132C23"/>
    <w:rsid w:val="77145374"/>
    <w:rsid w:val="77146156"/>
    <w:rsid w:val="77270993"/>
    <w:rsid w:val="772C5186"/>
    <w:rsid w:val="77387FCF"/>
    <w:rsid w:val="77452F64"/>
    <w:rsid w:val="77466345"/>
    <w:rsid w:val="77477AE7"/>
    <w:rsid w:val="774D713F"/>
    <w:rsid w:val="77545B3E"/>
    <w:rsid w:val="775A3C06"/>
    <w:rsid w:val="775C5D91"/>
    <w:rsid w:val="77606BBD"/>
    <w:rsid w:val="7760753E"/>
    <w:rsid w:val="776C1D69"/>
    <w:rsid w:val="77783A25"/>
    <w:rsid w:val="777C0999"/>
    <w:rsid w:val="77862AE9"/>
    <w:rsid w:val="77877E99"/>
    <w:rsid w:val="778A0C61"/>
    <w:rsid w:val="779571D0"/>
    <w:rsid w:val="77997FBB"/>
    <w:rsid w:val="77A10FBF"/>
    <w:rsid w:val="77B05DB7"/>
    <w:rsid w:val="77C16289"/>
    <w:rsid w:val="77C265B2"/>
    <w:rsid w:val="77D64119"/>
    <w:rsid w:val="77DE0625"/>
    <w:rsid w:val="77EA6DC3"/>
    <w:rsid w:val="77FA7033"/>
    <w:rsid w:val="77FC0FFD"/>
    <w:rsid w:val="77FE51CA"/>
    <w:rsid w:val="780452E6"/>
    <w:rsid w:val="7808174F"/>
    <w:rsid w:val="780A2F9D"/>
    <w:rsid w:val="781520BE"/>
    <w:rsid w:val="781A76D5"/>
    <w:rsid w:val="781C09F5"/>
    <w:rsid w:val="78370287"/>
    <w:rsid w:val="7840538D"/>
    <w:rsid w:val="78462278"/>
    <w:rsid w:val="784657E4"/>
    <w:rsid w:val="78564BBD"/>
    <w:rsid w:val="785E3642"/>
    <w:rsid w:val="786044B5"/>
    <w:rsid w:val="786B6144"/>
    <w:rsid w:val="786E7982"/>
    <w:rsid w:val="787308A9"/>
    <w:rsid w:val="787453D8"/>
    <w:rsid w:val="78825AE7"/>
    <w:rsid w:val="788F00C3"/>
    <w:rsid w:val="78955CE5"/>
    <w:rsid w:val="78987B92"/>
    <w:rsid w:val="78AA2807"/>
    <w:rsid w:val="78B102C1"/>
    <w:rsid w:val="78C40BCD"/>
    <w:rsid w:val="78CA59D6"/>
    <w:rsid w:val="78DD676D"/>
    <w:rsid w:val="78E060B5"/>
    <w:rsid w:val="78E666A4"/>
    <w:rsid w:val="78E95998"/>
    <w:rsid w:val="79005405"/>
    <w:rsid w:val="79131EF1"/>
    <w:rsid w:val="79132AA2"/>
    <w:rsid w:val="791D747D"/>
    <w:rsid w:val="792F6562"/>
    <w:rsid w:val="79327475"/>
    <w:rsid w:val="793547BE"/>
    <w:rsid w:val="793F7C22"/>
    <w:rsid w:val="79402301"/>
    <w:rsid w:val="79427575"/>
    <w:rsid w:val="795310F0"/>
    <w:rsid w:val="79532881"/>
    <w:rsid w:val="795807C1"/>
    <w:rsid w:val="795A0C0F"/>
    <w:rsid w:val="795D1F6F"/>
    <w:rsid w:val="795E2B1F"/>
    <w:rsid w:val="79613094"/>
    <w:rsid w:val="79700C74"/>
    <w:rsid w:val="797C0647"/>
    <w:rsid w:val="797C6449"/>
    <w:rsid w:val="797F3F87"/>
    <w:rsid w:val="798017B9"/>
    <w:rsid w:val="7984662A"/>
    <w:rsid w:val="798B0912"/>
    <w:rsid w:val="79A500CD"/>
    <w:rsid w:val="79B43146"/>
    <w:rsid w:val="79C50E1B"/>
    <w:rsid w:val="79D538DC"/>
    <w:rsid w:val="79EE0CE0"/>
    <w:rsid w:val="79F156E5"/>
    <w:rsid w:val="79F81C7E"/>
    <w:rsid w:val="7A047B1D"/>
    <w:rsid w:val="7A367FDE"/>
    <w:rsid w:val="7A392094"/>
    <w:rsid w:val="7A3B6881"/>
    <w:rsid w:val="7A41363F"/>
    <w:rsid w:val="7A4A3CF9"/>
    <w:rsid w:val="7A5F0CF1"/>
    <w:rsid w:val="7A62364C"/>
    <w:rsid w:val="7A634DEF"/>
    <w:rsid w:val="7A665F33"/>
    <w:rsid w:val="7A6915F3"/>
    <w:rsid w:val="7A701739"/>
    <w:rsid w:val="7A717E58"/>
    <w:rsid w:val="7A770E0E"/>
    <w:rsid w:val="7A772BBC"/>
    <w:rsid w:val="7A796816"/>
    <w:rsid w:val="7A7A35D5"/>
    <w:rsid w:val="7A7F0907"/>
    <w:rsid w:val="7A7F2A35"/>
    <w:rsid w:val="7A83708A"/>
    <w:rsid w:val="7A99244D"/>
    <w:rsid w:val="7AA375FF"/>
    <w:rsid w:val="7AB13EEA"/>
    <w:rsid w:val="7AB157BE"/>
    <w:rsid w:val="7ABE4A18"/>
    <w:rsid w:val="7AC603A3"/>
    <w:rsid w:val="7ACE55DB"/>
    <w:rsid w:val="7AF45690"/>
    <w:rsid w:val="7AF8673D"/>
    <w:rsid w:val="7B075098"/>
    <w:rsid w:val="7B24763E"/>
    <w:rsid w:val="7B2849CC"/>
    <w:rsid w:val="7B2F3497"/>
    <w:rsid w:val="7B353770"/>
    <w:rsid w:val="7B4A2665"/>
    <w:rsid w:val="7B4E6013"/>
    <w:rsid w:val="7B501CA4"/>
    <w:rsid w:val="7B526DE2"/>
    <w:rsid w:val="7B582DAE"/>
    <w:rsid w:val="7B5D520E"/>
    <w:rsid w:val="7B6354FD"/>
    <w:rsid w:val="7B660946"/>
    <w:rsid w:val="7B7D1690"/>
    <w:rsid w:val="7B7D2B35"/>
    <w:rsid w:val="7B825CBD"/>
    <w:rsid w:val="7B8B1A9B"/>
    <w:rsid w:val="7B8E4662"/>
    <w:rsid w:val="7B9B2AC5"/>
    <w:rsid w:val="7B9F686F"/>
    <w:rsid w:val="7BAC2023"/>
    <w:rsid w:val="7BAC28F4"/>
    <w:rsid w:val="7BAC32DA"/>
    <w:rsid w:val="7BAD0F8C"/>
    <w:rsid w:val="7BB67C52"/>
    <w:rsid w:val="7BBC286E"/>
    <w:rsid w:val="7BCB0690"/>
    <w:rsid w:val="7BCC1919"/>
    <w:rsid w:val="7BCD518A"/>
    <w:rsid w:val="7BCD6D4C"/>
    <w:rsid w:val="7BD36518"/>
    <w:rsid w:val="7BDF6C6B"/>
    <w:rsid w:val="7BE17F72"/>
    <w:rsid w:val="7BE34CD3"/>
    <w:rsid w:val="7BE45926"/>
    <w:rsid w:val="7BE80A59"/>
    <w:rsid w:val="7BEC57D9"/>
    <w:rsid w:val="7BF43EDD"/>
    <w:rsid w:val="7BFB29B8"/>
    <w:rsid w:val="7BFB4F84"/>
    <w:rsid w:val="7BFB5810"/>
    <w:rsid w:val="7BFD2A05"/>
    <w:rsid w:val="7BFE2CE6"/>
    <w:rsid w:val="7BFE5760"/>
    <w:rsid w:val="7C0950B7"/>
    <w:rsid w:val="7C0E4EAB"/>
    <w:rsid w:val="7C0F26F5"/>
    <w:rsid w:val="7C120DEF"/>
    <w:rsid w:val="7C176405"/>
    <w:rsid w:val="7C1D0041"/>
    <w:rsid w:val="7C1D7794"/>
    <w:rsid w:val="7C236C1E"/>
    <w:rsid w:val="7C305674"/>
    <w:rsid w:val="7C3945CD"/>
    <w:rsid w:val="7C3A65CE"/>
    <w:rsid w:val="7C3B00C1"/>
    <w:rsid w:val="7C3C2310"/>
    <w:rsid w:val="7C551650"/>
    <w:rsid w:val="7C570EF7"/>
    <w:rsid w:val="7C614FB6"/>
    <w:rsid w:val="7C887303"/>
    <w:rsid w:val="7CAB4D9F"/>
    <w:rsid w:val="7CAE3639"/>
    <w:rsid w:val="7CAE7F30"/>
    <w:rsid w:val="7CB732EA"/>
    <w:rsid w:val="7CBA567B"/>
    <w:rsid w:val="7CC12815"/>
    <w:rsid w:val="7CCD11BA"/>
    <w:rsid w:val="7CDC25BA"/>
    <w:rsid w:val="7CE02C3F"/>
    <w:rsid w:val="7CE67ECB"/>
    <w:rsid w:val="7CE9637E"/>
    <w:rsid w:val="7CF76257"/>
    <w:rsid w:val="7D273BC4"/>
    <w:rsid w:val="7D2C7C8E"/>
    <w:rsid w:val="7D2D3A06"/>
    <w:rsid w:val="7D426E49"/>
    <w:rsid w:val="7D585220"/>
    <w:rsid w:val="7D6425B3"/>
    <w:rsid w:val="7D691197"/>
    <w:rsid w:val="7D6C3E46"/>
    <w:rsid w:val="7D6C607C"/>
    <w:rsid w:val="7D7548FF"/>
    <w:rsid w:val="7D790A5B"/>
    <w:rsid w:val="7D7A30EF"/>
    <w:rsid w:val="7D7B2597"/>
    <w:rsid w:val="7D800B18"/>
    <w:rsid w:val="7D882AC8"/>
    <w:rsid w:val="7D8950E1"/>
    <w:rsid w:val="7D8F551A"/>
    <w:rsid w:val="7D9672CE"/>
    <w:rsid w:val="7D9B1948"/>
    <w:rsid w:val="7D9F168F"/>
    <w:rsid w:val="7DA0067C"/>
    <w:rsid w:val="7DBD67DA"/>
    <w:rsid w:val="7DBF0B02"/>
    <w:rsid w:val="7DBF7F96"/>
    <w:rsid w:val="7DC12ACC"/>
    <w:rsid w:val="7DC15403"/>
    <w:rsid w:val="7DC60B4C"/>
    <w:rsid w:val="7DD4193C"/>
    <w:rsid w:val="7DDA1DE0"/>
    <w:rsid w:val="7DDF57D3"/>
    <w:rsid w:val="7DE77244"/>
    <w:rsid w:val="7DE96989"/>
    <w:rsid w:val="7DF028ED"/>
    <w:rsid w:val="7E024E93"/>
    <w:rsid w:val="7E0D7E38"/>
    <w:rsid w:val="7E2272E3"/>
    <w:rsid w:val="7E2B16C6"/>
    <w:rsid w:val="7E2D63B4"/>
    <w:rsid w:val="7E2F128A"/>
    <w:rsid w:val="7E330E9A"/>
    <w:rsid w:val="7E3468D5"/>
    <w:rsid w:val="7E36590A"/>
    <w:rsid w:val="7E402F0C"/>
    <w:rsid w:val="7E4115B2"/>
    <w:rsid w:val="7E4A641B"/>
    <w:rsid w:val="7E513524"/>
    <w:rsid w:val="7E533EA5"/>
    <w:rsid w:val="7E5E0DA5"/>
    <w:rsid w:val="7E5E47BF"/>
    <w:rsid w:val="7E834226"/>
    <w:rsid w:val="7E944EFE"/>
    <w:rsid w:val="7E961685"/>
    <w:rsid w:val="7E9E7F46"/>
    <w:rsid w:val="7EA15A8E"/>
    <w:rsid w:val="7EA66D3E"/>
    <w:rsid w:val="7EB468D5"/>
    <w:rsid w:val="7EBC7738"/>
    <w:rsid w:val="7EBF03C0"/>
    <w:rsid w:val="7ECB5D48"/>
    <w:rsid w:val="7EDC7492"/>
    <w:rsid w:val="7EE820C2"/>
    <w:rsid w:val="7EFA1F96"/>
    <w:rsid w:val="7F075DA6"/>
    <w:rsid w:val="7F182BC0"/>
    <w:rsid w:val="7F1C3D32"/>
    <w:rsid w:val="7F2468AA"/>
    <w:rsid w:val="7F272865"/>
    <w:rsid w:val="7F2B45FC"/>
    <w:rsid w:val="7F343307"/>
    <w:rsid w:val="7F363046"/>
    <w:rsid w:val="7F39349B"/>
    <w:rsid w:val="7F3A357F"/>
    <w:rsid w:val="7F3F6FF4"/>
    <w:rsid w:val="7F40777B"/>
    <w:rsid w:val="7F413799"/>
    <w:rsid w:val="7F415E09"/>
    <w:rsid w:val="7F49021D"/>
    <w:rsid w:val="7F6130DC"/>
    <w:rsid w:val="7F6310E9"/>
    <w:rsid w:val="7F652817"/>
    <w:rsid w:val="7F6E055C"/>
    <w:rsid w:val="7FA8634F"/>
    <w:rsid w:val="7FB36445"/>
    <w:rsid w:val="7FBA3C77"/>
    <w:rsid w:val="7FBD5540"/>
    <w:rsid w:val="7FC93EBA"/>
    <w:rsid w:val="7FCE0F6D"/>
    <w:rsid w:val="7FD8362E"/>
    <w:rsid w:val="7FE545C6"/>
    <w:rsid w:val="7FF02F4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1" w:semiHidden="0" w:name="heading 2"/>
    <w:lsdException w:qFormat="1" w:unhideWhenUsed="0" w:uiPriority="0" w:semiHidden="0" w:name="heading 3"/>
    <w:lsdException w:qFormat="1" w:unhideWhenUsed="0" w:uiPriority="1"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qFormat="1"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topLinePunct/>
      <w:spacing w:line="360" w:lineRule="auto"/>
      <w:ind w:firstLine="1040" w:firstLineChars="200"/>
      <w:jc w:val="both"/>
    </w:pPr>
    <w:rPr>
      <w:rFonts w:ascii="Times New Roman" w:hAnsi="Times New Roman" w:eastAsia="宋体" w:cs="Times New Roman"/>
      <w:kern w:val="2"/>
      <w:sz w:val="21"/>
      <w:szCs w:val="21"/>
      <w:lang w:val="en-US" w:eastAsia="zh-CN" w:bidi="ar-SA"/>
    </w:rPr>
  </w:style>
  <w:style w:type="paragraph" w:styleId="2">
    <w:name w:val="heading 1"/>
    <w:basedOn w:val="1"/>
    <w:next w:val="1"/>
    <w:link w:val="67"/>
    <w:qFormat/>
    <w:uiPriority w:val="0"/>
    <w:pPr>
      <w:keepNext/>
      <w:keepLines/>
      <w:numPr>
        <w:ilvl w:val="0"/>
        <w:numId w:val="1"/>
      </w:numPr>
      <w:spacing w:before="340" w:after="330"/>
      <w:ind w:left="0" w:firstLine="0" w:firstLineChars="0"/>
      <w:jc w:val="center"/>
      <w:outlineLvl w:val="0"/>
    </w:pPr>
    <w:rPr>
      <w:b/>
      <w:kern w:val="44"/>
      <w:sz w:val="44"/>
    </w:rPr>
  </w:style>
  <w:style w:type="paragraph" w:styleId="3">
    <w:name w:val="heading 2"/>
    <w:basedOn w:val="1"/>
    <w:next w:val="1"/>
    <w:link w:val="68"/>
    <w:qFormat/>
    <w:uiPriority w:val="1"/>
    <w:pPr>
      <w:numPr>
        <w:ilvl w:val="1"/>
        <w:numId w:val="1"/>
      </w:numPr>
      <w:tabs>
        <w:tab w:val="left" w:pos="360"/>
        <w:tab w:val="left" w:pos="432"/>
      </w:tabs>
      <w:spacing w:before="50" w:beforeLines="50" w:after="50" w:afterLines="50"/>
      <w:ind w:firstLine="0" w:firstLineChars="0"/>
      <w:outlineLvl w:val="1"/>
    </w:pPr>
    <w:rPr>
      <w:rFonts w:ascii="宋体" w:hAnsi="宋体" w:cs="宋体"/>
      <w:b/>
      <w:bCs/>
      <w:sz w:val="32"/>
      <w:szCs w:val="32"/>
      <w:lang w:val="zh-CN" w:bidi="zh-CN"/>
    </w:rPr>
  </w:style>
  <w:style w:type="paragraph" w:styleId="4">
    <w:name w:val="heading 3"/>
    <w:basedOn w:val="1"/>
    <w:next w:val="1"/>
    <w:link w:val="69"/>
    <w:qFormat/>
    <w:uiPriority w:val="0"/>
    <w:pPr>
      <w:keepNext/>
      <w:keepLines/>
      <w:numPr>
        <w:ilvl w:val="2"/>
        <w:numId w:val="1"/>
      </w:numPr>
      <w:spacing w:before="50" w:beforeLines="50" w:after="50" w:afterLines="50"/>
      <w:ind w:left="482" w:firstLine="0" w:firstLineChars="0"/>
      <w:outlineLvl w:val="2"/>
    </w:pPr>
    <w:rPr>
      <w:b/>
      <w:sz w:val="32"/>
    </w:rPr>
  </w:style>
  <w:style w:type="paragraph" w:styleId="5">
    <w:name w:val="heading 4"/>
    <w:basedOn w:val="1"/>
    <w:next w:val="1"/>
    <w:qFormat/>
    <w:uiPriority w:val="1"/>
    <w:pPr>
      <w:numPr>
        <w:ilvl w:val="3"/>
        <w:numId w:val="1"/>
      </w:numPr>
      <w:ind w:left="482" w:firstLine="0" w:firstLineChars="0"/>
      <w:outlineLvl w:val="3"/>
    </w:pPr>
    <w:rPr>
      <w:rFonts w:ascii="宋体" w:hAnsi="宋体" w:cs="宋体"/>
      <w:b/>
      <w:bCs/>
      <w:lang w:val="zh-CN" w:bidi="zh-CN"/>
    </w:rPr>
  </w:style>
  <w:style w:type="paragraph" w:styleId="6">
    <w:name w:val="heading 5"/>
    <w:basedOn w:val="1"/>
    <w:next w:val="1"/>
    <w:qFormat/>
    <w:uiPriority w:val="0"/>
    <w:pPr>
      <w:keepNext/>
      <w:keepLines/>
      <w:numPr>
        <w:ilvl w:val="4"/>
        <w:numId w:val="1"/>
      </w:numPr>
      <w:ind w:left="482" w:firstLine="0" w:firstLineChars="0"/>
      <w:outlineLvl w:val="4"/>
    </w:pPr>
    <w:rPr>
      <w:b/>
    </w:rPr>
  </w:style>
  <w:style w:type="paragraph" w:styleId="7">
    <w:name w:val="heading 6"/>
    <w:basedOn w:val="1"/>
    <w:next w:val="1"/>
    <w:qFormat/>
    <w:uiPriority w:val="0"/>
    <w:pPr>
      <w:keepNext/>
      <w:keepLines/>
      <w:numPr>
        <w:ilvl w:val="5"/>
        <w:numId w:val="1"/>
      </w:numPr>
      <w:spacing w:before="240" w:after="64" w:line="317" w:lineRule="auto"/>
      <w:ind w:firstLine="0" w:firstLineChars="0"/>
      <w:outlineLvl w:val="5"/>
    </w:pPr>
    <w:rPr>
      <w:rFonts w:ascii="Arial" w:hAnsi="Arial" w:eastAsia="黑体"/>
      <w:b/>
    </w:rPr>
  </w:style>
  <w:style w:type="paragraph" w:styleId="8">
    <w:name w:val="heading 7"/>
    <w:basedOn w:val="1"/>
    <w:next w:val="1"/>
    <w:qFormat/>
    <w:uiPriority w:val="0"/>
    <w:pPr>
      <w:keepNext/>
      <w:keepLines/>
      <w:numPr>
        <w:ilvl w:val="6"/>
        <w:numId w:val="1"/>
      </w:numPr>
      <w:spacing w:before="240" w:after="64" w:line="317" w:lineRule="auto"/>
      <w:ind w:firstLine="0" w:firstLineChars="0"/>
      <w:outlineLvl w:val="6"/>
    </w:pPr>
    <w:rPr>
      <w:b/>
    </w:rPr>
  </w:style>
  <w:style w:type="paragraph" w:styleId="9">
    <w:name w:val="heading 8"/>
    <w:basedOn w:val="1"/>
    <w:next w:val="1"/>
    <w:qFormat/>
    <w:uiPriority w:val="0"/>
    <w:pPr>
      <w:keepNext/>
      <w:keepLines/>
      <w:numPr>
        <w:ilvl w:val="7"/>
        <w:numId w:val="1"/>
      </w:numPr>
      <w:spacing w:before="240" w:after="64" w:line="317" w:lineRule="auto"/>
      <w:ind w:firstLine="0" w:firstLineChars="0"/>
      <w:outlineLvl w:val="7"/>
    </w:pPr>
    <w:rPr>
      <w:rFonts w:ascii="Arial" w:hAnsi="Arial" w:eastAsia="黑体"/>
    </w:rPr>
  </w:style>
  <w:style w:type="paragraph" w:styleId="10">
    <w:name w:val="heading 9"/>
    <w:basedOn w:val="1"/>
    <w:next w:val="1"/>
    <w:qFormat/>
    <w:uiPriority w:val="0"/>
    <w:pPr>
      <w:keepNext/>
      <w:keepLines/>
      <w:numPr>
        <w:ilvl w:val="8"/>
        <w:numId w:val="1"/>
      </w:numPr>
      <w:spacing w:before="240" w:after="64" w:line="317" w:lineRule="auto"/>
      <w:ind w:firstLine="0" w:firstLineChars="0"/>
      <w:outlineLvl w:val="8"/>
    </w:pPr>
    <w:rPr>
      <w:rFonts w:ascii="Arial" w:hAnsi="Arial" w:eastAsia="黑体"/>
      <w:sz w:val="21"/>
    </w:rPr>
  </w:style>
  <w:style w:type="character" w:default="1" w:styleId="48">
    <w:name w:val="Default Paragraph Font"/>
    <w:unhideWhenUsed/>
    <w:qFormat/>
    <w:uiPriority w:val="1"/>
  </w:style>
  <w:style w:type="table" w:default="1" w:styleId="46">
    <w:name w:val="Normal Table"/>
    <w:unhideWhenUsed/>
    <w:qFormat/>
    <w:uiPriority w:val="99"/>
    <w:tblPr>
      <w:tblCellMar>
        <w:top w:w="0" w:type="dxa"/>
        <w:left w:w="108" w:type="dxa"/>
        <w:bottom w:w="0" w:type="dxa"/>
        <w:right w:w="108" w:type="dxa"/>
      </w:tblCellMar>
    </w:tblPr>
  </w:style>
  <w:style w:type="paragraph" w:styleId="11">
    <w:name w:val="List 3"/>
    <w:basedOn w:val="1"/>
    <w:next w:val="12"/>
    <w:qFormat/>
    <w:uiPriority w:val="0"/>
    <w:pPr>
      <w:ind w:left="100" w:leftChars="400" w:hanging="200" w:hangingChars="200"/>
      <w:contextualSpacing/>
    </w:pPr>
  </w:style>
  <w:style w:type="paragraph" w:styleId="12">
    <w:name w:val="List 4"/>
    <w:basedOn w:val="1"/>
    <w:qFormat/>
    <w:uiPriority w:val="0"/>
    <w:pPr>
      <w:ind w:left="100" w:leftChars="600" w:hanging="200" w:hangingChars="200"/>
      <w:contextualSpacing/>
    </w:pPr>
  </w:style>
  <w:style w:type="paragraph" w:styleId="13">
    <w:name w:val="E-mail Signature"/>
    <w:basedOn w:val="1"/>
    <w:next w:val="14"/>
    <w:qFormat/>
    <w:uiPriority w:val="0"/>
  </w:style>
  <w:style w:type="paragraph" w:customStyle="1" w:styleId="14">
    <w:name w:val="文章"/>
    <w:basedOn w:val="15"/>
    <w:next w:val="16"/>
    <w:qFormat/>
    <w:uiPriority w:val="0"/>
    <w:pPr>
      <w:ind w:firstLine="480"/>
      <w:jc w:val="center"/>
    </w:pPr>
    <w:rPr>
      <w:rFonts w:ascii="Calibri" w:hAnsi="Calibri" w:cs="Times New Roman"/>
      <w:sz w:val="26"/>
      <w:szCs w:val="22"/>
    </w:rPr>
  </w:style>
  <w:style w:type="paragraph" w:styleId="15">
    <w:name w:val="Body Text Indent"/>
    <w:basedOn w:val="1"/>
    <w:qFormat/>
    <w:uiPriority w:val="0"/>
    <w:pPr>
      <w:ind w:firstLine="560"/>
    </w:pPr>
    <w:rPr>
      <w:sz w:val="28"/>
    </w:rPr>
  </w:style>
  <w:style w:type="paragraph" w:styleId="16">
    <w:name w:val="List"/>
    <w:basedOn w:val="1"/>
    <w:qFormat/>
    <w:uiPriority w:val="99"/>
    <w:pPr>
      <w:ind w:left="200" w:hanging="200"/>
    </w:pPr>
  </w:style>
  <w:style w:type="paragraph" w:styleId="17">
    <w:name w:val="Normal Indent"/>
    <w:basedOn w:val="1"/>
    <w:next w:val="1"/>
    <w:qFormat/>
    <w:uiPriority w:val="0"/>
    <w:pPr>
      <w:widowControl w:val="0"/>
      <w:wordWrap w:val="0"/>
      <w:spacing w:line="440" w:lineRule="exact"/>
      <w:ind w:firstLine="420"/>
    </w:pPr>
    <w:rPr>
      <w:rFonts w:ascii="Calibri" w:hAnsi="Calibri"/>
    </w:rPr>
  </w:style>
  <w:style w:type="paragraph" w:styleId="18">
    <w:name w:val="caption"/>
    <w:basedOn w:val="1"/>
    <w:next w:val="1"/>
    <w:qFormat/>
    <w:uiPriority w:val="0"/>
    <w:pPr>
      <w:adjustRightInd w:val="0"/>
      <w:snapToGrid w:val="0"/>
      <w:spacing w:line="312" w:lineRule="auto"/>
      <w:jc w:val="center"/>
    </w:pPr>
    <w:rPr>
      <w:rFonts w:ascii="Times New Roman" w:hAnsi="Times New Roman" w:eastAsia="宋体" w:cs="Arial"/>
      <w:b/>
      <w:kern w:val="2"/>
      <w:sz w:val="24"/>
      <w:lang w:val="en-US" w:eastAsia="zh-CN" w:bidi="ar-SA"/>
    </w:rPr>
  </w:style>
  <w:style w:type="paragraph" w:styleId="19">
    <w:name w:val="toa heading"/>
    <w:basedOn w:val="1"/>
    <w:next w:val="1"/>
    <w:unhideWhenUsed/>
    <w:qFormat/>
    <w:uiPriority w:val="99"/>
    <w:pPr>
      <w:widowControl/>
      <w:overflowPunct w:val="0"/>
      <w:autoSpaceDE w:val="0"/>
      <w:autoSpaceDN w:val="0"/>
      <w:adjustRightInd w:val="0"/>
      <w:spacing w:before="120" w:after="120" w:line="240" w:lineRule="auto"/>
      <w:ind w:firstLine="0" w:firstLineChars="0"/>
      <w:jc w:val="center"/>
    </w:pPr>
    <w:rPr>
      <w:rFonts w:ascii="Arial" w:hAnsi="Arial" w:eastAsia="黑体" w:cs="宋体"/>
      <w:kern w:val="0"/>
      <w:sz w:val="44"/>
      <w:szCs w:val="44"/>
    </w:rPr>
  </w:style>
  <w:style w:type="paragraph" w:styleId="20">
    <w:name w:val="annotation text"/>
    <w:basedOn w:val="1"/>
    <w:link w:val="70"/>
    <w:qFormat/>
    <w:uiPriority w:val="0"/>
    <w:pPr>
      <w:jc w:val="left"/>
    </w:pPr>
  </w:style>
  <w:style w:type="paragraph" w:styleId="21">
    <w:name w:val="Body Text"/>
    <w:basedOn w:val="1"/>
    <w:next w:val="1"/>
    <w:qFormat/>
    <w:uiPriority w:val="1"/>
    <w:rPr>
      <w:rFonts w:ascii="宋体" w:hAnsi="宋体" w:cs="宋体"/>
      <w:lang w:val="zh-CN" w:bidi="zh-CN"/>
    </w:rPr>
  </w:style>
  <w:style w:type="paragraph" w:styleId="22">
    <w:name w:val="Block Text"/>
    <w:basedOn w:val="1"/>
    <w:qFormat/>
    <w:uiPriority w:val="0"/>
    <w:pPr>
      <w:adjustRightInd w:val="0"/>
      <w:snapToGrid w:val="0"/>
      <w:spacing w:line="490" w:lineRule="atLeast"/>
      <w:ind w:left="10" w:leftChars="5" w:right="-449" w:rightChars="-214" w:firstLine="560" w:firstLineChars="200"/>
    </w:pPr>
    <w:rPr>
      <w:color w:val="000000"/>
      <w:sz w:val="28"/>
    </w:rPr>
  </w:style>
  <w:style w:type="paragraph" w:styleId="23">
    <w:name w:val="List Bullet 2"/>
    <w:basedOn w:val="1"/>
    <w:next w:val="24"/>
    <w:qFormat/>
    <w:uiPriority w:val="0"/>
    <w:pPr>
      <w:numPr>
        <w:ilvl w:val="0"/>
        <w:numId w:val="2"/>
      </w:numPr>
    </w:pPr>
  </w:style>
  <w:style w:type="paragraph" w:customStyle="1" w:styleId="24">
    <w:name w:val="xl70"/>
    <w:basedOn w:val="1"/>
    <w:next w:val="25"/>
    <w:qFormat/>
    <w:uiPriority w:val="0"/>
    <w:pPr>
      <w:tabs>
        <w:tab w:val="left" w:pos="480"/>
      </w:tabs>
      <w:spacing w:before="280" w:after="280"/>
    </w:pPr>
    <w:rPr>
      <w:rFonts w:ascii="宋体"/>
    </w:rPr>
  </w:style>
  <w:style w:type="paragraph" w:customStyle="1" w:styleId="25">
    <w:name w:val="正文缩进1"/>
    <w:basedOn w:val="1"/>
    <w:next w:val="26"/>
    <w:qFormat/>
    <w:uiPriority w:val="0"/>
    <w:pPr>
      <w:tabs>
        <w:tab w:val="left" w:pos="480"/>
      </w:tabs>
      <w:ind w:firstLine="420"/>
    </w:pPr>
    <w:rPr>
      <w:szCs w:val="20"/>
    </w:rPr>
  </w:style>
  <w:style w:type="paragraph" w:customStyle="1" w:styleId="26">
    <w:name w:val="td1"/>
    <w:basedOn w:val="1"/>
    <w:next w:val="1"/>
    <w:qFormat/>
    <w:uiPriority w:val="0"/>
    <w:pPr>
      <w:tabs>
        <w:tab w:val="left" w:pos="480"/>
      </w:tabs>
      <w:spacing w:before="280" w:after="280" w:line="300" w:lineRule="atLeast"/>
      <w:ind w:firstLine="200"/>
    </w:pPr>
    <w:rPr>
      <w:color w:val="000000"/>
      <w:sz w:val="18"/>
    </w:rPr>
  </w:style>
  <w:style w:type="paragraph" w:styleId="27">
    <w:name w:val="toc 3"/>
    <w:basedOn w:val="1"/>
    <w:next w:val="1"/>
    <w:qFormat/>
    <w:uiPriority w:val="0"/>
    <w:pPr>
      <w:ind w:left="840" w:leftChars="400"/>
    </w:pPr>
  </w:style>
  <w:style w:type="paragraph" w:styleId="28">
    <w:name w:val="Plain Text"/>
    <w:basedOn w:val="1"/>
    <w:qFormat/>
    <w:uiPriority w:val="0"/>
    <w:pPr>
      <w:widowControl w:val="0"/>
    </w:pPr>
    <w:rPr>
      <w:rFonts w:hint="eastAsia" w:ascii="宋体" w:hAnsi="Courier New" w:cs="Times New Roman"/>
      <w:sz w:val="21"/>
      <w:szCs w:val="21"/>
    </w:rPr>
  </w:style>
  <w:style w:type="paragraph" w:styleId="29">
    <w:name w:val="Body Text Indent 2"/>
    <w:basedOn w:val="1"/>
    <w:qFormat/>
    <w:uiPriority w:val="0"/>
    <w:pPr>
      <w:spacing w:after="120" w:line="480" w:lineRule="auto"/>
      <w:ind w:left="420" w:leftChars="200"/>
    </w:pPr>
  </w:style>
  <w:style w:type="paragraph" w:styleId="30">
    <w:name w:val="Balloon Text"/>
    <w:basedOn w:val="1"/>
    <w:link w:val="71"/>
    <w:qFormat/>
    <w:uiPriority w:val="0"/>
    <w:pPr>
      <w:spacing w:line="240" w:lineRule="auto"/>
    </w:pPr>
    <w:rPr>
      <w:sz w:val="18"/>
      <w:szCs w:val="18"/>
    </w:rPr>
  </w:style>
  <w:style w:type="paragraph" w:styleId="31">
    <w:name w:val="footer"/>
    <w:basedOn w:val="1"/>
    <w:qFormat/>
    <w:uiPriority w:val="0"/>
    <w:pPr>
      <w:tabs>
        <w:tab w:val="center" w:pos="4153"/>
        <w:tab w:val="right" w:pos="8306"/>
      </w:tabs>
      <w:snapToGrid w:val="0"/>
      <w:jc w:val="left"/>
    </w:pPr>
    <w:rPr>
      <w:sz w:val="18"/>
    </w:rPr>
  </w:style>
  <w:style w:type="paragraph" w:styleId="32">
    <w:name w:val="header"/>
    <w:basedOn w:val="1"/>
    <w:next w:val="33"/>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customStyle="1" w:styleId="33">
    <w:name w:val="样式5"/>
    <w:basedOn w:val="34"/>
    <w:qFormat/>
    <w:uiPriority w:val="0"/>
    <w:pPr>
      <w:tabs>
        <w:tab w:val="left" w:pos="360"/>
      </w:tabs>
      <w:spacing w:line="360" w:lineRule="auto"/>
      <w:ind w:firstLine="510"/>
    </w:pPr>
  </w:style>
  <w:style w:type="paragraph" w:customStyle="1" w:styleId="34">
    <w:name w:val="正文1"/>
    <w:basedOn w:val="1"/>
    <w:qFormat/>
    <w:uiPriority w:val="0"/>
    <w:pPr>
      <w:adjustRightInd w:val="0"/>
    </w:pPr>
    <w:rPr>
      <w:rFonts w:eastAsia="楷体_GB2312"/>
    </w:rPr>
  </w:style>
  <w:style w:type="paragraph" w:styleId="35">
    <w:name w:val="toc 1"/>
    <w:basedOn w:val="1"/>
    <w:next w:val="1"/>
    <w:qFormat/>
    <w:uiPriority w:val="0"/>
  </w:style>
  <w:style w:type="paragraph" w:styleId="36">
    <w:name w:val="index heading"/>
    <w:basedOn w:val="1"/>
    <w:next w:val="37"/>
    <w:semiHidden/>
    <w:qFormat/>
    <w:uiPriority w:val="0"/>
    <w:pPr>
      <w:adjustRightInd w:val="0"/>
      <w:spacing w:line="360" w:lineRule="atLeast"/>
      <w:jc w:val="left"/>
      <w:textAlignment w:val="baseline"/>
    </w:pPr>
    <w:rPr>
      <w:kern w:val="0"/>
    </w:rPr>
  </w:style>
  <w:style w:type="paragraph" w:styleId="37">
    <w:name w:val="index 1"/>
    <w:basedOn w:val="1"/>
    <w:next w:val="1"/>
    <w:unhideWhenUsed/>
    <w:qFormat/>
    <w:uiPriority w:val="0"/>
  </w:style>
  <w:style w:type="paragraph" w:styleId="38">
    <w:name w:val="Body Text Indent 3"/>
    <w:basedOn w:val="1"/>
    <w:qFormat/>
    <w:uiPriority w:val="0"/>
    <w:pPr>
      <w:spacing w:line="288" w:lineRule="auto"/>
      <w:ind w:firstLine="430" w:firstLineChars="0"/>
    </w:pPr>
  </w:style>
  <w:style w:type="paragraph" w:styleId="39">
    <w:name w:val="table of figures"/>
    <w:basedOn w:val="1"/>
    <w:next w:val="1"/>
    <w:qFormat/>
    <w:uiPriority w:val="0"/>
    <w:pPr>
      <w:ind w:left="1920" w:leftChars="200"/>
      <w:jc w:val="center"/>
    </w:pPr>
    <w:rPr>
      <w:rFonts w:ascii="Times New Roman" w:hAnsi="Times New Roman"/>
      <w:b/>
    </w:rPr>
  </w:style>
  <w:style w:type="paragraph" w:styleId="40">
    <w:name w:val="toc 2"/>
    <w:basedOn w:val="1"/>
    <w:next w:val="1"/>
    <w:qFormat/>
    <w:uiPriority w:val="0"/>
    <w:pPr>
      <w:ind w:left="420" w:leftChars="200"/>
    </w:pPr>
  </w:style>
  <w:style w:type="paragraph" w:styleId="41">
    <w:name w:val="Body Text 2"/>
    <w:basedOn w:val="1"/>
    <w:qFormat/>
    <w:uiPriority w:val="0"/>
    <w:pPr>
      <w:spacing w:after="120" w:line="480" w:lineRule="auto"/>
    </w:pPr>
  </w:style>
  <w:style w:type="paragraph" w:styleId="42">
    <w:name w:val="Normal (Web)"/>
    <w:basedOn w:val="1"/>
    <w:qFormat/>
    <w:uiPriority w:val="0"/>
  </w:style>
  <w:style w:type="paragraph" w:styleId="43">
    <w:name w:val="annotation subject"/>
    <w:basedOn w:val="20"/>
    <w:next w:val="1"/>
    <w:link w:val="72"/>
    <w:qFormat/>
    <w:uiPriority w:val="0"/>
    <w:rPr>
      <w:b/>
      <w:bCs/>
    </w:rPr>
  </w:style>
  <w:style w:type="paragraph" w:styleId="44">
    <w:name w:val="Body Text First Indent"/>
    <w:basedOn w:val="21"/>
    <w:next w:val="1"/>
    <w:unhideWhenUsed/>
    <w:qFormat/>
    <w:uiPriority w:val="99"/>
    <w:pPr>
      <w:ind w:firstLine="420" w:firstLineChars="100"/>
    </w:pPr>
  </w:style>
  <w:style w:type="paragraph" w:styleId="45">
    <w:name w:val="Body Text First Indent 2"/>
    <w:basedOn w:val="15"/>
    <w:qFormat/>
    <w:uiPriority w:val="0"/>
    <w:pPr>
      <w:spacing w:after="120"/>
      <w:ind w:left="420" w:leftChars="200" w:firstLine="420"/>
    </w:pPr>
    <w:rPr>
      <w:rFonts w:cs="Times New Roman"/>
      <w:sz w:val="21"/>
    </w:rPr>
  </w:style>
  <w:style w:type="table" w:styleId="47">
    <w:name w:val="Table Grid"/>
    <w:basedOn w:val="4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9">
    <w:name w:val="Strong"/>
    <w:basedOn w:val="48"/>
    <w:qFormat/>
    <w:uiPriority w:val="0"/>
    <w:rPr>
      <w:b/>
    </w:rPr>
  </w:style>
  <w:style w:type="character" w:styleId="50">
    <w:name w:val="page number"/>
    <w:qFormat/>
    <w:uiPriority w:val="0"/>
  </w:style>
  <w:style w:type="character" w:styleId="51">
    <w:name w:val="Emphasis"/>
    <w:basedOn w:val="48"/>
    <w:qFormat/>
    <w:uiPriority w:val="0"/>
    <w:rPr>
      <w:i/>
    </w:rPr>
  </w:style>
  <w:style w:type="character" w:styleId="52">
    <w:name w:val="Hyperlink"/>
    <w:qFormat/>
    <w:uiPriority w:val="0"/>
    <w:rPr>
      <w:color w:val="0000FF"/>
      <w:u w:val="single"/>
    </w:rPr>
  </w:style>
  <w:style w:type="character" w:styleId="53">
    <w:name w:val="HTML Code"/>
    <w:basedOn w:val="48"/>
    <w:qFormat/>
    <w:uiPriority w:val="0"/>
    <w:rPr>
      <w:rFonts w:ascii="Courier New" w:hAnsi="Courier New"/>
      <w:sz w:val="20"/>
    </w:rPr>
  </w:style>
  <w:style w:type="character" w:styleId="54">
    <w:name w:val="annotation reference"/>
    <w:unhideWhenUsed/>
    <w:qFormat/>
    <w:uiPriority w:val="99"/>
    <w:rPr>
      <w:sz w:val="21"/>
      <w:szCs w:val="21"/>
    </w:rPr>
  </w:style>
  <w:style w:type="paragraph" w:customStyle="1" w:styleId="55">
    <w:name w:val="样式2"/>
    <w:basedOn w:val="31"/>
    <w:qFormat/>
    <w:uiPriority w:val="0"/>
    <w:pPr>
      <w:adjustRightInd w:val="0"/>
      <w:snapToGrid w:val="0"/>
    </w:pPr>
  </w:style>
  <w:style w:type="paragraph" w:customStyle="1" w:styleId="56">
    <w:name w:val="一级条标题"/>
    <w:basedOn w:val="57"/>
    <w:next w:val="1"/>
    <w:qFormat/>
    <w:uiPriority w:val="0"/>
    <w:pPr>
      <w:keepNext w:val="0"/>
      <w:keepLines w:val="0"/>
      <w:pageBreakBefore w:val="0"/>
      <w:widowControl/>
      <w:numPr>
        <w:ilvl w:val="0"/>
        <w:numId w:val="0"/>
      </w:numPr>
      <w:tabs>
        <w:tab w:val="left" w:pos="360"/>
        <w:tab w:val="left" w:pos="432"/>
      </w:tabs>
      <w:spacing w:before="0" w:after="0" w:line="240" w:lineRule="auto"/>
      <w:outlineLvl w:val="2"/>
    </w:pPr>
    <w:rPr>
      <w:rFonts w:ascii="黑体" w:eastAsia="黑体"/>
      <w:kern w:val="0"/>
      <w:sz w:val="21"/>
    </w:rPr>
  </w:style>
  <w:style w:type="paragraph" w:customStyle="1" w:styleId="57">
    <w:name w:val="章标题"/>
    <w:next w:val="58"/>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8">
    <w:name w:val="段"/>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59">
    <w:name w:val="xl2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rPr>
  </w:style>
  <w:style w:type="paragraph" w:customStyle="1" w:styleId="60">
    <w:name w:val="Default"/>
    <w:basedOn w:val="61"/>
    <w:qFormat/>
    <w:uiPriority w:val="99"/>
    <w:pPr>
      <w:autoSpaceDE w:val="0"/>
      <w:autoSpaceDN w:val="0"/>
      <w:spacing w:line="240" w:lineRule="auto"/>
      <w:ind w:firstLine="0" w:firstLineChars="0"/>
      <w:jc w:val="left"/>
    </w:pPr>
    <w:rPr>
      <w:rFonts w:hAnsi="宋体" w:cs="宋体"/>
      <w:color w:val="000000"/>
      <w:kern w:val="0"/>
    </w:rPr>
  </w:style>
  <w:style w:type="paragraph" w:customStyle="1" w:styleId="61">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62">
    <w:name w:val="正本"/>
    <w:basedOn w:val="1"/>
    <w:qFormat/>
    <w:uiPriority w:val="0"/>
    <w:pPr>
      <w:adjustRightInd w:val="0"/>
      <w:snapToGrid w:val="0"/>
      <w:spacing w:line="360" w:lineRule="auto"/>
      <w:ind w:firstLine="200" w:firstLineChars="200"/>
    </w:pPr>
    <w:rPr>
      <w:rFonts w:ascii="宋体" w:eastAsia="宋体"/>
      <w:kern w:val="2"/>
      <w:sz w:val="24"/>
      <w:szCs w:val="24"/>
      <w:lang w:val="en-US" w:eastAsia="zh-CN" w:bidi="ar-SA"/>
    </w:rPr>
  </w:style>
  <w:style w:type="paragraph" w:customStyle="1" w:styleId="63">
    <w:name w:val="纯文本1"/>
    <w:basedOn w:val="1"/>
    <w:qFormat/>
    <w:uiPriority w:val="0"/>
    <w:pPr>
      <w:adjustRightInd w:val="0"/>
    </w:pPr>
    <w:rPr>
      <w:rFonts w:ascii="宋体" w:hAnsi="Courier New"/>
      <w:szCs w:val="20"/>
    </w:rPr>
  </w:style>
  <w:style w:type="paragraph" w:customStyle="1" w:styleId="64">
    <w:name w:val="Date1"/>
    <w:basedOn w:val="1"/>
    <w:next w:val="1"/>
    <w:qFormat/>
    <w:uiPriority w:val="0"/>
    <w:pPr>
      <w:adjustRightInd w:val="0"/>
      <w:jc w:val="left"/>
      <w:textAlignment w:val="baseline"/>
    </w:pPr>
    <w:rPr>
      <w:rFonts w:ascii="宋体" w:hAnsi="宋体"/>
      <w:sz w:val="28"/>
      <w:szCs w:val="20"/>
    </w:rPr>
  </w:style>
  <w:style w:type="paragraph" w:customStyle="1" w:styleId="65">
    <w:name w:val="guo-正文缩进2"/>
    <w:basedOn w:val="66"/>
    <w:qFormat/>
    <w:uiPriority w:val="0"/>
    <w:pPr>
      <w:tabs>
        <w:tab w:val="left" w:pos="1021"/>
      </w:tabs>
      <w:ind w:firstLine="562"/>
    </w:pPr>
  </w:style>
  <w:style w:type="paragraph" w:customStyle="1" w:styleId="66">
    <w:name w:val="guo-正文不缩进"/>
    <w:basedOn w:val="1"/>
    <w:qFormat/>
    <w:uiPriority w:val="0"/>
    <w:pPr>
      <w:tabs>
        <w:tab w:val="left" w:pos="1021"/>
      </w:tabs>
      <w:ind w:firstLine="0"/>
    </w:pPr>
  </w:style>
  <w:style w:type="character" w:customStyle="1" w:styleId="67">
    <w:name w:val="标题 1 Char"/>
    <w:basedOn w:val="48"/>
    <w:link w:val="2"/>
    <w:qFormat/>
    <w:uiPriority w:val="0"/>
    <w:rPr>
      <w:b/>
      <w:kern w:val="44"/>
      <w:sz w:val="44"/>
    </w:rPr>
  </w:style>
  <w:style w:type="character" w:customStyle="1" w:styleId="68">
    <w:name w:val="标题 2 字符"/>
    <w:link w:val="3"/>
    <w:semiHidden/>
    <w:qFormat/>
    <w:uiPriority w:val="0"/>
    <w:rPr>
      <w:rFonts w:ascii="宋体" w:hAnsi="宋体" w:cs="宋体"/>
      <w:b/>
      <w:bCs/>
      <w:sz w:val="32"/>
      <w:szCs w:val="32"/>
      <w:lang w:val="zh-CN" w:bidi="zh-CN"/>
    </w:rPr>
  </w:style>
  <w:style w:type="character" w:customStyle="1" w:styleId="69">
    <w:name w:val="标题 3 字符"/>
    <w:link w:val="4"/>
    <w:qFormat/>
    <w:uiPriority w:val="0"/>
    <w:rPr>
      <w:rFonts w:eastAsia="宋体"/>
      <w:b/>
      <w:sz w:val="32"/>
    </w:rPr>
  </w:style>
  <w:style w:type="character" w:customStyle="1" w:styleId="70">
    <w:name w:val="批注文字 字符"/>
    <w:link w:val="20"/>
    <w:qFormat/>
    <w:uiPriority w:val="0"/>
    <w:rPr>
      <w:rFonts w:ascii="Calibri" w:hAnsi="Calibri" w:cs="Times New Roman"/>
      <w:kern w:val="2"/>
      <w:sz w:val="24"/>
      <w:szCs w:val="24"/>
    </w:rPr>
  </w:style>
  <w:style w:type="character" w:customStyle="1" w:styleId="71">
    <w:name w:val="批注框文本 字符"/>
    <w:link w:val="30"/>
    <w:qFormat/>
    <w:uiPriority w:val="0"/>
    <w:rPr>
      <w:rFonts w:cs="Times New Roman"/>
      <w:kern w:val="2"/>
      <w:sz w:val="18"/>
      <w:szCs w:val="18"/>
    </w:rPr>
  </w:style>
  <w:style w:type="character" w:customStyle="1" w:styleId="72">
    <w:name w:val="批注主题 字符"/>
    <w:link w:val="43"/>
    <w:qFormat/>
    <w:uiPriority w:val="0"/>
    <w:rPr>
      <w:rFonts w:ascii="Calibri" w:hAnsi="Calibri" w:cs="Times New Roman"/>
      <w:b/>
      <w:bCs/>
      <w:kern w:val="2"/>
      <w:sz w:val="24"/>
      <w:szCs w:val="24"/>
    </w:rPr>
  </w:style>
  <w:style w:type="paragraph" w:customStyle="1" w:styleId="73">
    <w:name w:val="君邦正文"/>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 w:type="paragraph" w:customStyle="1" w:styleId="74">
    <w:name w:val="样式1"/>
    <w:basedOn w:val="36"/>
    <w:next w:val="1"/>
    <w:qFormat/>
    <w:uiPriority w:val="0"/>
    <w:pPr>
      <w:tabs>
        <w:tab w:val="left" w:pos="1320"/>
      </w:tabs>
      <w:spacing w:line="360" w:lineRule="auto"/>
      <w:ind w:firstLine="506" w:firstLineChars="200"/>
    </w:pPr>
    <w:rPr>
      <w:rFonts w:eastAsia="仿宋_GB2312"/>
      <w:b/>
      <w:kern w:val="44"/>
    </w:rPr>
  </w:style>
  <w:style w:type="paragraph" w:customStyle="1" w:styleId="75">
    <w:name w:val="样式9"/>
    <w:basedOn w:val="17"/>
    <w:qFormat/>
    <w:uiPriority w:val="0"/>
    <w:pPr>
      <w:adjustRightInd w:val="0"/>
      <w:snapToGrid w:val="0"/>
      <w:spacing w:line="460" w:lineRule="exact"/>
      <w:ind w:firstLine="520"/>
    </w:pPr>
    <w:rPr>
      <w:sz w:val="26"/>
      <w:szCs w:val="26"/>
    </w:rPr>
  </w:style>
  <w:style w:type="paragraph" w:customStyle="1" w:styleId="76">
    <w:name w:val="0正文"/>
    <w:unhideWhenUsed/>
    <w:qFormat/>
    <w:uiPriority w:val="0"/>
    <w:pPr>
      <w:spacing w:line="300" w:lineRule="auto"/>
      <w:ind w:firstLine="480" w:firstLineChars="200"/>
    </w:pPr>
    <w:rPr>
      <w:rFonts w:ascii="Times New Roman" w:hAnsi="Times New Roman" w:eastAsia="宋体" w:cs="Times New Roman"/>
      <w:sz w:val="24"/>
      <w:szCs w:val="22"/>
      <w:lang w:val="en-US" w:eastAsia="zh-CN" w:bidi="ar-SA"/>
    </w:rPr>
  </w:style>
  <w:style w:type="paragraph" w:customStyle="1" w:styleId="77">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78">
    <w:name w:val="列出段落1"/>
    <w:basedOn w:val="1"/>
    <w:qFormat/>
    <w:uiPriority w:val="34"/>
    <w:pPr>
      <w:ind w:firstLine="420"/>
    </w:pPr>
  </w:style>
  <w:style w:type="paragraph" w:customStyle="1" w:styleId="79">
    <w:name w:val="A正文"/>
    <w:qFormat/>
    <w:uiPriority w:val="0"/>
    <w:pPr>
      <w:widowControl/>
      <w:spacing w:line="480" w:lineRule="exact"/>
      <w:ind w:firstLine="480"/>
      <w:jc w:val="left"/>
    </w:pPr>
    <w:rPr>
      <w:rFonts w:ascii="宋体" w:hAnsi="宋体" w:eastAsia="宋体" w:cs="Times New Roman"/>
      <w:sz w:val="24"/>
      <w:szCs w:val="22"/>
      <w:lang w:val="en-US" w:eastAsia="zh-CN" w:bidi="ar-SA"/>
    </w:rPr>
  </w:style>
  <w:style w:type="paragraph" w:customStyle="1" w:styleId="80">
    <w:name w:val="样式12"/>
    <w:basedOn w:val="1"/>
    <w:qFormat/>
    <w:uiPriority w:val="0"/>
    <w:pPr>
      <w:keepNext/>
      <w:keepLines/>
      <w:tabs>
        <w:tab w:val="left" w:pos="360"/>
      </w:tabs>
      <w:spacing w:beforeLines="50" w:afterLines="50"/>
      <w:ind w:left="567" w:hanging="567"/>
      <w:outlineLvl w:val="1"/>
    </w:pPr>
    <w:rPr>
      <w:rFonts w:eastAsia="黑体"/>
      <w:sz w:val="28"/>
      <w:szCs w:val="28"/>
    </w:rPr>
  </w:style>
  <w:style w:type="paragraph" w:customStyle="1" w:styleId="81">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2">
    <w:name w:val="表格"/>
    <w:basedOn w:val="83"/>
    <w:next w:val="85"/>
    <w:qFormat/>
    <w:uiPriority w:val="0"/>
    <w:pPr>
      <w:adjustRightInd w:val="0"/>
      <w:snapToGrid w:val="0"/>
      <w:spacing w:beforeLines="10" w:afterLines="10" w:line="259" w:lineRule="auto"/>
      <w:jc w:val="center"/>
    </w:pPr>
    <w:rPr>
      <w:rFonts w:ascii="宋体"/>
      <w:kern w:val="0"/>
      <w:szCs w:val="20"/>
    </w:rPr>
  </w:style>
  <w:style w:type="paragraph" w:customStyle="1" w:styleId="83">
    <w:name w:val="表头"/>
    <w:basedOn w:val="84"/>
    <w:next w:val="1"/>
    <w:qFormat/>
    <w:uiPriority w:val="99"/>
    <w:pPr>
      <w:spacing w:line="360" w:lineRule="auto"/>
      <w:ind w:firstLine="0" w:firstLineChars="0"/>
      <w:jc w:val="center"/>
    </w:pPr>
    <w:rPr>
      <w:b/>
      <w:sz w:val="21"/>
      <w:szCs w:val="20"/>
    </w:rPr>
  </w:style>
  <w:style w:type="paragraph" w:customStyle="1" w:styleId="84">
    <w:name w:val="表文字"/>
    <w:basedOn w:val="1"/>
    <w:next w:val="1"/>
    <w:semiHidden/>
    <w:qFormat/>
    <w:uiPriority w:val="0"/>
    <w:pPr>
      <w:jc w:val="center"/>
    </w:pPr>
    <w:rPr>
      <w:color w:val="000000"/>
    </w:rPr>
  </w:style>
  <w:style w:type="paragraph" w:customStyle="1" w:styleId="85">
    <w:name w:val="正文首行"/>
    <w:basedOn w:val="17"/>
    <w:qFormat/>
    <w:uiPriority w:val="0"/>
    <w:pPr>
      <w:spacing w:line="480" w:lineRule="exact"/>
      <w:ind w:firstLine="200"/>
    </w:pPr>
  </w:style>
  <w:style w:type="paragraph" w:customStyle="1" w:styleId="86">
    <w:name w:val="表格文字"/>
    <w:basedOn w:val="28"/>
    <w:qFormat/>
    <w:uiPriority w:val="0"/>
    <w:pPr>
      <w:jc w:val="center"/>
    </w:pPr>
    <w:rPr>
      <w:rFonts w:hint="default" w:ascii="Times New Roman" w:hAnsi="Times New Roman"/>
      <w:kern w:val="44"/>
    </w:rPr>
  </w:style>
  <w:style w:type="paragraph" w:customStyle="1" w:styleId="87">
    <w:name w:val="正文格式"/>
    <w:basedOn w:val="1"/>
    <w:qFormat/>
    <w:uiPriority w:val="0"/>
    <w:pPr>
      <w:spacing w:line="360" w:lineRule="auto"/>
      <w:ind w:firstLine="560"/>
      <w:jc w:val="both"/>
    </w:pPr>
    <w:rPr>
      <w:rFonts w:ascii="宋体" w:hAnsi="宋体"/>
      <w:sz w:val="28"/>
      <w:szCs w:val="28"/>
    </w:rPr>
  </w:style>
  <w:style w:type="paragraph" w:customStyle="1" w:styleId="88">
    <w:name w:val="文本"/>
    <w:basedOn w:val="1"/>
    <w:next w:val="1"/>
    <w:qFormat/>
    <w:uiPriority w:val="0"/>
    <w:pPr>
      <w:autoSpaceDE w:val="0"/>
      <w:autoSpaceDN w:val="0"/>
      <w:ind w:firstLine="480"/>
    </w:pPr>
    <w:rPr>
      <w:rFonts w:cs="Times New Roman"/>
      <w:szCs w:val="24"/>
      <w:lang w:val="zh-CN"/>
    </w:rPr>
  </w:style>
  <w:style w:type="paragraph" w:customStyle="1" w:styleId="89">
    <w:name w:val="样式35"/>
    <w:basedOn w:val="90"/>
    <w:next w:val="92"/>
    <w:qFormat/>
    <w:uiPriority w:val="0"/>
    <w:pPr>
      <w:widowControl w:val="0"/>
      <w:tabs>
        <w:tab w:val="left" w:pos="0"/>
        <w:tab w:val="left" w:pos="360"/>
        <w:tab w:val="left" w:pos="540"/>
        <w:tab w:val="left" w:pos="567"/>
      </w:tabs>
      <w:spacing w:line="312" w:lineRule="auto"/>
      <w:ind w:firstLine="567"/>
      <w:jc w:val="both"/>
    </w:pPr>
    <w:rPr>
      <w:rFonts w:ascii="宋体" w:hAnsi="Calibri" w:cs="Times New Roman"/>
      <w:sz w:val="21"/>
      <w:szCs w:val="22"/>
    </w:rPr>
  </w:style>
  <w:style w:type="paragraph" w:customStyle="1" w:styleId="90">
    <w:name w:val="样式26"/>
    <w:basedOn w:val="91"/>
    <w:qFormat/>
    <w:uiPriority w:val="0"/>
    <w:pPr>
      <w:tabs>
        <w:tab w:val="left" w:pos="0"/>
        <w:tab w:val="left" w:pos="360"/>
        <w:tab w:val="left" w:pos="540"/>
        <w:tab w:val="left" w:pos="567"/>
      </w:tabs>
    </w:pPr>
  </w:style>
  <w:style w:type="paragraph" w:customStyle="1" w:styleId="91">
    <w:name w:val="样式21"/>
    <w:basedOn w:val="33"/>
    <w:qFormat/>
    <w:uiPriority w:val="0"/>
    <w:pPr>
      <w:tabs>
        <w:tab w:val="left" w:pos="567"/>
      </w:tabs>
      <w:spacing w:beforeLines="0" w:afterLines="0"/>
      <w:ind w:hanging="992"/>
    </w:pPr>
    <w:rPr>
      <w:kern w:val="0"/>
    </w:rPr>
  </w:style>
  <w:style w:type="paragraph" w:customStyle="1" w:styleId="92">
    <w:name w:val="font6"/>
    <w:next w:val="40"/>
    <w:qFormat/>
    <w:uiPriority w:val="0"/>
    <w:pPr>
      <w:spacing w:before="280" w:after="280"/>
      <w:jc w:val="both"/>
    </w:pPr>
    <w:rPr>
      <w:rFonts w:ascii="Calibri" w:hAnsi="Calibri" w:eastAsia="宋体" w:cs="Times New Roman"/>
      <w:kern w:val="2"/>
      <w:sz w:val="21"/>
      <w:szCs w:val="22"/>
      <w:lang w:val="en-US" w:eastAsia="zh-CN" w:bidi="ar-SA"/>
    </w:rPr>
  </w:style>
  <w:style w:type="paragraph" w:customStyle="1" w:styleId="93">
    <w:name w:val="EndnoteText"/>
    <w:basedOn w:val="1"/>
    <w:qFormat/>
    <w:uiPriority w:val="0"/>
    <w:pPr>
      <w:textAlignment w:val="baseline"/>
    </w:pPr>
  </w:style>
  <w:style w:type="paragraph" w:customStyle="1" w:styleId="94">
    <w:name w:val="样式13"/>
    <w:basedOn w:val="1"/>
    <w:qFormat/>
    <w:uiPriority w:val="0"/>
    <w:pPr>
      <w:adjustRightInd w:val="0"/>
      <w:snapToGrid w:val="0"/>
      <w:jc w:val="center"/>
    </w:pPr>
  </w:style>
  <w:style w:type="paragraph" w:customStyle="1" w:styleId="95">
    <w:name w:val="样式17"/>
    <w:basedOn w:val="94"/>
    <w:qFormat/>
    <w:uiPriority w:val="0"/>
  </w:style>
  <w:style w:type="paragraph" w:customStyle="1" w:styleId="96">
    <w:name w:val="样式 正文缩进正文缩进2正文缩进 Char Char正文缩进 Char Char Char Char正文缩进 Char ..."/>
    <w:basedOn w:val="97"/>
    <w:qFormat/>
    <w:uiPriority w:val="99"/>
    <w:pPr>
      <w:spacing w:line="360" w:lineRule="auto"/>
      <w:ind w:firstLine="200"/>
    </w:pPr>
    <w:rPr>
      <w:rFonts w:cs="宋体"/>
      <w:sz w:val="24"/>
    </w:rPr>
  </w:style>
  <w:style w:type="paragraph" w:customStyle="1" w:styleId="97">
    <w:name w:val="Normal Indent1"/>
    <w:qFormat/>
    <w:uiPriority w:val="0"/>
    <w:pPr>
      <w:widowControl w:val="0"/>
      <w:wordWrap w:val="0"/>
      <w:topLinePunct/>
      <w:spacing w:line="440" w:lineRule="exact"/>
      <w:ind w:firstLine="1040" w:firstLineChars="200"/>
      <w:jc w:val="both"/>
    </w:pPr>
    <w:rPr>
      <w:rFonts w:ascii="Calibri" w:hAnsi="Calibri" w:eastAsia="宋体" w:cs="Times New Roman"/>
      <w:kern w:val="2"/>
      <w:sz w:val="28"/>
      <w:lang w:val="en-US" w:eastAsia="zh-CN" w:bidi="ar-SA"/>
    </w:rPr>
  </w:style>
  <w:style w:type="paragraph" w:customStyle="1" w:styleId="98">
    <w:name w:val="WPSOffice手动目录 1"/>
    <w:qFormat/>
    <w:uiPriority w:val="0"/>
    <w:rPr>
      <w:rFonts w:ascii="Calibri" w:hAnsi="Calibri" w:eastAsia="宋体" w:cs="Times New Roman"/>
      <w:lang w:val="en-US" w:eastAsia="zh-CN" w:bidi="ar-SA"/>
    </w:rPr>
  </w:style>
  <w:style w:type="paragraph" w:customStyle="1" w:styleId="99">
    <w:name w:val="WPSOffice手动目录 2"/>
    <w:qFormat/>
    <w:uiPriority w:val="0"/>
    <w:pPr>
      <w:ind w:left="200" w:leftChars="200"/>
    </w:pPr>
    <w:rPr>
      <w:rFonts w:ascii="Calibri" w:hAnsi="Calibri" w:eastAsia="宋体" w:cs="Times New Roman"/>
      <w:lang w:val="en-US" w:eastAsia="zh-CN" w:bidi="ar-SA"/>
    </w:rPr>
  </w:style>
  <w:style w:type="paragraph" w:styleId="100">
    <w:name w:val="List Paragraph"/>
    <w:basedOn w:val="1"/>
    <w:qFormat/>
    <w:uiPriority w:val="1"/>
    <w:pPr>
      <w:ind w:left="856" w:hanging="602"/>
    </w:pPr>
    <w:rPr>
      <w:rFonts w:ascii="宋体" w:hAnsi="宋体" w:cs="宋体"/>
      <w:lang w:val="zh-CN" w:bidi="zh-CN"/>
    </w:rPr>
  </w:style>
  <w:style w:type="paragraph" w:customStyle="1" w:styleId="101">
    <w:name w:val="Table Paragraph"/>
    <w:basedOn w:val="1"/>
    <w:qFormat/>
    <w:uiPriority w:val="1"/>
    <w:pPr>
      <w:jc w:val="center"/>
    </w:pPr>
    <w:rPr>
      <w:rFonts w:eastAsia="Times New Roman" w:cs="Times New Roman"/>
      <w:lang w:val="zh-CN" w:bidi="zh-CN"/>
    </w:rPr>
  </w:style>
  <w:style w:type="paragraph" w:customStyle="1" w:styleId="102">
    <w:name w:val="表格格式"/>
    <w:basedOn w:val="1"/>
    <w:qFormat/>
    <w:uiPriority w:val="0"/>
    <w:pPr>
      <w:ind w:firstLine="0" w:firstLineChars="0"/>
      <w:jc w:val="center"/>
    </w:pPr>
    <w:rPr>
      <w:rFonts w:eastAsia="宋体"/>
      <w:b/>
      <w:sz w:val="21"/>
    </w:rPr>
  </w:style>
  <w:style w:type="character" w:customStyle="1" w:styleId="103">
    <w:name w:val="font31"/>
    <w:qFormat/>
    <w:uiPriority w:val="0"/>
    <w:rPr>
      <w:rFonts w:hint="eastAsia" w:ascii="宋体" w:hAnsi="宋体" w:eastAsia="宋体" w:cs="宋体"/>
      <w:b/>
      <w:bCs/>
      <w:color w:val="000000"/>
      <w:sz w:val="21"/>
      <w:szCs w:val="21"/>
      <w:u w:val="none"/>
    </w:rPr>
  </w:style>
  <w:style w:type="character" w:customStyle="1" w:styleId="104">
    <w:name w:val="font51"/>
    <w:basedOn w:val="48"/>
    <w:qFormat/>
    <w:uiPriority w:val="0"/>
    <w:rPr>
      <w:rFonts w:ascii="Calibri" w:hAnsi="Calibri" w:cs="Calibri"/>
      <w:b/>
      <w:bCs/>
      <w:color w:val="000000"/>
      <w:sz w:val="21"/>
      <w:szCs w:val="21"/>
      <w:u w:val="none"/>
    </w:rPr>
  </w:style>
  <w:style w:type="character" w:customStyle="1" w:styleId="105">
    <w:name w:val="font21"/>
    <w:basedOn w:val="48"/>
    <w:qFormat/>
    <w:uiPriority w:val="0"/>
    <w:rPr>
      <w:rFonts w:hint="default" w:ascii="Calibri" w:hAnsi="Calibri" w:cs="Calibri"/>
      <w:color w:val="000000"/>
      <w:sz w:val="21"/>
      <w:szCs w:val="21"/>
      <w:u w:val="none"/>
    </w:rPr>
  </w:style>
  <w:style w:type="character" w:customStyle="1" w:styleId="106">
    <w:name w:val="font11"/>
    <w:basedOn w:val="48"/>
    <w:qFormat/>
    <w:uiPriority w:val="0"/>
    <w:rPr>
      <w:rFonts w:hint="eastAsia" w:ascii="宋体" w:hAnsi="宋体" w:eastAsia="宋体" w:cs="宋体"/>
      <w:color w:val="000000"/>
      <w:sz w:val="21"/>
      <w:szCs w:val="21"/>
      <w:u w:val="none"/>
    </w:rPr>
  </w:style>
  <w:style w:type="character" w:customStyle="1" w:styleId="107">
    <w:name w:val="font41"/>
    <w:qFormat/>
    <w:uiPriority w:val="0"/>
    <w:rPr>
      <w:rFonts w:hint="default" w:ascii="Calibri" w:hAnsi="Calibri" w:cs="Calibri"/>
      <w:color w:val="000000"/>
      <w:sz w:val="21"/>
      <w:szCs w:val="21"/>
      <w:u w:val="none"/>
      <w:vertAlign w:val="superscript"/>
    </w:rPr>
  </w:style>
  <w:style w:type="character" w:customStyle="1" w:styleId="108">
    <w:name w:val="font61"/>
    <w:qFormat/>
    <w:uiPriority w:val="0"/>
    <w:rPr>
      <w:rFonts w:hint="default" w:ascii="Times New Roman" w:hAnsi="Times New Roman" w:cs="Times New Roman"/>
      <w:b/>
      <w:bCs/>
      <w:color w:val="000000"/>
      <w:sz w:val="21"/>
      <w:szCs w:val="21"/>
      <w:u w:val="none"/>
      <w:vertAlign w:val="superscript"/>
    </w:rPr>
  </w:style>
  <w:style w:type="paragraph" w:customStyle="1" w:styleId="109">
    <w:name w:val="表图名"/>
    <w:basedOn w:val="1"/>
    <w:qFormat/>
    <w:uiPriority w:val="0"/>
    <w:pPr>
      <w:autoSpaceDE w:val="0"/>
      <w:autoSpaceDN w:val="0"/>
      <w:adjustRightInd w:val="0"/>
      <w:jc w:val="center"/>
    </w:pPr>
    <w:rPr>
      <w:rFonts w:cs="Times New Roman"/>
      <w:b/>
      <w:bCs/>
      <w:color w:val="0C0C0C"/>
      <w:kern w:val="0"/>
      <w:sz w:val="20"/>
    </w:rPr>
  </w:style>
  <w:style w:type="paragraph" w:customStyle="1" w:styleId="110">
    <w:name w:val="表题、图题"/>
    <w:basedOn w:val="1"/>
    <w:qFormat/>
    <w:uiPriority w:val="0"/>
    <w:pPr>
      <w:spacing w:before="120" w:beforeLines="50" w:after="120" w:afterLines="50" w:line="240" w:lineRule="auto"/>
      <w:ind w:firstLine="0" w:firstLineChars="0"/>
      <w:jc w:val="center"/>
    </w:pPr>
    <w:rPr>
      <w:rFonts w:eastAsia="黑体"/>
      <w:szCs w:val="22"/>
    </w:rPr>
  </w:style>
  <w:style w:type="table" w:customStyle="1" w:styleId="111">
    <w:name w:val="Table Normal"/>
    <w:unhideWhenUsed/>
    <w:qFormat/>
    <w:uiPriority w:val="0"/>
    <w:rPr>
      <w:lang w:val="en-US" w:eastAsia="zh-CN" w:bidi="ar-SA"/>
    </w:rPr>
    <w:tblPr>
      <w:tblCellMar>
        <w:top w:w="0" w:type="dxa"/>
        <w:left w:w="0" w:type="dxa"/>
        <w:bottom w:w="0" w:type="dxa"/>
        <w:right w:w="0" w:type="dxa"/>
      </w:tblCellMar>
    </w:tblPr>
  </w:style>
  <w:style w:type="paragraph" w:customStyle="1" w:styleId="112">
    <w:name w:val="报告正文"/>
    <w:qFormat/>
    <w:uiPriority w:val="0"/>
    <w:pPr>
      <w:widowControl w:val="0"/>
      <w:wordWrap w:val="0"/>
      <w:topLinePunct/>
      <w:adjustRightInd w:val="0"/>
      <w:spacing w:line="480" w:lineRule="exact"/>
      <w:ind w:firstLine="200" w:firstLineChars="200"/>
      <w:jc w:val="both"/>
      <w:textAlignment w:val="baseline"/>
    </w:pPr>
    <w:rPr>
      <w:rFonts w:ascii="Calibri" w:hAnsi="Calibri" w:eastAsia="宋体" w:cs="Times New Roman"/>
      <w:kern w:val="2"/>
      <w:sz w:val="24"/>
      <w:lang w:val="en-US" w:eastAsia="zh-CN" w:bidi="ar-SA"/>
    </w:rPr>
  </w:style>
  <w:style w:type="paragraph" w:customStyle="1" w:styleId="113">
    <w:name w:val="正文内容"/>
    <w:basedOn w:val="1"/>
    <w:next w:val="1"/>
    <w:qFormat/>
    <w:uiPriority w:val="0"/>
    <w:pPr>
      <w:ind w:firstLine="720"/>
    </w:pPr>
  </w:style>
  <w:style w:type="paragraph" w:customStyle="1" w:styleId="114">
    <w:name w:val="表格中文字"/>
    <w:basedOn w:val="1"/>
    <w:qFormat/>
    <w:uiPriority w:val="0"/>
    <w:pPr>
      <w:spacing w:line="240" w:lineRule="auto"/>
      <w:ind w:firstLine="0" w:firstLineChars="0"/>
      <w:jc w:val="center"/>
    </w:pPr>
    <w:rPr>
      <w:kern w:val="18"/>
      <w:sz w:val="21"/>
      <w:szCs w:val="21"/>
    </w:rPr>
  </w:style>
  <w:style w:type="paragraph" w:customStyle="1" w:styleId="115">
    <w:name w:val="表标题61"/>
    <w:basedOn w:val="116"/>
    <w:next w:val="116"/>
    <w:qFormat/>
    <w:uiPriority w:val="0"/>
    <w:pPr>
      <w:spacing w:line="440" w:lineRule="exact"/>
    </w:pPr>
    <w:rPr>
      <w:b/>
    </w:rPr>
  </w:style>
  <w:style w:type="paragraph" w:customStyle="1" w:styleId="116">
    <w:name w:val="表格样式"/>
    <w:basedOn w:val="1"/>
    <w:qFormat/>
    <w:uiPriority w:val="0"/>
    <w:pPr>
      <w:jc w:val="center"/>
    </w:pPr>
    <w:rPr>
      <w:bCs/>
    </w:rPr>
  </w:style>
  <w:style w:type="paragraph" w:customStyle="1" w:styleId="117">
    <w:name w:val="表格内容"/>
    <w:basedOn w:val="1"/>
    <w:next w:val="1"/>
    <w:semiHidden/>
    <w:qFormat/>
    <w:uiPriority w:val="0"/>
    <w:pPr>
      <w:spacing w:line="240" w:lineRule="auto"/>
      <w:ind w:firstLine="0" w:firstLineChars="0"/>
      <w:jc w:val="center"/>
    </w:pPr>
    <w:rPr>
      <w:rFonts w:cs="宋体"/>
      <w:sz w:val="21"/>
      <w:szCs w:val="20"/>
    </w:rPr>
  </w:style>
  <w:style w:type="paragraph" w:customStyle="1" w:styleId="118">
    <w:name w:val="段落"/>
    <w:basedOn w:val="1"/>
    <w:qFormat/>
    <w:uiPriority w:val="0"/>
    <w:pPr>
      <w:snapToGrid w:val="0"/>
      <w:spacing w:line="312" w:lineRule="auto"/>
      <w:ind w:firstLine="389" w:firstLineChars="162"/>
    </w:pPr>
    <w:rPr>
      <w:rFonts w:ascii="宋体" w:hAnsi="宋体"/>
      <w:bCs/>
      <w:color w:val="000000"/>
    </w:rPr>
  </w:style>
  <w:style w:type="paragraph" w:customStyle="1" w:styleId="119">
    <w:name w:val="黄酒表格标题"/>
    <w:qFormat/>
    <w:uiPriority w:val="0"/>
    <w:pPr>
      <w:tabs>
        <w:tab w:val="left" w:pos="-2848"/>
      </w:tabs>
      <w:jc w:val="center"/>
    </w:pPr>
    <w:rPr>
      <w:rFonts w:ascii="Calibri" w:hAnsi="Calibri" w:eastAsia="宋体" w:cs="宋体"/>
      <w:b/>
      <w:sz w:val="21"/>
      <w:szCs w:val="21"/>
      <w:lang w:val="en-US" w:eastAsia="zh-CN" w:bidi="ar-SA"/>
    </w:rPr>
  </w:style>
  <w:style w:type="character" w:customStyle="1" w:styleId="120">
    <w:name w:val="样式 正文01 + Times New Roman Char"/>
    <w:link w:val="121"/>
    <w:qFormat/>
    <w:uiPriority w:val="0"/>
    <w:rPr>
      <w:bCs/>
    </w:rPr>
  </w:style>
  <w:style w:type="paragraph" w:customStyle="1" w:styleId="121">
    <w:name w:val="样式 正文01 + Times New Roman"/>
    <w:basedOn w:val="122"/>
    <w:link w:val="120"/>
    <w:qFormat/>
    <w:uiPriority w:val="0"/>
    <w:pPr>
      <w:ind w:firstLine="0" w:firstLineChars="0"/>
    </w:pPr>
    <w:rPr>
      <w:bCs/>
    </w:rPr>
  </w:style>
  <w:style w:type="paragraph" w:customStyle="1" w:styleId="122">
    <w:name w:val="正文01"/>
    <w:basedOn w:val="17"/>
    <w:qFormat/>
    <w:uiPriority w:val="0"/>
    <w:pPr>
      <w:ind w:firstLine="480"/>
    </w:pPr>
  </w:style>
  <w:style w:type="paragraph" w:customStyle="1" w:styleId="123">
    <w:name w:val="HJ-正文"/>
    <w:basedOn w:val="1"/>
    <w:qFormat/>
    <w:uiPriority w:val="0"/>
    <w:pPr>
      <w:ind w:firstLine="200"/>
      <w:jc w:val="left"/>
    </w:pPr>
    <w:rPr>
      <w:szCs w:val="21"/>
      <w:lang w:eastAsia="en-US"/>
    </w:rPr>
  </w:style>
  <w:style w:type="paragraph" w:customStyle="1" w:styleId="124">
    <w:name w:val="[正文格式]"/>
    <w:basedOn w:val="1"/>
    <w:qFormat/>
    <w:uiPriority w:val="0"/>
    <w:pPr>
      <w:spacing w:line="440" w:lineRule="exact"/>
      <w:ind w:firstLine="500"/>
    </w:pPr>
    <w:rPr>
      <w:rFonts w:ascii="宋体" w:hAnsi="宋体" w:cs="宋体"/>
      <w:szCs w:val="20"/>
    </w:rPr>
  </w:style>
  <w:style w:type="character" w:customStyle="1" w:styleId="125">
    <w:name w:val="font01"/>
    <w:basedOn w:val="48"/>
    <w:qFormat/>
    <w:uiPriority w:val="0"/>
    <w:rPr>
      <w:rFonts w:hint="default" w:ascii="Times New Roman" w:hAnsi="Times New Roman" w:cs="Times New Roman"/>
      <w:color w:val="000000"/>
      <w:sz w:val="21"/>
      <w:szCs w:val="21"/>
      <w:u w:val="none"/>
      <w:vertAlign w:val="subscript"/>
    </w:rPr>
  </w:style>
  <w:style w:type="paragraph" w:customStyle="1" w:styleId="126">
    <w:name w:val="样式 宋体 黑色 居中 行距: 固定值 20 磅"/>
    <w:basedOn w:val="1"/>
    <w:next w:val="1"/>
    <w:qFormat/>
    <w:uiPriority w:val="0"/>
    <w:pPr>
      <w:tabs>
        <w:tab w:val="left" w:pos="1021"/>
      </w:tabs>
      <w:spacing w:line="400" w:lineRule="exact"/>
      <w:jc w:val="center"/>
    </w:pPr>
    <w:rPr>
      <w:rFonts w:ascii="宋体" w:hAnsi="宋体" w:cs="宋体"/>
      <w:color w:val="000000"/>
      <w:szCs w:val="20"/>
    </w:rPr>
  </w:style>
  <w:style w:type="paragraph" w:customStyle="1" w:styleId="127">
    <w:name w:val="HB-3级标题"/>
    <w:basedOn w:val="1"/>
    <w:qFormat/>
    <w:uiPriority w:val="0"/>
    <w:pPr>
      <w:tabs>
        <w:tab w:val="left" w:pos="360"/>
      </w:tabs>
      <w:spacing w:line="400" w:lineRule="exact"/>
    </w:pPr>
    <w:rPr>
      <w:rFonts w:ascii="黑体" w:eastAsia="黑体"/>
    </w:rPr>
  </w:style>
  <w:style w:type="paragraph" w:customStyle="1" w:styleId="128">
    <w:name w:val="J-表格标题+图片标题（5号+居中）"/>
    <w:basedOn w:val="1"/>
    <w:qFormat/>
    <w:uiPriority w:val="0"/>
    <w:pPr>
      <w:jc w:val="center"/>
    </w:pPr>
    <w:rPr>
      <w:b/>
      <w:szCs w:val="21"/>
    </w:rPr>
  </w:style>
  <w:style w:type="paragraph" w:customStyle="1" w:styleId="129">
    <w:name w:val="J-表格内容（5号+居中）"/>
    <w:basedOn w:val="1"/>
    <w:qFormat/>
    <w:uiPriority w:val="0"/>
    <w:pPr>
      <w:jc w:val="center"/>
    </w:pPr>
    <w:rPr>
      <w:kern w:val="0"/>
      <w:szCs w:val="21"/>
    </w:rPr>
  </w:style>
  <w:style w:type="paragraph" w:customStyle="1" w:styleId="130">
    <w:name w:val="正文lly"/>
    <w:basedOn w:val="21"/>
    <w:next w:val="1"/>
    <w:qFormat/>
    <w:uiPriority w:val="0"/>
    <w:pPr>
      <w:widowControl w:val="0"/>
      <w:wordWrap w:val="0"/>
      <w:ind w:firstLine="480"/>
      <w:jc w:val="left"/>
    </w:pPr>
    <w:rPr>
      <w:color w:val="000000"/>
    </w:rPr>
  </w:style>
  <w:style w:type="paragraph" w:customStyle="1" w:styleId="131">
    <w:name w:val="表标题"/>
    <w:basedOn w:val="1"/>
    <w:next w:val="1"/>
    <w:qFormat/>
    <w:uiPriority w:val="0"/>
    <w:pPr>
      <w:ind w:firstLine="0" w:firstLineChars="0"/>
      <w:jc w:val="center"/>
    </w:pPr>
    <w:rPr>
      <w:b/>
      <w:sz w:val="21"/>
    </w:rPr>
  </w:style>
  <w:style w:type="paragraph" w:customStyle="1" w:styleId="132">
    <w:name w:val="表 内容"/>
    <w:basedOn w:val="1"/>
    <w:qFormat/>
    <w:uiPriority w:val="0"/>
    <w:pPr>
      <w:adjustRightInd w:val="0"/>
      <w:snapToGrid w:val="0"/>
      <w:spacing w:beforeLines="15" w:afterLines="15"/>
      <w:jc w:val="center"/>
    </w:pPr>
    <w:rPr>
      <w:szCs w:val="21"/>
    </w:rPr>
  </w:style>
  <w:style w:type="paragraph" w:customStyle="1" w:styleId="133">
    <w:name w:val="报告表正文"/>
    <w:basedOn w:val="1"/>
    <w:qFormat/>
    <w:uiPriority w:val="0"/>
    <w:pPr>
      <w:adjustRightInd w:val="0"/>
      <w:spacing w:line="312" w:lineRule="auto"/>
      <w:ind w:left="113" w:right="113" w:firstLine="482" w:firstLineChars="0"/>
      <w:jc w:val="left"/>
      <w:textAlignment w:val="baseline"/>
    </w:pPr>
    <w:rPr>
      <w:kern w:val="0"/>
      <w:szCs w:val="20"/>
    </w:rPr>
  </w:style>
  <w:style w:type="paragraph" w:customStyle="1" w:styleId="134">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135">
    <w:name w:val="样式 行距: 1.5 倍行距"/>
    <w:basedOn w:val="1"/>
    <w:qFormat/>
    <w:uiPriority w:val="0"/>
    <w:pPr>
      <w:spacing w:line="360" w:lineRule="auto"/>
      <w:ind w:firstLine="475" w:firstLineChars="198"/>
    </w:pPr>
    <w:rPr>
      <w:rFonts w:cs="宋体"/>
      <w:sz w:val="24"/>
      <w:szCs w:val="20"/>
    </w:rPr>
  </w:style>
  <w:style w:type="paragraph" w:customStyle="1" w:styleId="136">
    <w:name w:val="标题1.1.1"/>
    <w:basedOn w:val="137"/>
    <w:next w:val="139"/>
    <w:qFormat/>
    <w:uiPriority w:val="0"/>
    <w:pPr>
      <w:numPr>
        <w:ilvl w:val="2"/>
      </w:numPr>
      <w:outlineLvl w:val="2"/>
    </w:pPr>
    <w:rPr>
      <w:sz w:val="28"/>
    </w:rPr>
  </w:style>
  <w:style w:type="paragraph" w:customStyle="1" w:styleId="137">
    <w:name w:val="标题1.1"/>
    <w:basedOn w:val="138"/>
    <w:next w:val="139"/>
    <w:qFormat/>
    <w:uiPriority w:val="99"/>
    <w:pPr>
      <w:numPr>
        <w:ilvl w:val="1"/>
      </w:numPr>
      <w:jc w:val="both"/>
      <w:outlineLvl w:val="1"/>
    </w:pPr>
    <w:rPr>
      <w:sz w:val="32"/>
    </w:rPr>
  </w:style>
  <w:style w:type="paragraph" w:customStyle="1" w:styleId="138">
    <w:name w:val="标题1"/>
    <w:basedOn w:val="139"/>
    <w:next w:val="139"/>
    <w:qFormat/>
    <w:uiPriority w:val="0"/>
    <w:pPr>
      <w:numPr>
        <w:ilvl w:val="0"/>
        <w:numId w:val="3"/>
      </w:numPr>
      <w:spacing w:before="50" w:beforeLines="50" w:after="50" w:afterLines="50"/>
      <w:ind w:firstLine="0" w:firstLineChars="0"/>
      <w:jc w:val="center"/>
      <w:outlineLvl w:val="0"/>
    </w:pPr>
    <w:rPr>
      <w:b/>
      <w:sz w:val="44"/>
    </w:rPr>
  </w:style>
  <w:style w:type="paragraph" w:customStyle="1" w:styleId="139">
    <w:name w:val="正文！"/>
    <w:basedOn w:val="1"/>
    <w:qFormat/>
    <w:uiPriority w:val="0"/>
  </w:style>
  <w:style w:type="paragraph" w:customStyle="1" w:styleId="140">
    <w:name w:val="正文~"/>
    <w:basedOn w:val="141"/>
    <w:qFormat/>
    <w:uiPriority w:val="0"/>
    <w:pPr>
      <w:spacing w:line="360" w:lineRule="auto"/>
      <w:ind w:firstLine="177" w:firstLineChars="177"/>
    </w:pPr>
    <w:rPr>
      <w:sz w:val="24"/>
      <w:szCs w:val="24"/>
    </w:rPr>
  </w:style>
  <w:style w:type="paragraph" w:customStyle="1" w:styleId="141">
    <w:name w:val="小四 间距1.5 缩进2"/>
    <w:basedOn w:val="1"/>
    <w:qFormat/>
    <w:uiPriority w:val="0"/>
    <w:pPr>
      <w:spacing w:line="360" w:lineRule="auto"/>
      <w:ind w:firstLine="415" w:firstLineChars="173"/>
    </w:pPr>
    <w:rPr>
      <w:sz w:val="24"/>
      <w:szCs w:val="24"/>
    </w:rPr>
  </w:style>
  <w:style w:type="paragraph" w:customStyle="1" w:styleId="142">
    <w:name w:val="缩进"/>
    <w:basedOn w:val="1"/>
    <w:qFormat/>
    <w:uiPriority w:val="0"/>
    <w:pPr>
      <w:autoSpaceDE w:val="0"/>
      <w:autoSpaceDN w:val="0"/>
      <w:adjustRightInd w:val="0"/>
      <w:spacing w:line="400" w:lineRule="atLeast"/>
      <w:ind w:firstLine="425"/>
      <w:textAlignment w:val="baseline"/>
    </w:pPr>
    <w:rPr>
      <w:kern w:val="0"/>
    </w:rPr>
  </w:style>
  <w:style w:type="paragraph" w:customStyle="1" w:styleId="143">
    <w:name w:val="样式san"/>
    <w:basedOn w:val="34"/>
    <w:qFormat/>
    <w:uiPriority w:val="0"/>
  </w:style>
  <w:style w:type="paragraph" w:customStyle="1" w:styleId="144">
    <w:name w:val="lh-正文-报告书"/>
    <w:qFormat/>
    <w:uiPriority w:val="0"/>
    <w:pPr>
      <w:widowControl w:val="0"/>
      <w:spacing w:line="360" w:lineRule="auto"/>
      <w:ind w:firstLine="200" w:firstLineChars="200"/>
      <w:jc w:val="both"/>
    </w:pPr>
    <w:rPr>
      <w:rFonts w:ascii="Times New Roman" w:hAnsi="Times New Roman" w:eastAsia="宋体" w:cs="Times New Roman"/>
      <w:snapToGrid w:val="0"/>
      <w:sz w:val="24"/>
      <w:szCs w:val="21"/>
      <w:lang w:val="en-GB" w:eastAsia="zh-CN" w:bidi="ar-SA"/>
    </w:rPr>
  </w:style>
  <w:style w:type="paragraph" w:customStyle="1" w:styleId="145">
    <w:name w:val="lh-3级标题报告书"/>
    <w:next w:val="144"/>
    <w:qFormat/>
    <w:uiPriority w:val="0"/>
    <w:pPr>
      <w:keepNext/>
      <w:numPr>
        <w:ilvl w:val="2"/>
        <w:numId w:val="4"/>
      </w:numPr>
      <w:spacing w:line="360" w:lineRule="auto"/>
      <w:outlineLvl w:val="2"/>
    </w:pPr>
    <w:rPr>
      <w:rFonts w:ascii="Times New Roman" w:hAnsi="Times New Roman" w:eastAsia="黑体" w:cs="Times New Roman"/>
      <w:b/>
      <w:sz w:val="24"/>
      <w:szCs w:val="24"/>
      <w:lang w:val="en-US" w:eastAsia="zh-CN" w:bidi="ar-SA"/>
    </w:rPr>
  </w:style>
  <w:style w:type="paragraph" w:customStyle="1" w:styleId="146">
    <w:name w:val="lh-表题-报告书正文"/>
    <w:next w:val="147"/>
    <w:qFormat/>
    <w:uiPriority w:val="0"/>
    <w:pPr>
      <w:keepNext/>
      <w:numPr>
        <w:ilvl w:val="3"/>
        <w:numId w:val="4"/>
      </w:numPr>
      <w:adjustRightInd w:val="0"/>
      <w:snapToGrid w:val="0"/>
      <w:ind w:left="0"/>
      <w:jc w:val="center"/>
    </w:pPr>
    <w:rPr>
      <w:rFonts w:ascii="Times New Roman" w:hAnsi="Times New Roman" w:eastAsia="宋体" w:cs="Times New Roman"/>
      <w:b/>
      <w:snapToGrid w:val="0"/>
      <w:sz w:val="21"/>
      <w:lang w:val="en-US" w:eastAsia="zh-CN" w:bidi="ar-SA"/>
    </w:rPr>
  </w:style>
  <w:style w:type="paragraph" w:customStyle="1" w:styleId="147">
    <w:name w:val="lh-表格文字-报告书"/>
    <w:qFormat/>
    <w:uiPriority w:val="0"/>
    <w:pPr>
      <w:pBdr>
        <w:top w:val="none" w:color="auto" w:sz="0" w:space="1"/>
        <w:left w:val="none" w:color="auto" w:sz="0" w:space="2"/>
        <w:bottom w:val="none" w:color="auto" w:sz="0" w:space="1"/>
        <w:right w:val="none" w:color="auto" w:sz="0" w:space="2"/>
      </w:pBdr>
      <w:jc w:val="center"/>
    </w:pPr>
    <w:rPr>
      <w:rFonts w:ascii="Times New Roman" w:hAnsi="Times New Roman" w:eastAsia="宋体" w:cs="Times New Roman"/>
      <w:snapToGrid w:val="0"/>
      <w:sz w:val="21"/>
      <w:szCs w:val="24"/>
      <w:lang w:val="en-US" w:eastAsia="zh-CN" w:bidi="ar-SA"/>
    </w:rPr>
  </w:style>
  <w:style w:type="paragraph" w:customStyle="1" w:styleId="148">
    <w:name w:val="lh-2级标题-报告书"/>
    <w:next w:val="1"/>
    <w:qFormat/>
    <w:uiPriority w:val="0"/>
    <w:pPr>
      <w:keepNext/>
      <w:numPr>
        <w:ilvl w:val="1"/>
        <w:numId w:val="4"/>
      </w:numPr>
      <w:spacing w:line="360" w:lineRule="auto"/>
      <w:outlineLvl w:val="1"/>
    </w:pPr>
    <w:rPr>
      <w:rFonts w:ascii="Times New Roman" w:hAnsi="Times New Roman" w:eastAsia="黑体" w:cs="Times New Roman"/>
      <w:b/>
      <w:bCs/>
      <w:sz w:val="24"/>
      <w:szCs w:val="32"/>
      <w:lang w:val="en-US" w:eastAsia="zh-CN" w:bidi="ar-SA"/>
    </w:rPr>
  </w:style>
  <w:style w:type="paragraph" w:customStyle="1" w:styleId="149">
    <w:name w:val="标题1.1.1.1"/>
    <w:basedOn w:val="136"/>
    <w:next w:val="139"/>
    <w:qFormat/>
    <w:uiPriority w:val="99"/>
    <w:pPr>
      <w:numPr>
        <w:ilvl w:val="3"/>
      </w:numPr>
      <w:outlineLvl w:val="3"/>
    </w:pPr>
    <w:rPr>
      <w:sz w:val="24"/>
    </w:rPr>
  </w:style>
  <w:style w:type="paragraph" w:customStyle="1" w:styleId="150">
    <w:name w:val="正文-游"/>
    <w:basedOn w:val="21"/>
    <w:qFormat/>
    <w:uiPriority w:val="0"/>
    <w:pPr>
      <w:adjustRightInd w:val="0"/>
      <w:snapToGrid w:val="0"/>
      <w:spacing w:after="0" w:line="480" w:lineRule="exact"/>
    </w:pPr>
    <w:rPr>
      <w:rFonts w:cs="Times New Roman"/>
      <w:bCs/>
      <w:snapToGrid/>
      <w:color w:val="943734"/>
      <w:kern w:val="2"/>
      <w:szCs w:val="24"/>
    </w:rPr>
  </w:style>
  <w:style w:type="paragraph" w:customStyle="1" w:styleId="151">
    <w:name w:val="正文6"/>
    <w:qFormat/>
    <w:uiPriority w:val="0"/>
    <w:pPr>
      <w:jc w:val="both"/>
    </w:pPr>
    <w:rPr>
      <w:rFonts w:ascii="Calibri" w:hAnsi="Calibri" w:eastAsia="宋体" w:cs="宋体"/>
      <w:kern w:val="2"/>
      <w:sz w:val="21"/>
      <w:szCs w:val="21"/>
      <w:lang w:val="en-US" w:eastAsia="zh-CN" w:bidi="ar-SA"/>
    </w:rPr>
  </w:style>
  <w:style w:type="paragraph" w:customStyle="1" w:styleId="152">
    <w:name w:val="标准正文"/>
    <w:basedOn w:val="1"/>
    <w:qFormat/>
    <w:uiPriority w:val="0"/>
    <w:pPr>
      <w:widowControl/>
      <w:spacing w:line="360" w:lineRule="auto"/>
      <w:ind w:firstLine="200" w:firstLineChars="200"/>
    </w:pPr>
    <w:rPr>
      <w:sz w:val="24"/>
      <w:szCs w:val="20"/>
    </w:rPr>
  </w:style>
  <w:style w:type="paragraph" w:customStyle="1" w:styleId="153">
    <w:name w:val="标准表内文字"/>
    <w:basedOn w:val="1"/>
    <w:qFormat/>
    <w:uiPriority w:val="0"/>
    <w:pPr>
      <w:adjustRightInd w:val="0"/>
      <w:snapToGrid w:val="0"/>
      <w:jc w:val="center"/>
    </w:pPr>
    <w:rPr>
      <w:bCs/>
      <w:color w:val="000000"/>
      <w:kern w:val="18"/>
      <w:szCs w:val="20"/>
    </w:rPr>
  </w:style>
  <w:style w:type="paragraph" w:customStyle="1" w:styleId="154">
    <w:name w:val="lh-正文-报告表"/>
    <w:basedOn w:val="1"/>
    <w:qFormat/>
    <w:uiPriority w:val="0"/>
    <w:pPr>
      <w:spacing w:line="360" w:lineRule="auto"/>
      <w:ind w:firstLine="480" w:firstLineChars="200"/>
    </w:pPr>
    <w:rPr>
      <w:kern w:val="0"/>
      <w:sz w:val="24"/>
      <w:szCs w:val="21"/>
    </w:rPr>
  </w:style>
  <w:style w:type="paragraph" w:customStyle="1" w:styleId="155">
    <w:name w:val="注解"/>
    <w:basedOn w:val="1"/>
    <w:qFormat/>
    <w:uiPriority w:val="0"/>
    <w:pPr>
      <w:spacing w:line="360" w:lineRule="auto"/>
      <w:ind w:firstLine="525" w:firstLineChars="250"/>
    </w:pPr>
    <w:rPr>
      <w:color w:val="000000"/>
      <w:szCs w:val="21"/>
    </w:rPr>
  </w:style>
  <w:style w:type="paragraph" w:customStyle="1" w:styleId="156">
    <w:name w:val="_Style 145"/>
    <w:unhideWhenUsed/>
    <w:qFormat/>
    <w:uiPriority w:val="99"/>
    <w:rPr>
      <w:rFonts w:ascii="Times New Roman" w:hAnsi="Times New Roman" w:eastAsia="宋体" w:cs="Times New Roman"/>
      <w:kern w:val="2"/>
      <w:sz w:val="24"/>
      <w:szCs w:val="24"/>
      <w:lang w:val="en-US" w:eastAsia="zh-CN" w:bidi="ar-SA"/>
    </w:rPr>
  </w:style>
  <w:style w:type="paragraph" w:customStyle="1" w:styleId="157">
    <w:name w:val="报告书 正文"/>
    <w:qFormat/>
    <w:uiPriority w:val="0"/>
    <w:pPr>
      <w:widowControl w:val="0"/>
      <w:adjustRightInd w:val="0"/>
      <w:snapToGrid w:val="0"/>
      <w:spacing w:line="360" w:lineRule="auto"/>
      <w:ind w:firstLine="566" w:firstLineChars="200"/>
      <w:jc w:val="both"/>
    </w:pPr>
    <w:rPr>
      <w:rFonts w:ascii="Times New Roman" w:hAnsi="Times New Roman" w:eastAsia="宋体" w:cs="Times New Roman"/>
      <w:snapToGrid w:val="0"/>
      <w:sz w:val="24"/>
      <w:szCs w:val="24"/>
      <w:lang w:val="en-US" w:eastAsia="zh-CN" w:bidi="ar-SA"/>
    </w:rPr>
  </w:style>
  <w:style w:type="paragraph" w:customStyle="1" w:styleId="158">
    <w:name w:val="新越鼎"/>
    <w:basedOn w:val="1"/>
    <w:qFormat/>
    <w:uiPriority w:val="0"/>
    <w:pPr>
      <w:spacing w:line="360" w:lineRule="auto"/>
      <w:ind w:left="0" w:leftChars="0" w:firstLine="200" w:firstLineChars="200"/>
    </w:pPr>
    <w:rPr>
      <w:rFonts w:hint="eastAsia" w:ascii="Times New Roman" w:hAnsi="Times New Roman" w:cs="宋体"/>
      <w:kern w:val="0"/>
      <w:sz w:val="24"/>
      <w:szCs w:val="20"/>
    </w:rPr>
  </w:style>
  <w:style w:type="paragraph" w:customStyle="1" w:styleId="159">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60">
    <w:name w:val="lh-表题--报告表"/>
    <w:basedOn w:val="1"/>
    <w:qFormat/>
    <w:uiPriority w:val="0"/>
    <w:pPr>
      <w:keepNext/>
      <w:widowControl/>
      <w:numPr>
        <w:ilvl w:val="0"/>
        <w:numId w:val="5"/>
      </w:numPr>
      <w:ind w:left="0" w:firstLine="0"/>
      <w:jc w:val="center"/>
    </w:pPr>
    <w:rPr>
      <w:snapToGrid w:val="0"/>
      <w:kern w:val="0"/>
      <w:sz w:val="24"/>
      <w:szCs w:val="21"/>
    </w:rPr>
  </w:style>
  <w:style w:type="paragraph" w:customStyle="1" w:styleId="161">
    <w:name w:val="曹1.1"/>
    <w:basedOn w:val="1"/>
    <w:qFormat/>
    <w:uiPriority w:val="0"/>
    <w:pPr>
      <w:spacing w:line="360" w:lineRule="auto"/>
    </w:pPr>
    <w:rPr>
      <w:b/>
      <w:sz w:val="24"/>
    </w:rPr>
  </w:style>
  <w:style w:type="paragraph" w:customStyle="1" w:styleId="162">
    <w:name w:val="表字体"/>
    <w:basedOn w:val="1"/>
    <w:next w:val="1"/>
    <w:qFormat/>
    <w:uiPriority w:val="0"/>
    <w:pPr>
      <w:jc w:val="center"/>
    </w:pPr>
  </w:style>
  <w:style w:type="paragraph" w:customStyle="1" w:styleId="163">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64">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65">
    <w:name w:val="表格内文字"/>
    <w:qFormat/>
    <w:uiPriority w:val="0"/>
    <w:pPr>
      <w:jc w:val="center"/>
    </w:pPr>
    <w:rPr>
      <w:rFonts w:ascii="Times New Roman" w:hAnsi="Times New Roman" w:eastAsia="宋体" w:cs="宋体"/>
      <w:kern w:val="2"/>
      <w:sz w:val="21"/>
      <w:szCs w:val="21"/>
      <w:lang w:val="en-US" w:eastAsia="zh-CN" w:bidi="ar-SA"/>
    </w:rPr>
  </w:style>
  <w:style w:type="character" w:customStyle="1" w:styleId="166">
    <w:name w:val="title"/>
    <w:basedOn w:val="48"/>
    <w:qFormat/>
    <w:uiPriority w:val="0"/>
  </w:style>
  <w:style w:type="paragraph" w:customStyle="1" w:styleId="167">
    <w:name w:val="1正文"/>
    <w:basedOn w:val="1"/>
    <w:qFormat/>
    <w:uiPriority w:val="0"/>
    <w:pPr>
      <w:widowControl/>
      <w:snapToGrid w:val="0"/>
      <w:spacing w:line="360" w:lineRule="auto"/>
      <w:ind w:firstLine="200" w:firstLineChars="200"/>
    </w:pPr>
    <w:rPr>
      <w:sz w:val="24"/>
      <w:szCs w:val="24"/>
    </w:rPr>
  </w:style>
  <w:style w:type="paragraph" w:customStyle="1" w:styleId="168">
    <w:name w:val="表格正文0524"/>
    <w:basedOn w:val="169"/>
    <w:qFormat/>
    <w:uiPriority w:val="0"/>
    <w:rPr>
      <w:kern w:val="2"/>
      <w:sz w:val="21"/>
    </w:rPr>
  </w:style>
  <w:style w:type="paragraph" w:customStyle="1" w:styleId="169">
    <w:name w:val="新表格正文"/>
    <w:basedOn w:val="1"/>
    <w:qFormat/>
    <w:uiPriority w:val="0"/>
    <w:pPr>
      <w:jc w:val="center"/>
    </w:pPr>
    <w:rPr>
      <w:kern w:val="0"/>
      <w:sz w:val="20"/>
      <w:szCs w:val="21"/>
      <w:lang w:val="zh-CN"/>
    </w:rPr>
  </w:style>
  <w:style w:type="paragraph" w:customStyle="1" w:styleId="170">
    <w:name w:val="四级条标题"/>
    <w:basedOn w:val="171"/>
    <w:next w:val="58"/>
    <w:qFormat/>
    <w:uiPriority w:val="0"/>
    <w:pPr>
      <w:widowControl/>
      <w:numPr>
        <w:ilvl w:val="3"/>
        <w:numId w:val="0"/>
      </w:numPr>
      <w:tabs>
        <w:tab w:val="left" w:pos="1260"/>
        <w:tab w:val="left" w:pos="1680"/>
      </w:tabs>
      <w:outlineLvl w:val="5"/>
    </w:pPr>
    <w:rPr>
      <w:rFonts w:ascii="黑体" w:eastAsia="黑体"/>
      <w:kern w:val="0"/>
      <w:szCs w:val="20"/>
    </w:rPr>
  </w:style>
  <w:style w:type="paragraph" w:customStyle="1" w:styleId="171">
    <w:name w:val="三级条标题"/>
    <w:basedOn w:val="172"/>
    <w:next w:val="58"/>
    <w:qFormat/>
    <w:uiPriority w:val="0"/>
    <w:pPr>
      <w:numPr>
        <w:ilvl w:val="3"/>
        <w:numId w:val="0"/>
      </w:numPr>
      <w:tabs>
        <w:tab w:val="left" w:pos="1260"/>
        <w:tab w:val="left" w:pos="1680"/>
      </w:tabs>
      <w:outlineLvl w:val="4"/>
    </w:pPr>
  </w:style>
  <w:style w:type="paragraph" w:customStyle="1" w:styleId="172">
    <w:name w:val="二级条标题"/>
    <w:basedOn w:val="56"/>
    <w:next w:val="58"/>
    <w:qFormat/>
    <w:uiPriority w:val="0"/>
    <w:pPr>
      <w:numPr>
        <w:ilvl w:val="3"/>
        <w:numId w:val="6"/>
      </w:numPr>
      <w:tabs>
        <w:tab w:val="left" w:pos="1260"/>
        <w:tab w:val="clear" w:pos="360"/>
        <w:tab w:val="clear" w:pos="432"/>
      </w:tabs>
      <w:outlineLvl w:val="3"/>
    </w:pPr>
  </w:style>
  <w:style w:type="paragraph" w:customStyle="1" w:styleId="173">
    <w:name w:val="7表格文字"/>
    <w:basedOn w:val="1"/>
    <w:qFormat/>
    <w:uiPriority w:val="0"/>
    <w:pPr>
      <w:spacing w:line="240" w:lineRule="auto"/>
      <w:ind w:firstLine="0" w:firstLineChars="0"/>
      <w:jc w:val="center"/>
    </w:pPr>
    <w:rPr>
      <w:sz w:val="21"/>
    </w:rPr>
  </w:style>
  <w:style w:type="paragraph" w:customStyle="1" w:styleId="174">
    <w:name w:val="报告书表格"/>
    <w:basedOn w:val="1"/>
    <w:qFormat/>
    <w:uiPriority w:val="0"/>
    <w:pPr>
      <w:adjustRightInd w:val="0"/>
      <w:spacing w:before="60" w:after="60" w:line="240" w:lineRule="atLeast"/>
      <w:jc w:val="center"/>
      <w:textAlignment w:val="baseline"/>
    </w:pPr>
    <w:rPr>
      <w:kern w:val="0"/>
      <w:sz w:val="20"/>
      <w:szCs w:val="20"/>
    </w:rPr>
  </w:style>
  <w:style w:type="paragraph" w:customStyle="1" w:styleId="175">
    <w:name w:val="正文 4"/>
    <w:basedOn w:val="1"/>
    <w:qFormat/>
    <w:uiPriority w:val="0"/>
    <w:pPr>
      <w:autoSpaceDE w:val="0"/>
      <w:autoSpaceDN w:val="0"/>
      <w:adjustRightInd w:val="0"/>
      <w:snapToGrid w:val="0"/>
      <w:spacing w:line="360" w:lineRule="auto"/>
      <w:ind w:firstLine="480" w:firstLineChars="200"/>
    </w:pPr>
    <w:rPr>
      <w:bCs/>
      <w:kern w:val="0"/>
      <w:sz w:val="24"/>
    </w:rPr>
  </w:style>
  <w:style w:type="paragraph" w:customStyle="1" w:styleId="176">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177">
    <w:name w:val="样式4"/>
    <w:basedOn w:val="1"/>
    <w:qFormat/>
    <w:uiPriority w:val="0"/>
    <w:pPr>
      <w:spacing w:line="520" w:lineRule="exact"/>
      <w:outlineLvl w:val="2"/>
    </w:pPr>
    <w:rPr>
      <w:rFonts w:eastAsia="黑体"/>
      <w:color w:val="000000"/>
      <w:sz w:val="28"/>
      <w:szCs w:val="20"/>
    </w:rPr>
  </w:style>
  <w:style w:type="paragraph" w:customStyle="1" w:styleId="178">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79">
    <w:name w:val="【正文】123"/>
    <w:basedOn w:val="1"/>
    <w:qFormat/>
    <w:uiPriority w:val="0"/>
    <w:pPr>
      <w:spacing w:line="480" w:lineRule="exact"/>
      <w:ind w:firstLine="560" w:firstLineChars="200"/>
      <w:jc w:val="left"/>
    </w:pPr>
    <w:rPr>
      <w:rFonts w:ascii="Times New Roman" w:hAnsi="Times New Roman" w:eastAsia="宋体" w:cs="宋体"/>
      <w:sz w:val="26"/>
    </w:rPr>
  </w:style>
  <w:style w:type="paragraph" w:customStyle="1" w:styleId="180">
    <w:name w:val="表格、图片"/>
    <w:qFormat/>
    <w:uiPriority w:val="0"/>
    <w:pPr>
      <w:adjustRightInd w:val="0"/>
      <w:snapToGrid w:val="0"/>
      <w:jc w:val="center"/>
    </w:pPr>
    <w:rPr>
      <w:rFonts w:ascii="Times New Roman" w:hAnsi="Times New Roman" w:eastAsia="宋体" w:cs="Times New Roman"/>
      <w:kern w:val="2"/>
      <w:sz w:val="21"/>
      <w:lang w:val="en-US" w:eastAsia="zh-CN" w:bidi="ar-SA"/>
    </w:rPr>
  </w:style>
  <w:style w:type="paragraph" w:customStyle="1" w:styleId="181">
    <w:name w:val="表文"/>
    <w:qFormat/>
    <w:uiPriority w:val="0"/>
    <w:pPr>
      <w:widowControl w:val="0"/>
      <w:tabs>
        <w:tab w:val="left" w:pos="1021"/>
      </w:tabs>
      <w:snapToGrid w:val="0"/>
      <w:spacing w:line="240" w:lineRule="atLeast"/>
      <w:ind w:firstLine="883" w:firstLineChars="200"/>
      <w:jc w:val="center"/>
    </w:pPr>
    <w:rPr>
      <w:rFonts w:ascii="Times New Roman" w:hAnsi="Times New Roman" w:eastAsia="宋体" w:cs="Times New Roman"/>
      <w:color w:val="000000"/>
      <w:spacing w:val="1"/>
      <w:sz w:val="24"/>
      <w:szCs w:val="21"/>
      <w:lang w:val="en-US" w:eastAsia="zh-CN" w:bidi="ar-SA"/>
    </w:rPr>
  </w:style>
  <w:style w:type="paragraph" w:customStyle="1" w:styleId="182">
    <w:name w:val="鑫裕段落(G)"/>
    <w:basedOn w:val="1"/>
    <w:qFormat/>
    <w:uiPriority w:val="0"/>
    <w:pPr>
      <w:tabs>
        <w:tab w:val="left" w:pos="1021"/>
        <w:tab w:val="left" w:pos="1320"/>
      </w:tabs>
      <w:spacing w:line="360" w:lineRule="auto"/>
      <w:ind w:firstLine="480" w:firstLineChars="200"/>
    </w:pPr>
    <w:rPr>
      <w:color w:val="000000"/>
      <w:kern w:val="24"/>
      <w:szCs w:val="24"/>
      <w:lang w:val="zh-CN"/>
    </w:rPr>
  </w:style>
  <w:style w:type="paragraph" w:customStyle="1" w:styleId="183">
    <w:name w:val="表内文字"/>
    <w:basedOn w:val="1"/>
    <w:semiHidden/>
    <w:qFormat/>
    <w:uiPriority w:val="0"/>
    <w:pPr>
      <w:spacing w:before="50" w:line="240" w:lineRule="atLeast"/>
      <w:jc w:val="left"/>
    </w:pPr>
    <w:rPr>
      <w:color w:val="000000"/>
      <w:kern w:val="0"/>
      <w:sz w:val="21"/>
      <w:szCs w:val="21"/>
    </w:rPr>
  </w:style>
  <w:style w:type="paragraph" w:customStyle="1" w:styleId="184">
    <w:name w:val="样式"/>
    <w:basedOn w:val="1"/>
    <w:qFormat/>
    <w:uiPriority w:val="0"/>
    <w:pPr>
      <w:widowControl/>
      <w:tabs>
        <w:tab w:val="left" w:pos="900"/>
      </w:tabs>
      <w:autoSpaceDE w:val="0"/>
      <w:autoSpaceDN w:val="0"/>
      <w:spacing w:line="500" w:lineRule="exact"/>
      <w:ind w:firstLine="480" w:firstLineChars="200"/>
      <w:jc w:val="left"/>
    </w:pPr>
    <w:rPr>
      <w:rFonts w:ascii="Arial" w:hAnsi="Arial" w:eastAsia="宋体" w:cs="宋体"/>
      <w:kern w:val="0"/>
      <w:sz w:val="24"/>
      <w:szCs w:val="20"/>
      <w:lang w:val="zh-CN" w:bidi="zh-CN"/>
    </w:rPr>
  </w:style>
  <w:style w:type="paragraph" w:customStyle="1" w:styleId="185">
    <w:name w:val="段落(G)"/>
    <w:basedOn w:val="1"/>
    <w:qFormat/>
    <w:uiPriority w:val="0"/>
    <w:pPr>
      <w:tabs>
        <w:tab w:val="left" w:pos="1021"/>
        <w:tab w:val="left" w:pos="1320"/>
      </w:tabs>
      <w:ind w:firstLine="480"/>
    </w:pPr>
    <w:rPr>
      <w:rFonts w:ascii="Arial" w:hAnsi="Arial"/>
      <w:color w:val="000000"/>
      <w:kern w:val="24"/>
      <w:szCs w:val="24"/>
      <w:lang w:val="zh-CN"/>
    </w:rPr>
  </w:style>
  <w:style w:type="paragraph" w:customStyle="1" w:styleId="186">
    <w:name w:val="+正文"/>
    <w:basedOn w:val="1"/>
    <w:qFormat/>
    <w:uiPriority w:val="0"/>
    <w:pPr>
      <w:tabs>
        <w:tab w:val="left" w:pos="1021"/>
      </w:tabs>
    </w:pPr>
    <w:rPr>
      <w:kern w:val="0"/>
      <w:szCs w:val="24"/>
    </w:rPr>
  </w:style>
  <w:style w:type="paragraph" w:customStyle="1" w:styleId="187">
    <w:name w:val="zwb-图表标题"/>
    <w:basedOn w:val="1"/>
    <w:semiHidden/>
    <w:qFormat/>
    <w:uiPriority w:val="0"/>
    <w:pPr>
      <w:spacing w:line="360" w:lineRule="auto"/>
      <w:jc w:val="center"/>
    </w:pPr>
    <w:rPr>
      <w:b/>
      <w:kern w:val="0"/>
      <w:szCs w:val="24"/>
    </w:rPr>
  </w:style>
  <w:style w:type="paragraph" w:customStyle="1" w:styleId="188">
    <w:name w:val="6.1正文"/>
    <w:basedOn w:val="1"/>
    <w:next w:val="1"/>
    <w:qFormat/>
    <w:uiPriority w:val="0"/>
    <w:pPr>
      <w:tabs>
        <w:tab w:val="left" w:pos="1021"/>
      </w:tabs>
      <w:spacing w:line="360" w:lineRule="auto"/>
      <w:ind w:firstLine="200" w:firstLineChars="200"/>
    </w:pPr>
    <w:rPr>
      <w:color w:val="000000"/>
      <w:kern w:val="0"/>
      <w:szCs w:val="24"/>
      <w:lang w:val="zh-CN"/>
    </w:rPr>
  </w:style>
  <w:style w:type="character" w:customStyle="1" w:styleId="189">
    <w:name w:val="样式 宋体 三号"/>
    <w:semiHidden/>
    <w:qFormat/>
    <w:uiPriority w:val="0"/>
    <w:rPr>
      <w:rFonts w:ascii="宋体" w:hAnsi="宋体" w:eastAsia="宋体"/>
      <w:kern w:val="2"/>
      <w:sz w:val="24"/>
      <w:szCs w:val="21"/>
      <w:lang w:val="en-US" w:eastAsia="zh-CN" w:bidi="ar-SA"/>
    </w:rPr>
  </w:style>
  <w:style w:type="paragraph" w:customStyle="1" w:styleId="190">
    <w:name w:val="图名"/>
    <w:basedOn w:val="83"/>
    <w:next w:val="118"/>
    <w:semiHidden/>
    <w:qFormat/>
    <w:uiPriority w:val="0"/>
    <w:pPr>
      <w:tabs>
        <w:tab w:val="left" w:pos="1021"/>
      </w:tabs>
    </w:pPr>
    <w:rPr>
      <w:rFonts w:ascii="Times New Roman" w:hAnsi="Times New Roman" w:eastAsia="宋体"/>
    </w:rPr>
  </w:style>
  <w:style w:type="character" w:customStyle="1" w:styleId="191">
    <w:name w:val="标题 3(G) Char Char"/>
    <w:semiHidden/>
    <w:qFormat/>
    <w:uiPriority w:val="0"/>
    <w:rPr>
      <w:rFonts w:ascii="Times New Roman" w:hAnsi="Times New Roman" w:eastAsia="黑体"/>
      <w:kern w:val="2"/>
      <w:sz w:val="28"/>
      <w:szCs w:val="28"/>
      <w:lang w:val="en-US" w:eastAsia="zh-CN" w:bidi="ar-SA"/>
    </w:rPr>
  </w:style>
  <w:style w:type="paragraph" w:customStyle="1" w:styleId="192">
    <w:name w:val="报告书正文"/>
    <w:basedOn w:val="1"/>
    <w:semiHidden/>
    <w:qFormat/>
    <w:uiPriority w:val="0"/>
    <w:pPr>
      <w:spacing w:line="360" w:lineRule="auto"/>
    </w:pPr>
    <w:rPr>
      <w:kern w:val="0"/>
      <w:szCs w:val="24"/>
    </w:rPr>
  </w:style>
  <w:style w:type="paragraph" w:customStyle="1" w:styleId="193">
    <w:name w:val="【正文】"/>
    <w:basedOn w:val="1"/>
    <w:qFormat/>
    <w:uiPriority w:val="0"/>
    <w:pPr>
      <w:adjustRightInd/>
    </w:pPr>
    <w:rPr>
      <w:snapToGrid w:val="0"/>
      <w:color w:val="000000"/>
      <w:kern w:val="0"/>
      <w:szCs w:val="20"/>
      <w:lang w:val="zh-CN" w:eastAsia="zh-CN"/>
    </w:rPr>
  </w:style>
  <w:style w:type="paragraph" w:customStyle="1" w:styleId="194">
    <w:name w:val="表格内格式"/>
    <w:basedOn w:val="117"/>
    <w:next w:val="195"/>
    <w:qFormat/>
    <w:uiPriority w:val="0"/>
    <w:pPr>
      <w:spacing w:line="360" w:lineRule="exact"/>
    </w:pPr>
  </w:style>
  <w:style w:type="paragraph" w:customStyle="1" w:styleId="195">
    <w:name w:val="（正文）"/>
    <w:basedOn w:val="28"/>
    <w:qFormat/>
    <w:uiPriority w:val="0"/>
    <w:pPr>
      <w:spacing w:line="360" w:lineRule="auto"/>
      <w:ind w:firstLine="480"/>
    </w:pPr>
    <w:rPr>
      <w:rFonts w:cs="Courier New"/>
      <w:sz w:val="24"/>
      <w:szCs w:val="21"/>
    </w:rPr>
  </w:style>
  <w:style w:type="paragraph" w:customStyle="1" w:styleId="196">
    <w:name w:val="表文(G)"/>
    <w:basedOn w:val="1"/>
    <w:qFormat/>
    <w:uiPriority w:val="0"/>
    <w:pPr>
      <w:tabs>
        <w:tab w:val="left" w:pos="1021"/>
      </w:tabs>
      <w:jc w:val="center"/>
    </w:pPr>
    <w:rPr>
      <w:rFonts w:ascii="Times New Roman" w:hAnsi="Times New Roman"/>
      <w:kern w:val="0"/>
      <w:position w:val="-24"/>
      <w:szCs w:val="21"/>
    </w:rPr>
  </w:style>
  <w:style w:type="paragraph" w:customStyle="1" w:styleId="197">
    <w:name w:val="Table Text"/>
    <w:basedOn w:val="1"/>
    <w:semiHidden/>
    <w:qFormat/>
    <w:uiPriority w:val="0"/>
    <w:rPr>
      <w:rFonts w:ascii="Arial" w:hAnsi="Arial" w:eastAsia="Arial" w:cs="Arial"/>
      <w:sz w:val="21"/>
      <w:szCs w:val="21"/>
      <w:lang w:val="en-US" w:eastAsia="en-US" w:bidi="ar-SA"/>
    </w:rPr>
  </w:style>
  <w:style w:type="character" w:customStyle="1" w:styleId="198">
    <w:name w:val="font71"/>
    <w:basedOn w:val="48"/>
    <w:qFormat/>
    <w:uiPriority w:val="0"/>
    <w:rPr>
      <w:rFonts w:ascii="宋体" w:hAnsi="宋体" w:eastAsia="宋体" w:cs="宋体"/>
      <w:color w:val="000000"/>
      <w:sz w:val="28"/>
      <w:szCs w:val="28"/>
      <w:u w:val="none"/>
    </w:rPr>
  </w:style>
  <w:style w:type="character" w:customStyle="1" w:styleId="199">
    <w:name w:val="font81"/>
    <w:basedOn w:val="48"/>
    <w:qFormat/>
    <w:uiPriority w:val="0"/>
    <w:rPr>
      <w:rFonts w:ascii="宋体" w:hAnsi="宋体" w:eastAsia="宋体" w:cs="宋体"/>
      <w:color w:val="000000"/>
      <w:sz w:val="20"/>
      <w:szCs w:val="20"/>
      <w:u w:val="none"/>
    </w:rPr>
  </w:style>
  <w:style w:type="paragraph" w:customStyle="1" w:styleId="200">
    <w:name w:val="表文W"/>
    <w:basedOn w:val="201"/>
    <w:qFormat/>
    <w:uiPriority w:val="0"/>
    <w:pPr>
      <w:spacing w:line="240" w:lineRule="auto"/>
      <w:ind w:firstLine="0" w:firstLineChars="0"/>
      <w:jc w:val="center"/>
    </w:pPr>
    <w:rPr>
      <w:rFonts w:eastAsia="宋体"/>
      <w:sz w:val="21"/>
      <w:szCs w:val="21"/>
    </w:rPr>
  </w:style>
  <w:style w:type="paragraph" w:customStyle="1" w:styleId="201">
    <w:name w:val="正文w"/>
    <w:basedOn w:val="1"/>
    <w:link w:val="206"/>
    <w:qFormat/>
    <w:uiPriority w:val="0"/>
    <w:pPr>
      <w:ind w:firstLine="480"/>
    </w:pPr>
    <w:rPr>
      <w:rFonts w:eastAsiaTheme="minorEastAsia"/>
    </w:rPr>
  </w:style>
  <w:style w:type="paragraph" w:customStyle="1" w:styleId="202">
    <w:name w:val="表格正文"/>
    <w:basedOn w:val="1"/>
    <w:next w:val="1"/>
    <w:qFormat/>
    <w:uiPriority w:val="0"/>
    <w:pPr>
      <w:autoSpaceDE/>
      <w:autoSpaceDN/>
      <w:snapToGrid w:val="0"/>
      <w:spacing w:line="240" w:lineRule="auto"/>
      <w:ind w:firstLine="0" w:firstLineChars="0"/>
      <w:jc w:val="center"/>
    </w:pPr>
    <w:rPr>
      <w:kern w:val="2"/>
      <w:sz w:val="21"/>
    </w:rPr>
  </w:style>
  <w:style w:type="paragraph" w:customStyle="1" w:styleId="203">
    <w:name w:val="01正文"/>
    <w:basedOn w:val="1"/>
    <w:qFormat/>
    <w:uiPriority w:val="0"/>
    <w:pPr>
      <w:adjustRightInd w:val="0"/>
      <w:snapToGrid w:val="0"/>
      <w:spacing w:line="480" w:lineRule="exact"/>
      <w:ind w:firstLine="520"/>
    </w:pPr>
    <w:rPr>
      <w:sz w:val="26"/>
      <w:szCs w:val="26"/>
    </w:rPr>
  </w:style>
  <w:style w:type="paragraph" w:customStyle="1" w:styleId="204">
    <w:name w:val="样式 四号"/>
    <w:basedOn w:val="1"/>
    <w:qFormat/>
    <w:uiPriority w:val="0"/>
    <w:pPr>
      <w:ind w:firstLine="560"/>
    </w:pPr>
    <w:rPr>
      <w:rFonts w:cs="宋体"/>
      <w:sz w:val="28"/>
      <w:szCs w:val="20"/>
    </w:rPr>
  </w:style>
  <w:style w:type="paragraph" w:customStyle="1" w:styleId="205">
    <w:name w:val="图表标题"/>
    <w:basedOn w:val="39"/>
    <w:next w:val="82"/>
    <w:qFormat/>
    <w:uiPriority w:val="0"/>
    <w:pPr>
      <w:tabs>
        <w:tab w:val="left" w:pos="567"/>
        <w:tab w:val="left" w:pos="980"/>
      </w:tabs>
      <w:spacing w:line="240" w:lineRule="auto"/>
      <w:ind w:firstLine="0" w:firstLineChars="0"/>
      <w:jc w:val="center"/>
    </w:pPr>
    <w:rPr>
      <w:rFonts w:ascii="Times New Roman" w:hAnsi="Times New Roman"/>
      <w:sz w:val="21"/>
    </w:rPr>
  </w:style>
  <w:style w:type="character" w:customStyle="1" w:styleId="206">
    <w:name w:val="正文w Char"/>
    <w:basedOn w:val="48"/>
    <w:link w:val="201"/>
    <w:qFormat/>
    <w:uiPriority w:val="0"/>
    <w:rPr>
      <w:rFonts w:eastAsiaTheme="minorEastAsia"/>
    </w:rPr>
  </w:style>
  <w:style w:type="paragraph" w:customStyle="1" w:styleId="207">
    <w:name w:val="5级标题"/>
    <w:basedOn w:val="1"/>
    <w:qFormat/>
    <w:uiPriority w:val="0"/>
    <w:pPr>
      <w:spacing w:line="360" w:lineRule="auto"/>
      <w:ind w:firstLine="0" w:firstLineChars="0"/>
      <w:jc w:val="left"/>
    </w:pPr>
    <w:rPr>
      <w:rFonts w:ascii="Calibri" w:hAnsi="Calibri"/>
      <w:kern w:val="0"/>
      <w:szCs w:val="24"/>
    </w:rPr>
  </w:style>
  <w:style w:type="paragraph" w:customStyle="1" w:styleId="208">
    <w:name w:val="标题2"/>
    <w:basedOn w:val="1"/>
    <w:qFormat/>
    <w:uiPriority w:val="0"/>
    <w:pPr>
      <w:keepNext/>
      <w:keepLines/>
      <w:snapToGrid w:val="0"/>
      <w:spacing w:beforeLines="50" w:afterLines="50" w:line="240" w:lineRule="auto"/>
      <w:ind w:firstLine="562"/>
      <w:outlineLvl w:val="1"/>
    </w:pPr>
    <w:rPr>
      <w:b/>
      <w:bCs/>
      <w:sz w:val="28"/>
      <w:szCs w:val="32"/>
    </w:rPr>
  </w:style>
  <w:style w:type="paragraph" w:customStyle="1" w:styleId="209">
    <w:name w:val="标题3"/>
    <w:basedOn w:val="1"/>
    <w:qFormat/>
    <w:uiPriority w:val="0"/>
    <w:pPr>
      <w:keepNext/>
      <w:keepLines/>
      <w:adjustRightInd w:val="0"/>
      <w:snapToGrid w:val="0"/>
      <w:spacing w:beforeLines="50" w:afterLines="50" w:line="240" w:lineRule="auto"/>
      <w:ind w:firstLine="562"/>
      <w:outlineLvl w:val="2"/>
    </w:pPr>
    <w:rPr>
      <w:b/>
      <w:color w:val="000000"/>
      <w:sz w:val="28"/>
      <w:szCs w:val="32"/>
    </w:rPr>
  </w:style>
  <w:style w:type="paragraph" w:customStyle="1" w:styleId="210">
    <w:name w:val="图及表格标题"/>
    <w:basedOn w:val="1"/>
    <w:qFormat/>
    <w:uiPriority w:val="0"/>
    <w:pPr>
      <w:adjustRightInd w:val="0"/>
      <w:snapToGrid w:val="0"/>
      <w:spacing w:before="120" w:after="120" w:line="240" w:lineRule="auto"/>
      <w:jc w:val="center"/>
    </w:pPr>
    <w:rPr>
      <w:b/>
      <w:color w:val="auto"/>
      <w:sz w:val="21"/>
    </w:rPr>
  </w:style>
  <w:style w:type="paragraph" w:customStyle="1" w:styleId="211">
    <w:name w:val="小表格"/>
    <w:basedOn w:val="1"/>
    <w:qFormat/>
    <w:uiPriority w:val="0"/>
    <w:pPr>
      <w:adjustRightInd w:val="0"/>
      <w:snapToGrid w:val="0"/>
      <w:spacing w:before="60" w:after="60" w:line="240" w:lineRule="auto"/>
      <w:ind w:firstLine="0" w:firstLineChars="0"/>
      <w:jc w:val="center"/>
    </w:pPr>
    <w:rPr>
      <w:rFonts w:ascii="Times New Roman" w:hAnsi="Times New Roman" w:eastAsia="宋体"/>
      <w:color w:val="auto"/>
      <w:sz w:val="21"/>
    </w:rPr>
  </w:style>
  <w:style w:type="paragraph" w:styleId="212">
    <w:name w:val="No Spacing"/>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213">
    <w:name w:val="样式 行距: 固定值 24 磅 首行缩进:  1.47 字符"/>
    <w:basedOn w:val="1"/>
    <w:qFormat/>
    <w:uiPriority w:val="0"/>
    <w:pPr>
      <w:adjustRightInd w:val="0"/>
      <w:snapToGrid w:val="0"/>
      <w:spacing w:line="480" w:lineRule="exact"/>
    </w:pPr>
    <w:rPr>
      <w:rFonts w:cs="宋体"/>
      <w:szCs w:val="20"/>
    </w:rPr>
  </w:style>
  <w:style w:type="paragraph" w:customStyle="1" w:styleId="214">
    <w:name w:val="环评正文文字"/>
    <w:basedOn w:val="1"/>
    <w:qFormat/>
    <w:uiPriority w:val="0"/>
    <w:pPr>
      <w:ind w:firstLine="480"/>
    </w:pPr>
    <w:rPr>
      <w:kern w:val="0"/>
      <w:szCs w:val="20"/>
    </w:rPr>
  </w:style>
  <w:style w:type="paragraph" w:customStyle="1" w:styleId="215">
    <w:name w:val="样式 小四 首行缩进:  0.85 厘米 行距: 1.5 倍行距"/>
    <w:basedOn w:val="1"/>
    <w:qFormat/>
    <w:uiPriority w:val="0"/>
    <w:pPr>
      <w:ind w:firstLine="482" w:firstLineChars="0"/>
    </w:pPr>
  </w:style>
  <w:style w:type="paragraph" w:customStyle="1" w:styleId="216">
    <w:name w:val="reader-word-layer"/>
    <w:basedOn w:val="1"/>
    <w:qFormat/>
    <w:uiPriority w:val="0"/>
    <w:pPr>
      <w:widowControl/>
      <w:spacing w:before="100" w:beforeAutospacing="1" w:after="100" w:afterAutospacing="1" w:line="240" w:lineRule="auto"/>
      <w:ind w:firstLine="0" w:firstLineChars="0"/>
      <w:jc w:val="left"/>
    </w:pPr>
    <w:rPr>
      <w:rFonts w:ascii="宋体" w:hAnsi="宋体" w:cs="宋体"/>
      <w:kern w:val="0"/>
      <w:szCs w:val="20"/>
    </w:rPr>
  </w:style>
  <w:style w:type="paragraph" w:customStyle="1" w:styleId="217">
    <w:name w:val="S报告正文"/>
    <w:basedOn w:val="1"/>
    <w:qFormat/>
    <w:uiPriority w:val="0"/>
    <w:pPr>
      <w:adjustRightInd w:val="0"/>
      <w:snapToGrid w:val="0"/>
      <w:spacing w:line="480" w:lineRule="exact"/>
      <w:ind w:firstLine="510"/>
      <w:jc w:val="left"/>
    </w:pPr>
    <w:rPr>
      <w:sz w:val="24"/>
    </w:rPr>
  </w:style>
  <w:style w:type="paragraph" w:customStyle="1" w:styleId="218">
    <w:name w:val="报告正文-连续目录"/>
    <w:basedOn w:val="1"/>
    <w:qFormat/>
    <w:uiPriority w:val="0"/>
    <w:pPr>
      <w:spacing w:line="440" w:lineRule="exact"/>
      <w:ind w:firstLine="200" w:firstLineChars="200"/>
    </w:pPr>
    <w:rPr>
      <w:rFonts w:ascii="Arial" w:hAnsi="Arial"/>
      <w:snapToGrid w:val="0"/>
      <w:kern w:val="0"/>
    </w:rPr>
  </w:style>
  <w:style w:type="paragraph" w:customStyle="1" w:styleId="219">
    <w:name w:val="表格内"/>
    <w:qFormat/>
    <w:uiPriority w:val="99"/>
    <w:pPr>
      <w:jc w:val="center"/>
    </w:pPr>
    <w:rPr>
      <w:rFonts w:ascii="宋体" w:hAnsi="宋体" w:eastAsia="宋体" w:cs="Times New Roman"/>
      <w:sz w:val="24"/>
      <w:szCs w:val="22"/>
      <w:lang w:val="en-US" w:eastAsia="zh-CN" w:bidi="ar-SA"/>
    </w:rPr>
  </w:style>
  <w:style w:type="paragraph" w:customStyle="1" w:styleId="220">
    <w:name w:val="表 图 内容"/>
    <w:basedOn w:val="221"/>
    <w:qFormat/>
    <w:uiPriority w:val="0"/>
    <w:pPr>
      <w:jc w:val="center"/>
    </w:pPr>
    <w:rPr>
      <w:color w:val="000000"/>
      <w:sz w:val="21"/>
    </w:rPr>
  </w:style>
  <w:style w:type="paragraph" w:customStyle="1" w:styleId="221">
    <w:name w:val="正  文"/>
    <w:qFormat/>
    <w:uiPriority w:val="0"/>
    <w:pPr>
      <w:widowControl w:val="0"/>
      <w:spacing w:line="560" w:lineRule="exact"/>
      <w:ind w:firstLine="200" w:firstLineChars="200"/>
    </w:pPr>
    <w:rPr>
      <w:rFonts w:ascii="Times New Roman" w:hAnsi="Times New Roman" w:eastAsia="宋体" w:cs="Times New Roman"/>
      <w:kern w:val="2"/>
      <w:sz w:val="24"/>
      <w:szCs w:val="28"/>
      <w:lang w:val="en-US" w:eastAsia="zh-CN" w:bidi="ar-SA"/>
    </w:rPr>
  </w:style>
  <w:style w:type="paragraph" w:customStyle="1" w:styleId="222">
    <w:name w:val="图表名"/>
    <w:basedOn w:val="223"/>
    <w:qFormat/>
    <w:uiPriority w:val="0"/>
    <w:rPr>
      <w:sz w:val="21"/>
    </w:rPr>
  </w:style>
  <w:style w:type="paragraph" w:customStyle="1" w:styleId="223">
    <w:name w:val="表图名称"/>
    <w:basedOn w:val="1"/>
    <w:qFormat/>
    <w:uiPriority w:val="0"/>
    <w:pPr>
      <w:spacing w:line="360" w:lineRule="auto"/>
      <w:jc w:val="center"/>
    </w:pPr>
    <w:rPr>
      <w:b/>
      <w:bCs/>
      <w:kern w:val="28"/>
      <w:sz w:val="24"/>
    </w:rPr>
  </w:style>
  <w:style w:type="paragraph" w:customStyle="1" w:styleId="224">
    <w:name w:val="sheet"/>
    <w:basedOn w:val="1"/>
    <w:qFormat/>
    <w:uiPriority w:val="0"/>
    <w:pPr>
      <w:jc w:val="center"/>
    </w:pPr>
    <w:rPr>
      <w:kern w:val="0"/>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12.bin"/><Relationship Id="rId98" Type="http://schemas.openxmlformats.org/officeDocument/2006/relationships/image" Target="media/image68.wmf"/><Relationship Id="rId97" Type="http://schemas.openxmlformats.org/officeDocument/2006/relationships/oleObject" Target="embeddings/oleObject11.bin"/><Relationship Id="rId96" Type="http://schemas.openxmlformats.org/officeDocument/2006/relationships/image" Target="media/image67.wmf"/><Relationship Id="rId95" Type="http://schemas.openxmlformats.org/officeDocument/2006/relationships/oleObject" Target="embeddings/oleObject10.bin"/><Relationship Id="rId94" Type="http://schemas.openxmlformats.org/officeDocument/2006/relationships/image" Target="media/image66.wmf"/><Relationship Id="rId93" Type="http://schemas.openxmlformats.org/officeDocument/2006/relationships/oleObject" Target="embeddings/oleObject9.bin"/><Relationship Id="rId92" Type="http://schemas.openxmlformats.org/officeDocument/2006/relationships/image" Target="media/image65.wmf"/><Relationship Id="rId91" Type="http://schemas.openxmlformats.org/officeDocument/2006/relationships/oleObject" Target="embeddings/oleObject8.bin"/><Relationship Id="rId90" Type="http://schemas.openxmlformats.org/officeDocument/2006/relationships/image" Target="media/image64.wmf"/><Relationship Id="rId9" Type="http://schemas.openxmlformats.org/officeDocument/2006/relationships/footer" Target="footer4.xml"/><Relationship Id="rId89" Type="http://schemas.openxmlformats.org/officeDocument/2006/relationships/oleObject" Target="embeddings/oleObject7.bin"/><Relationship Id="rId88" Type="http://schemas.openxmlformats.org/officeDocument/2006/relationships/image" Target="media/image63.wmf"/><Relationship Id="rId87" Type="http://schemas.openxmlformats.org/officeDocument/2006/relationships/oleObject" Target="embeddings/oleObject6.bin"/><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emf"/><Relationship Id="rId82" Type="http://schemas.openxmlformats.org/officeDocument/2006/relationships/oleObject" Target="embeddings/oleObject5.bin"/><Relationship Id="rId81" Type="http://schemas.openxmlformats.org/officeDocument/2006/relationships/image" Target="media/image58.emf"/><Relationship Id="rId80" Type="http://schemas.openxmlformats.org/officeDocument/2006/relationships/oleObject" Target="embeddings/oleObject4.bin"/><Relationship Id="rId8" Type="http://schemas.openxmlformats.org/officeDocument/2006/relationships/footer" Target="footer3.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footer" Target="footer2.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1.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emf"/><Relationship Id="rId52" Type="http://schemas.openxmlformats.org/officeDocument/2006/relationships/oleObject" Target="embeddings/oleObject3.bin"/><Relationship Id="rId51" Type="http://schemas.openxmlformats.org/officeDocument/2006/relationships/image" Target="media/image30.emf"/><Relationship Id="rId50" Type="http://schemas.openxmlformats.org/officeDocument/2006/relationships/oleObject" Target="embeddings/oleObject2.bin"/><Relationship Id="rId5" Type="http://schemas.openxmlformats.org/officeDocument/2006/relationships/header" Target="header1.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endnotes" Target="endnotes.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wmf"/><Relationship Id="rId31" Type="http://schemas.openxmlformats.org/officeDocument/2006/relationships/oleObject" Target="embeddings/oleObject1.bin"/><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0.xml"/><Relationship Id="rId17" Type="http://schemas.openxmlformats.org/officeDocument/2006/relationships/header" Target="header4.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4" Type="http://schemas.openxmlformats.org/officeDocument/2006/relationships/fontTable" Target="fontTable.xml"/><Relationship Id="rId133" Type="http://schemas.openxmlformats.org/officeDocument/2006/relationships/customXml" Target="../customXml/item2.xml"/><Relationship Id="rId132" Type="http://schemas.openxmlformats.org/officeDocument/2006/relationships/numbering" Target="numbering.xml"/><Relationship Id="rId131" Type="http://schemas.openxmlformats.org/officeDocument/2006/relationships/customXml" Target="../customXml/item1.xml"/><Relationship Id="rId130" Type="http://schemas.openxmlformats.org/officeDocument/2006/relationships/image" Target="media/image92.png"/><Relationship Id="rId13" Type="http://schemas.openxmlformats.org/officeDocument/2006/relationships/header" Target="header3.xml"/><Relationship Id="rId129" Type="http://schemas.openxmlformats.org/officeDocument/2006/relationships/image" Target="media/image91.png"/><Relationship Id="rId128" Type="http://schemas.openxmlformats.org/officeDocument/2006/relationships/image" Target="media/image90.png"/><Relationship Id="rId127" Type="http://schemas.openxmlformats.org/officeDocument/2006/relationships/image" Target="media/image89.png"/><Relationship Id="rId126" Type="http://schemas.openxmlformats.org/officeDocument/2006/relationships/image" Target="media/image88.png"/><Relationship Id="rId125" Type="http://schemas.openxmlformats.org/officeDocument/2006/relationships/image" Target="media/image87.jpeg"/><Relationship Id="rId124" Type="http://schemas.openxmlformats.org/officeDocument/2006/relationships/image" Target="media/image86.jpeg"/><Relationship Id="rId123" Type="http://schemas.openxmlformats.org/officeDocument/2006/relationships/image" Target="media/image85.png"/><Relationship Id="rId122" Type="http://schemas.openxmlformats.org/officeDocument/2006/relationships/image" Target="media/image84.png"/><Relationship Id="rId121" Type="http://schemas.openxmlformats.org/officeDocument/2006/relationships/image" Target="media/image83.png"/><Relationship Id="rId120" Type="http://schemas.openxmlformats.org/officeDocument/2006/relationships/image" Target="media/image82.wmf"/><Relationship Id="rId12" Type="http://schemas.openxmlformats.org/officeDocument/2006/relationships/footer" Target="footer6.xml"/><Relationship Id="rId119" Type="http://schemas.openxmlformats.org/officeDocument/2006/relationships/oleObject" Target="embeddings/oleObject19.bin"/><Relationship Id="rId118" Type="http://schemas.openxmlformats.org/officeDocument/2006/relationships/image" Target="media/image81.png"/><Relationship Id="rId117" Type="http://schemas.openxmlformats.org/officeDocument/2006/relationships/image" Target="media/image80.png"/><Relationship Id="rId116" Type="http://schemas.openxmlformats.org/officeDocument/2006/relationships/image" Target="media/image79.png"/><Relationship Id="rId115" Type="http://schemas.openxmlformats.org/officeDocument/2006/relationships/image" Target="media/image78.wmf"/><Relationship Id="rId114" Type="http://schemas.openxmlformats.org/officeDocument/2006/relationships/image" Target="media/image77.wmf"/><Relationship Id="rId113" Type="http://schemas.openxmlformats.org/officeDocument/2006/relationships/image" Target="media/image76.wmf"/><Relationship Id="rId112" Type="http://schemas.openxmlformats.org/officeDocument/2006/relationships/image" Target="media/image75.wmf"/><Relationship Id="rId111" Type="http://schemas.openxmlformats.org/officeDocument/2006/relationships/oleObject" Target="embeddings/oleObject18.bin"/><Relationship Id="rId110" Type="http://schemas.openxmlformats.org/officeDocument/2006/relationships/image" Target="media/image74.wmf"/><Relationship Id="rId11" Type="http://schemas.openxmlformats.org/officeDocument/2006/relationships/footer" Target="footer5.xml"/><Relationship Id="rId109" Type="http://schemas.openxmlformats.org/officeDocument/2006/relationships/oleObject" Target="embeddings/oleObject17.bin"/><Relationship Id="rId108" Type="http://schemas.openxmlformats.org/officeDocument/2006/relationships/image" Target="media/image73.wmf"/><Relationship Id="rId107" Type="http://schemas.openxmlformats.org/officeDocument/2006/relationships/oleObject" Target="embeddings/oleObject16.bin"/><Relationship Id="rId106" Type="http://schemas.openxmlformats.org/officeDocument/2006/relationships/image" Target="media/image72.wmf"/><Relationship Id="rId105" Type="http://schemas.openxmlformats.org/officeDocument/2006/relationships/oleObject" Target="embeddings/oleObject15.bin"/><Relationship Id="rId104" Type="http://schemas.openxmlformats.org/officeDocument/2006/relationships/image" Target="media/image71.wmf"/><Relationship Id="rId103" Type="http://schemas.openxmlformats.org/officeDocument/2006/relationships/oleObject" Target="embeddings/oleObject14.bin"/><Relationship Id="rId102" Type="http://schemas.openxmlformats.org/officeDocument/2006/relationships/image" Target="media/image70.wmf"/><Relationship Id="rId101" Type="http://schemas.openxmlformats.org/officeDocument/2006/relationships/oleObject" Target="embeddings/oleObject13.bin"/><Relationship Id="rId100" Type="http://schemas.openxmlformats.org/officeDocument/2006/relationships/image" Target="media/image69.wmf"/><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ot="0" vertOverflow="overflow" horzOverflow="overflow" vert="horz" wrap="square" lIns="91440" tIns="45720" rIns="91440" bIns="45720" numCol="1" spcCol="0" rtlCol="0" fromWordArt="0" anchor="ctr" anchorCtr="0" forceAA="0" compatLnSpc="1">
        <a:noAutofit/>
      </a:bodyPr>
      <a:lstStyle/>
      <a:style>
        <a:lnRef idx="2">
          <a:schemeClr val="accent1">
            <a:lumMod val="75000"/>
          </a:schemeClr>
        </a:lnRef>
        <a:fillRef idx="1">
          <a:schemeClr val="accent1"/>
        </a:fillRef>
        <a:effectRef idx="0">
          <a:srgbClr val="FFFFFF"/>
        </a:effectRef>
        <a:fontRef idx="minor">
          <a:schemeClr val="lt1"/>
        </a:fontRef>
      </a:style>
    </a:spDef>
    <a:lnDef>
      <a:spPr>
        <a:ln w="6350">
          <a:solidFill>
            <a:schemeClr val="tx1"/>
          </a:solidFill>
          <a:tailEnd type="arrow"/>
        </a:ln>
      </a:spPr>
      <a:bodyPr/>
      <a:lstStyle/>
      <a:style>
        <a:lnRef idx="2">
          <a:schemeClr val="accent1"/>
        </a:lnRef>
        <a:fillRef idx="0">
          <a:srgbClr val="FFFFFF"/>
        </a:fillRef>
        <a:effectRef idx="0">
          <a:srgbClr val="FFFFFF"/>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Info spid="_x0000_s1030"/>
    <customShpInfo spid="_x0000_s1033"/>
    <customShpInfo spid="_x0000_s1031"/>
    <customShpInfo spid="_x0000_s1032"/>
  </customShpExts>
</s:customData>
</file>

<file path=customXml/item2.xml><?xml version="1.0" encoding="utf-8"?>
<contractReview xmlns="http://schemas.wps.cn/vas-ai-hub/contract-review">
  <reviewItems>
    <reviewItem>
      <errorID>a5e0ff00-62a5-4ee5-8563-49eb6eeb5ae5</errorID>
      <errorWord>上世纪</errorWord>
      <group>L1_Word</group>
      <groupName>字词问题</groupName>
      <ability>L2_Typo</ability>
      <abilityName>字词错误</abilityName>
      <candidateList>
        <item>20世纪</item>
      </candidateList>
      <explain/>
      <paraID>31AB8F98</paraID>
      <start>0</start>
      <end>3</end>
      <status>unmodified</status>
      <modifiedWord/>
      <trackRevisions>false</trackRevisions>
    </reviewItem>
    <reviewItem>
      <errorID>c6c7a2ae-e232-4a16-a011-f3f5ae482107</errorID>
      <errorWord>九十年代</errorWord>
      <group>L1_Word</group>
      <groupName>字词问题</groupName>
      <ability>L2_Typo</ability>
      <abilityName>字词错误</abilityName>
      <candidateList>
        <item>90年代</item>
      </candidateList>
      <explain/>
      <paraID>31AB8F98</paraID>
      <start>3</start>
      <end>7</end>
      <status>unmodified</status>
      <modifiedWord/>
      <trackRevisions>false</trackRevisions>
    </reviewItem>
    <reviewItem>
      <errorID>3340f923-3040-46cc-881b-a723237cda7f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58881C86</paraID>
      <start>0</start>
      <end>2</end>
      <status>unmodified</status>
      <modifiedWord/>
      <trackRevisions>false</trackRevisions>
    </reviewItem>
    <reviewItem>
      <errorID>cb93ab91-96d9-40a2-ace6-d71ec2eec933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33F025A6</paraID>
      <start>0</start>
      <end>2</end>
      <status>unmodified</status>
      <modifiedWord/>
      <trackRevisions>false</trackRevisions>
    </reviewItem>
    <reviewItem>
      <errorID>ea42f9c1-fba5-4499-bb1b-7f878cda2738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2F51806D</paraID>
      <start>0</start>
      <end>2</end>
      <status>unmodified</status>
      <modifiedWord/>
      <trackRevisions>false</trackRevisions>
    </reviewItem>
    <reviewItem>
      <errorID>6718460b-d819-4848-a2cc-36868d71d846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22651DA8</paraID>
      <start>0</start>
      <end>2</end>
      <status>unmodified</status>
      <modifiedWord/>
      <trackRevisions>false</trackRevisions>
    </reviewItem>
    <reviewItem>
      <errorID>a9877863-a84a-4b7a-8be6-19331098711b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325568CB</paraID>
      <start>0</start>
      <end>2</end>
      <status>unmodified</status>
      <modifiedWord/>
      <trackRevisions>false</trackRevisions>
    </reviewItem>
    <reviewItem>
      <errorID>852afecf-233e-4120-8884-0e2ec12d5b8d</errorID>
      <errorWord>(</errorWord>
      <group>L1_Format</group>
      <groupName>格式问题</groupName>
      <ability>L2_HalfPunc</ability>
      <abilityName>全半角检查</abilityName>
      <candidateList>
        <item>（</item>
      </candidateList>
      <explain>文本全半角错误。</explain>
      <paraID>13C30558</paraID>
      <start>312</start>
      <end>313</end>
      <status>modified</status>
      <modifiedWord>（</modifiedWord>
      <trackRevisions>false</trackRevisions>
    </reviewItem>
    <reviewItem>
      <errorID>f59026b7-418f-43ca-aa70-086725a5893a</errorID>
      <errorWord>)</errorWord>
      <group>L1_Format</group>
      <groupName>格式问题</groupName>
      <ability>L2_HalfPunc</ability>
      <abilityName>全半角检查</abilityName>
      <candidateList>
        <item>）</item>
      </candidateList>
      <explain>文本全半角错误。</explain>
      <paraID>13C30558</paraID>
      <start>320</start>
      <end>321</end>
      <status>modified</status>
      <modifiedWord>）</modifiedWord>
      <trackRevisions>false</trackRevisions>
    </reviewItem>
    <reviewItem>
      <errorID>c36835ea-a5cc-4fdd-b49f-22d69b72acc2</errorID>
      <errorWord>资源节约综合利用</errorWord>
      <group>L1_Political</group>
      <groupName>政治性问题</groupName>
      <ability>L2_Keyword</ability>
      <abilityName>固定表述</abilityName>
      <candidateList>
        <item>资源节约集约利用</item>
      </candidateList>
      <explain>词汇“资源节约集约利用”在特定场景下为固定表述形式，请确认此处的“资源节约综合利用”是否存在不当。</explain>
      <paraID>2D328C5C</paraID>
      <start>62</start>
      <end>70</end>
      <status>unmodified</status>
      <modifiedWord/>
      <trackRevisions>false</trackRevisions>
    </reviewItem>
    <reviewItem>
      <errorID>d88a9f46-322f-4088-b87f-7e50b42420bd</errorID>
      <errorWord>&lt;</errorWord>
      <group>L1_Format</group>
      <groupName>格式问题</groupName>
      <ability>L2_HalfPunc</ability>
      <abilityName>全半角检查</abilityName>
      <candidateList>
        <item>〈</item>
      </candidateList>
      <explain>文本全半角错误。</explain>
      <paraID> 54C5E76</paraID>
      <start>26</start>
      <end>27</end>
      <status>unmodified</status>
      <modifiedWord/>
      <trackRevisions>false</trackRevisions>
    </reviewItem>
    <reviewItem>
      <errorID>d385b1d2-2fa8-4440-ab95-ec9448219236</errorID>
      <errorWord>&gt;的通知》</errorWord>
      <group>L1_Punc</group>
      <groupName>标点问题</groupName>
      <ability>L2_Punc</ability>
      <abilityName>标点符号检查</abilityName>
      <candidateList>
        <item>〉的通知》</item>
      </candidateList>
      <explain/>
      <paraID> 54C5E76</paraID>
      <start>56</start>
      <end>61</end>
      <status>unmodified</status>
      <modifiedWord/>
      <trackRevisions>false</trackRevisions>
    </reviewItem>
    <reviewItem>
      <errorID>8c1ac3fe-5322-466c-a7ed-f6892720bbaa</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28C817D5</paraID>
      <start>0</start>
      <end>3</end>
      <status>unmodified</status>
      <modifiedWord/>
      <trackRevisions>false</trackRevisions>
    </reviewItem>
    <reviewItem>
      <errorID>8b26c7f8-3d03-4436-8a35-de411d853fce</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607E2289</paraID>
      <start>0</start>
      <end>3</end>
      <status>unmodified</status>
      <modifiedWord/>
      <trackRevisions>false</trackRevisions>
    </reviewItem>
    <reviewItem>
      <errorID>f98814b0-7623-4f3d-9726-d9715fef8823</errorID>
      <errorWord>(三)</errorWord>
      <group>L1_Format</group>
      <groupName>格式问题</groupName>
      <ability>L2_Ordinal</ability>
      <abilityName>序号格式</abilityName>
      <candidateList>
        <item>（三）</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2AB64753</paraID>
      <start>0</start>
      <end>3</end>
      <status>unmodified</status>
      <modifiedWord/>
      <trackRevisions>false</trackRevisions>
    </reviewItem>
    <reviewItem>
      <errorID>3ab65fa2-645f-4c32-9609-e79e455c4187</errorID>
      <errorWord>(四)</errorWord>
      <group>L1_Format</group>
      <groupName>格式问题</groupName>
      <ability>L2_Ordinal</ability>
      <abilityName>序号格式</abilityName>
      <candidateList>
        <item>（四）</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685F8B1D</paraID>
      <start>0</start>
      <end>3</end>
      <status>unmodified</status>
      <modifiedWord/>
      <trackRevisions>false</trackRevisions>
    </reviewItem>
    <reviewItem>
      <errorID>8447a1e2-ae7f-4bfe-8274-bbd55cbd38ff</errorID>
      <errorWord>(五)</errorWord>
      <group>L1_Format</group>
      <groupName>格式问题</groupName>
      <ability>L2_Ordinal</ability>
      <abilityName>序号格式</abilityName>
      <candidateList>
        <item>（五）</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17BB676F</paraID>
      <start>0</start>
      <end>3</end>
      <status>unmodified</status>
      <modifiedWord/>
      <trackRevisions>false</trackRevisions>
    </reviewItem>
    <reviewItem>
      <errorID>d3ed2ccf-a564-4760-8270-ba25c63e5bf6</errorID>
      <errorWord>(六)</errorWord>
      <group>L1_Format</group>
      <groupName>格式问题</groupName>
      <ability>L2_Ordinal</ability>
      <abilityName>序号格式</abilityName>
      <candidateList>
        <item>（六）</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11059121</paraID>
      <start>0</start>
      <end>3</end>
      <status>unmodified</status>
      <modifiedWord/>
      <trackRevisions>false</trackRevisions>
    </reviewItem>
    <reviewItem>
      <errorID>ef358dc7-79cb-422a-9a76-009a3b50b7b5</errorID>
      <errorWord>(七)</errorWord>
      <group>L1_Format</group>
      <groupName>格式问题</groupName>
      <ability>L2_Ordinal</ability>
      <abilityName>序号格式</abilityName>
      <candidateList>
        <item>（七）</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7BD5BD9C</paraID>
      <start>0</start>
      <end>3</end>
      <status>unmodified</status>
      <modifiedWord/>
      <trackRevisions>false</trackRevisions>
    </reviewItem>
    <reviewItem>
      <errorID>9276d127-6a1c-44b7-98f4-c0b05567d1e9</errorID>
      <errorWord>其它废弃物</errorWord>
      <group>L1_Word</group>
      <groupName>字词问题</groupName>
      <ability>L2_Alias</ability>
      <abilityName>也作/曾用词</abilityName>
      <candidateList>
        <item>其他废弃物</item>
      </candidateList>
      <explain>词汇[其它废弃物]为不规范表述或旧称，其规范书面表述为[其他废弃物]。</explain>
      <paraID> FCE8C7B</paraID>
      <start>135</start>
      <end>140</end>
      <status>unmodified</status>
      <modifiedWord/>
      <trackRevisions>false</trackRevisions>
    </reviewItem>
    <reviewItem>
      <errorID>cf81ef31-87b1-4a3e-b1bf-4234c0eb9684</errorID>
      <errorWord>(</errorWord>
      <group>L1_Format</group>
      <groupName>格式问题</groupName>
      <ability>L2_HalfPunc</ability>
      <abilityName>全半角检查</abilityName>
      <candidateList>
        <item>（</item>
      </candidateList>
      <explain>文本全半角错误。</explain>
      <paraID>2FFCDBDC</paraID>
      <start>4</start>
      <end>5</end>
      <status>modified</status>
      <modifiedWord>（</modifiedWord>
      <trackRevisions>false</trackRevisions>
    </reviewItem>
    <reviewItem>
      <errorID>3cbc6388-14c7-46ce-a20e-08363ac20f0a</errorID>
      <errorWord>)</errorWord>
      <group>L1_Format</group>
      <groupName>格式问题</groupName>
      <ability>L2_HalfPunc</ability>
      <abilityName>全半角检查</abilityName>
      <candidateList>
        <item>）</item>
      </candidateList>
      <explain>文本全半角错误。</explain>
      <paraID>2FFCDBDC</paraID>
      <start>6</start>
      <end>7</end>
      <status>modified</status>
      <modifiedWord>）</modifiedWord>
      <trackRevisions>false</trackRevisions>
    </reviewItem>
    <reviewItem>
      <errorID>712bb1ae-eec8-4082-9cbb-bf50333c9e0c</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70474D18</paraID>
      <start>0</start>
      <end>3</end>
      <status>unmodified</status>
      <modifiedWord/>
      <trackRevisions>false</trackRevisions>
    </reviewItem>
    <reviewItem>
      <errorID>672bae18-8688-4caa-bc6b-cfb349f38f0b</errorID>
      <errorWord>(三)</errorWord>
      <group>L1_Format</group>
      <groupName>格式问题</groupName>
      <ability>L2_Ordinal</ability>
      <abilityName>序号格式</abilityName>
      <candidateList>
        <item>（三）</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15DC3499</paraID>
      <start>0</start>
      <end>3</end>
      <status>unmodified</status>
      <modifiedWord/>
      <trackRevisions>false</trackRevisions>
    </reviewItem>
    <reviewItem>
      <errorID>e5aa3cb9-0f61-41af-82d2-c6fa9e0b52fd</errorID>
      <errorWord>(四)</errorWord>
      <group>L1_Format</group>
      <groupName>格式问题</groupName>
      <ability>L2_Ordinal</ability>
      <abilityName>序号格式</abilityName>
      <candidateList>
        <item>（四）</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5F14FD30</paraID>
      <start>0</start>
      <end>3</end>
      <status>unmodified</status>
      <modifiedWord/>
      <trackRevisions>false</trackRevisions>
    </reviewItem>
    <reviewItem>
      <errorID>feba2f60-1220-4de4-8578-6fac0c779d70</errorID>
      <errorWord>(五)</errorWord>
      <group>L1_Format</group>
      <groupName>格式问题</groupName>
      <ability>L2_Ordinal</ability>
      <abilityName>序号格式</abilityName>
      <candidateList>
        <item>（五）</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4F46081F</paraID>
      <start>0</start>
      <end>3</end>
      <status>unmodified</status>
      <modifiedWord/>
      <trackRevisions>false</trackRevisions>
    </reviewItem>
    <reviewItem>
      <errorID>777ee46b-a144-4ba3-83b2-9342d888d091</errorID>
      <errorWord>滥采</errorWord>
      <group>L1_Word</group>
      <groupName>字词问题</groupName>
      <ability>L2_Typo</ability>
      <abilityName>字词错误</abilityName>
      <candidateList>
        <item>乱采</item>
      </candidateList>
      <explain/>
      <paraID>4F46081F</paraID>
      <start>25</start>
      <end>27</end>
      <status>unmodified</status>
      <modifiedWord/>
      <trackRevisions>false</trackRevisions>
    </reviewItem>
    <reviewItem>
      <errorID>44352aa2-8853-42c4-8bf8-42be79bbe25e</errorID>
      <errorWord>(六)</errorWord>
      <group>L1_Format</group>
      <groupName>格式问题</groupName>
      <ability>L2_Ordinal</ability>
      <abilityName>序号格式</abilityName>
      <candidateList>
        <item>（六）</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30391C7C</paraID>
      <start>0</start>
      <end>3</end>
      <status>unmodified</status>
      <modifiedWord/>
      <trackRevisions>false</trackRevisions>
    </reviewItem>
    <reviewItem>
      <errorID>18f13eea-efc0-436e-92bc-622fa9556493</errorID>
      <errorWord>(七)</errorWord>
      <group>L1_Format</group>
      <groupName>格式问题</groupName>
      <ability>L2_Ordinal</ability>
      <abilityName>序号格式</abilityName>
      <candidateList>
        <item>（七）</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42CF37F8</paraID>
      <start>0</start>
      <end>3</end>
      <status>unmodified</status>
      <modifiedWord/>
      <trackRevisions>false</trackRevisions>
    </reviewItem>
    <reviewItem>
      <errorID>4b422fa5-23c2-4bf4-8db6-f07a6b891631</errorID>
      <errorWord>(八)</errorWord>
      <group>L1_Format</group>
      <groupName>格式问题</groupName>
      <ability>L2_Ordinal</ability>
      <abilityName>序号格式</abilityName>
      <candidateList>
        <item>（八）</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2D27462A</paraID>
      <start>0</start>
      <end>3</end>
      <status>unmodified</status>
      <modifiedWord/>
      <trackRevisions>false</trackRevisions>
    </reviewItem>
    <reviewItem>
      <errorID>02d1161a-9ce1-4125-a601-25302149e75e</errorID>
      <errorWord>禁</errorWord>
      <group>L1_Word</group>
      <groupName>字词问题</groupName>
      <ability>L2_Typo</ability>
      <abilityName>字词错误</abilityName>
      <candidateList>
        <item>禁止</item>
      </candidateList>
      <explain/>
      <paraID>37AE452A</paraID>
      <start>0</start>
      <end>2</end>
      <status>modified</status>
      <modifiedWord>禁止</modifiedWord>
      <trackRevisions>false</trackRevisions>
    </reviewItem>
    <reviewItem>
      <errorID>cf2c1412-85ca-47b8-86d2-4cccd1404a05</errorID>
      <errorWord>文化自然遗产</errorWord>
      <group>L1_Word</group>
      <groupName>字词问题</groupName>
      <ability>L2_Typo</ability>
      <abilityName>字词错误</abilityName>
      <candidateList>
        <item>文化和自然遗产</item>
      </candidateList>
      <explain/>
      <paraID> D8D057D</paraID>
      <start>85</start>
      <end>91</end>
      <status>unmodified</status>
      <modifiedWord/>
      <trackRevisions>false</trackRevisions>
    </reviewItem>
    <reviewItem>
      <errorID>9eb00d5e-fe90-496b-8502-a986e960038c</errorID>
      <errorWord>：</errorWord>
      <group>L1_Format</group>
      <groupName>格式问题</groupName>
      <ability>L2_HalfPunc</ability>
      <abilityName>全半角检查</abilityName>
      <candidateList>
        <item>:</item>
      </candidateList>
      <explain>文本全半角错误。</explain>
      <paraID>16108DD5</paraID>
      <start>268</start>
      <end>269</end>
      <status>unmodified</status>
      <modifiedWord/>
      <trackRevisions>false</trackRevisions>
    </reviewItem>
    <reviewItem>
      <errorID>3455677f-4dec-40c8-b614-3c6a6c034019</errorID>
      <errorWord>及其</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2D7965FA</paraID>
      <start>151</start>
      <end>153</end>
      <status>unmodified</status>
      <modifiedWord/>
      <trackRevisions>false</trackRevisions>
    </reviewItem>
    <reviewItem>
      <errorID>cf4d816a-be38-4007-991d-0b12aed3a4e3</errorID>
      <errorWord>（2022）17号</errorWord>
      <group>L1_Knowledge</group>
      <groupName>知识性问题</groupName>
      <ability>L2_Knowledge</ability>
      <abilityName>其他知识</abilityName>
      <candidateList>
        <item>〔2022〕17号</item>
      </candidateList>
      <explain>发文字号格式错误。</explain>
      <paraID>78EA7ADC</paraID>
      <start>31</start>
      <end>40</end>
      <status>unmodified</status>
      <modifiedWord/>
      <trackRevisions>false</trackRevisions>
    </reviewItem>
    <reviewItem>
      <errorID>cb6c7c87-3b91-461c-941f-522142b133c1</errorID>
      <errorWord>（2022）17号</errorWord>
      <group>L1_Knowledge</group>
      <groupName>知识性问题</groupName>
      <ability>L2_Knowledge</ability>
      <abilityName>其他知识</abilityName>
      <candidateList>
        <item>〔2022〕17号</item>
      </candidateList>
      <explain>发文字号格式错误。</explain>
      <paraID>3436C5EC</paraID>
      <start>27</start>
      <end>36</end>
      <status>unmodified</status>
      <modifiedWord/>
      <trackRevisions>false</trackRevisions>
    </reviewItem>
    <reviewItem>
      <errorID>bccb4509-46c0-43a9-b973-a281d9f8351a</errorID>
      <errorWord>（</errorWord>
      <group>L1_Punc</group>
      <groupName>标点问题</groupName>
      <ability>L2_Punc</ability>
      <abilityName>标点符号检查</abilityName>
      <candidateList/>
      <explain>同一形式括号套用。</explain>
      <paraID> FA60040</paraID>
      <start>90</start>
      <end>91</end>
      <status>unmodified</status>
      <modifiedWord/>
      <trackRevisions>false</trackRevisions>
    </reviewItem>
    <reviewItem>
      <errorID>f99e53fb-094f-45b8-b72d-fac9309ab5ed</errorID>
      <errorWord>）</errorWord>
      <group>L1_Punc</group>
      <groupName>标点问题</groupName>
      <ability>L2_Punc</ability>
      <abilityName>标点符号检查</abilityName>
      <candidateList/>
      <explain>同一形式括号套用。</explain>
      <paraID> FA60040</paraID>
      <start>92</start>
      <end>93</end>
      <status>unmodified</status>
      <modifiedWord/>
      <trackRevisions>false</trackRevisions>
    </reviewItem>
    <reviewItem>
      <errorID>2354ef5a-f573-422f-bedd-61b442a99355</errorID>
      <errorWord>：</errorWord>
      <group>L1_Format</group>
      <groupName>格式问题</groupName>
      <ability>L2_HalfPunc</ability>
      <abilityName>全半角检查</abilityName>
      <candidateList>
        <item>:</item>
      </candidateList>
      <explain>文本全半角错误。</explain>
      <paraID>52BB8826</paraID>
      <start>116</start>
      <end>117</end>
      <status>unmodified</status>
      <modifiedWord/>
      <trackRevisions>false</trackRevisions>
    </reviewItem>
    <reviewItem>
      <errorID>1a0e6578-633b-4a29-bbb7-27bcad5ce050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32D3EC3B</paraID>
      <start>50</start>
      <end>51</end>
      <status>unmodified</status>
      <modifiedWord/>
      <trackRevisions>false</trackRevisions>
    </reviewItem>
    <reviewItem>
      <errorID>e41b73fb-847a-4c4a-bad2-e361f4174560</errorID>
      <errorWord>地下水年</errorWord>
      <group>L1_Word</group>
      <groupName>字词问题</groupName>
      <ability>L2_Typo</ability>
      <abilityName>字词错误</abilityName>
      <candidateList>
        <item>地下水面</item>
      </candidateList>
      <explain/>
      <paraID>721F9CE8</paraID>
      <start>44</start>
      <end>48</end>
      <status>unmodified</status>
      <modifiedWord/>
      <trackRevisions>false</trackRevisions>
    </reviewItem>
    <reviewItem>
      <errorID>21145eb5-d3e0-4101-acdb-2bedbef09764</errorID>
      <errorWord>&lt;</errorWord>
      <group>L1_Format</group>
      <groupName>格式问题</groupName>
      <ability>L2_HalfPunc</ability>
      <abilityName>全半角检查</abilityName>
      <candidateList>
        <item>〈</item>
      </candidateList>
      <explain>文本全半角错误。</explain>
      <paraID>5A8E257D</paraID>
      <start>9</start>
      <end>10</end>
      <status>unmodified</status>
      <modifiedWord/>
      <trackRevisions>false</trackRevisions>
    </reviewItem>
    <reviewItem>
      <errorID>d9b15490-dfbe-4618-99ad-051370da3ca0</errorID>
      <errorWord>&gt;</errorWord>
      <group>L1_Format</group>
      <groupName>格式问题</groupName>
      <ability>L2_HalfPunc</ability>
      <abilityName>全半角检查</abilityName>
      <candidateList>
        <item>〉</item>
      </candidateList>
      <explain>文本全半角错误。</explain>
      <paraID>5A8E257D</paraID>
      <start>22</start>
      <end>23</end>
      <status>unmodified</status>
      <modifiedWord/>
      <trackRevisions>false</trackRevisions>
    </reviewItem>
    <reviewItem>
      <errorID>c3c2c65c-3d33-4d32-8def-e9f250d8f129</errorID>
      <errorWord>&lt;</errorWord>
      <group>L1_Format</group>
      <groupName>格式问题</groupName>
      <ability>L2_HalfPunc</ability>
      <abilityName>全半角检查</abilityName>
      <candidateList>
        <item>〈</item>
      </candidateList>
      <explain>文本全半角错误。</explain>
      <paraID>20959FAD</paraID>
      <start>9</start>
      <end>10</end>
      <status>unmodified</status>
      <modifiedWord/>
      <trackRevisions>false</trackRevisions>
    </reviewItem>
    <reviewItem>
      <errorID>84baba5a-2cb4-4363-8b1b-42909900a5bb</errorID>
      <errorWord>&gt;的通知》</errorWord>
      <group>L1_Punc</group>
      <groupName>标点问题</groupName>
      <ability>L2_Punc</ability>
      <abilityName>标点符号检查</abilityName>
      <candidateList>
        <item>〉的通知》</item>
      </candidateList>
      <explain/>
      <paraID>20959FAD</paraID>
      <start>36</start>
      <end>41</end>
      <status>unmodified</status>
      <modifiedWord/>
      <trackRevisions>false</trackRevisions>
    </reviewItem>
    <reviewItem>
      <errorID>46e30330-f0b4-4bb7-b967-f5078638dbcb</errorID>
      <errorWord>人民代表大会常委会</errorWord>
      <group>L1_Political</group>
      <groupName>政治性问题</groupName>
      <ability>L2_Unpolitical</ability>
      <abilityName>政治敏感错误</abilityName>
      <candidateList>
        <item>人民代表大会常务委员会</item>
      </candidateList>
      <explain/>
      <paraID>73248EBF</paraID>
      <start>24</start>
      <end>33</end>
      <status>unmodified</status>
      <modifiedWord/>
      <trackRevisions>false</trackRevisions>
    </reviewItem>
    <reviewItem>
      <errorID>386ac2fb-b75f-40fe-8ae6-0d39733fbd01</errorID>
      <errorWord>&lt;</errorWord>
      <group>L1_Format</group>
      <groupName>格式问题</groupName>
      <ability>L2_HalfPunc</ability>
      <abilityName>全半角检查</abilityName>
      <candidateList>
        <item>〈</item>
      </candidateList>
      <explain>文本全半角错误。</explain>
      <paraID> 80F2BAB</paraID>
      <start>15</start>
      <end>16</end>
      <status>unmodified</status>
      <modifiedWord/>
      <trackRevisions>false</trackRevisions>
    </reviewItem>
    <reviewItem>
      <errorID>c19cf008-0f84-4085-9ba4-c0ec5302c76a</errorID>
      <errorWord>&gt;的通知》</errorWord>
      <group>L1_Punc</group>
      <groupName>标点问题</groupName>
      <ability>L2_Punc</ability>
      <abilityName>标点符号检查</abilityName>
      <candidateList>
        <item>〉的通知》</item>
      </candidateList>
      <explain/>
      <paraID> 80F2BAB</paraID>
      <start>25</start>
      <end>30</end>
      <status>unmodified</status>
      <modifiedWord/>
      <trackRevisions>false</trackRevisions>
    </reviewItem>
    <reviewItem>
      <errorID>0f599470-6498-4f2a-96fa-e655330c81ee</errorID>
      <errorWord>湖南省实施&lt;中华人民共和国土壤污染防治法&gt;办法</errorWord>
      <group>L1_Knowledge</group>
      <groupName>知识性问题</groupName>
      <ability>L2_Knowledge</ability>
      <abilityName>其他知识</abilityName>
      <candidateList>
        <item>湖南省实施〈中华人民共和国土壤污染防治法〉办法</item>
      </candidateList>
      <explain>当前法律法规未收录或尚未生效，注意核查是否正确。</explain>
      <paraID>2001ACA4</paraID>
      <start>4</start>
      <end>27</end>
      <status>unmodified</status>
      <modifiedWord/>
      <trackRevisions>false</trackRevisions>
    </reviewItem>
    <reviewItem>
      <errorID>7dd94eb5-8db6-4977-899f-0d850bc60732</errorID>
      <errorWord>&lt;</errorWord>
      <group>L1_Format</group>
      <groupName>格式问题</groupName>
      <ability>L2_HalfPunc</ability>
      <abilityName>全半角检查</abilityName>
      <candidateList>
        <item>〈</item>
      </candidateList>
      <explain>文本全半角错误。</explain>
      <paraID>20BD2854</paraID>
      <start>19</start>
      <end>20</end>
      <status>unmodified</status>
      <modifiedWord/>
      <trackRevisions>false</trackRevisions>
    </reviewItem>
    <reviewItem>
      <errorID>fbc7a4ee-a57d-45b6-a126-87bd6ecc828f</errorID>
      <errorWord>&gt;的通知》</errorWord>
      <group>L1_Punc</group>
      <groupName>标点问题</groupName>
      <ability>L2_Punc</ability>
      <abilityName>标点符号检查</abilityName>
      <candidateList>
        <item>〉的通知》</item>
      </candidateList>
      <explain/>
      <paraID>20BD2854</paraID>
      <start>33</start>
      <end>38</end>
      <status>unmodified</status>
      <modifiedWord/>
      <trackRevisions>false</trackRevisions>
    </reviewItem>
    <reviewItem>
      <errorID>f7468bc3-bc31-4f0b-849b-7df860f94c0e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70011EDF</paraID>
      <start>45</start>
      <end>46</end>
      <status>unmodified</status>
      <modifiedWord/>
      <trackRevisions>false</trackRevisions>
    </reviewItem>
    <reviewItem>
      <errorID>32eba3ac-6053-47f8-9929-94935ede23f6</errorID>
      <errorWord>(</errorWord>
      <group>L1_Format</group>
      <groupName>格式问题</groupName>
      <ability>L2_HalfPunc</ability>
      <abilityName>全半角检查</abilityName>
      <candidateList>
        <item>（</item>
      </candidateList>
      <explain>文本全半角错误。</explain>
      <paraID>38A6BB07</paraID>
      <start>69</start>
      <end>70</end>
      <status>modified</status>
      <modifiedWord>（</modifiedWord>
      <trackRevisions>false</trackRevisions>
    </reviewItem>
    <reviewItem>
      <errorID>888110fb-7e48-4795-8f51-f3dda34132db</errorID>
      <errorWord>)</errorWord>
      <group>L1_Format</group>
      <groupName>格式问题</groupName>
      <ability>L2_HalfPunc</ability>
      <abilityName>全半角检查</abilityName>
      <candidateList>
        <item>）</item>
      </candidateList>
      <explain>文本全半角错误。</explain>
      <paraID>38A6BB07</paraID>
      <start>72</start>
      <end>73</end>
      <status>modified</status>
      <modifiedWord>）</modifiedWord>
      <trackRevisions>false</trackRevisions>
    </reviewItem>
    <reviewItem>
      <errorID>3f2e274a-c37f-4f6e-a431-6b424b8bdeff</errorID>
      <errorWord>重碳酸盐</errorWord>
      <group>L1_Knowledge</group>
      <groupName>知识性问题</groupName>
      <ability>L2_Term</ability>
      <abilityName>专业术语</abilityName>
      <candidateList>
        <item>碳酸氢盐</item>
      </candidateList>
      <explain>医学名词[重碳酸盐]为不规范表述或旧称，其规范书面表述为[碳酸氢盐]。</explain>
      <paraID> CEE5E18</paraID>
      <start>0</start>
      <end>4</end>
      <status>unmodified</status>
      <modifiedWord/>
      <trackRevisions>false</trackRevisions>
    </reviewItem>
    <reviewItem>
      <errorID>2c049787-f799-426e-8b63-50b4866107d6</errorID>
      <errorWord>（</errorWord>
      <group>L1_Punc</group>
      <groupName>标点问题</groupName>
      <ability>L2_Punc</ability>
      <abilityName>标点符号检查</abilityName>
      <candidateList/>
      <explain>同一形式括号套用。</explain>
      <paraID>508EE87E</paraID>
      <start>5</start>
      <end>6</end>
      <status>unmodified</status>
      <modifiedWord/>
      <trackRevisions>false</trackRevisions>
    </reviewItem>
    <reviewItem>
      <errorID>9d8f57cb-6617-48e0-ac05-15c80e62629c</errorID>
      <errorWord>）</errorWord>
      <group>L1_Punc</group>
      <groupName>标点问题</groupName>
      <ability>L2_Punc</ability>
      <abilityName>标点符号检查</abilityName>
      <candidateList/>
      <explain>同一形式括号套用。</explain>
      <paraID>508EE87E</paraID>
      <start>7</start>
      <end>8</end>
      <status>unmodified</status>
      <modifiedWord/>
      <trackRevisions>false</trackRevisions>
    </reviewItem>
    <reviewItem>
      <errorID>517dfce5-f8fd-48c0-a0f2-9e15da48d367</errorID>
      <errorWord>（</errorWord>
      <group>L1_Punc</group>
      <groupName>标点问题</groupName>
      <ability>L2_Punc</ability>
      <abilityName>标点符号检查</abilityName>
      <candidateList/>
      <explain>同一形式括号套用。</explain>
      <paraID>1E9A08F5</paraID>
      <start>5</start>
      <end>6</end>
      <status>unmodified</status>
      <modifiedWord/>
      <trackRevisions>false</trackRevisions>
    </reviewItem>
    <reviewItem>
      <errorID>c687ae88-a14c-4686-b6f8-7bcdc6fc5f21</errorID>
      <errorWord>）</errorWord>
      <group>L1_Punc</group>
      <groupName>标点问题</groupName>
      <ability>L2_Punc</ability>
      <abilityName>标点符号检查</abilityName>
      <candidateList/>
      <explain>同一形式括号套用。</explain>
      <paraID>1E9A08F5</paraID>
      <start>7</start>
      <end>8</end>
      <status>unmodified</status>
      <modifiedWord/>
      <trackRevisions>false</trackRevisions>
    </reviewItem>
    <reviewItem>
      <errorID>d4cc7313-978c-441e-a519-5c979c4b317e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47880434</paraID>
      <start>0</start>
      <end>2</end>
      <status>unmodified</status>
      <modifiedWord/>
      <trackRevisions>false</trackRevisions>
    </reviewItem>
    <reviewItem>
      <errorID>4671c66c-86a7-465a-8fde-888f8c4aea77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1716459C</paraID>
      <start>0</start>
      <end>2</end>
      <status>unmodified</status>
      <modifiedWord/>
      <trackRevisions>false</trackRevisions>
    </reviewItem>
    <reviewItem>
      <errorID>dd8dcbc0-9ea5-40f6-858c-2b3d61c87fcd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37A82B97</paraID>
      <start>0</start>
      <end>2</end>
      <status>unmodified</status>
      <modifiedWord/>
      <trackRevisions>false</trackRevisions>
    </reviewItem>
    <reviewItem>
      <errorID>e939690d-1cc5-49bf-89b2-6e50065cebc9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1E93A4D2</paraID>
      <start>0</start>
      <end>2</end>
      <status>unmodified</status>
      <modifiedWord/>
      <trackRevisions>false</trackRevisions>
    </reviewItem>
    <reviewItem>
      <errorID>84694513-27bc-4a32-90fe-f741a216cbc0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6FCFAD92</paraID>
      <start>0</start>
      <end>2</end>
      <status>unmodified</status>
      <modifiedWord/>
      <trackRevisions>false</trackRevisions>
    </reviewItem>
    <reviewItem>
      <errorID>9e33118d-c7a6-43be-a6aa-70ce8f3d2514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11D986B6</paraID>
      <start>0</start>
      <end>2</end>
      <status>unmodified</status>
      <modifiedWord/>
      <trackRevisions>false</trackRevisions>
    </reviewItem>
    <reviewItem>
      <errorID>9dce3d73-7fb9-40e2-9881-bfc15172bf72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102663B3</paraID>
      <start>0</start>
      <end>2</end>
      <status>unmodified</status>
      <modifiedWord/>
      <trackRevisions>false</trackRevisions>
    </reviewItem>
    <reviewItem>
      <errorID>df38a4e7-8ffc-4649-b175-729090cb7bca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700FC04D</paraID>
      <start>0</start>
      <end>2</end>
      <status>unmodified</status>
      <modifiedWord/>
      <trackRevisions>false</trackRevisions>
    </reviewItem>
    <reviewItem>
      <errorID>763c9bc0-e3fc-40a8-9251-89dc850a79ff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23E515E3</paraID>
      <start>0</start>
      <end>2</end>
      <status>unmodified</status>
      <modifiedWord/>
      <trackRevisions>false</trackRevisions>
    </reviewItem>
    <reviewItem>
      <errorID>a1024ea9-46c7-424f-8ef5-0859fb4a40bf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7A52C9FB</paraID>
      <start>0</start>
      <end>2</end>
      <status>unmodified</status>
      <modifiedWord/>
      <trackRevisions>false</trackRevisions>
    </reviewItem>
    <reviewItem>
      <errorID>a4e7a232-3b8c-4979-85a0-4673c0b0055f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73417551</paraID>
      <start>0</start>
      <end>2</end>
      <status>unmodified</status>
      <modifiedWord/>
      <trackRevisions>false</trackRevisions>
    </reviewItem>
    <reviewItem>
      <errorID>3632895b-ced8-4e6e-a61e-9f3b7059de63</errorID>
      <errorWord>（</errorWord>
      <group>L1_Punc</group>
      <groupName>标点问题</groupName>
      <ability>L2_Punc</ability>
      <abilityName>标点符号检查</abilityName>
      <candidateList/>
      <explain>同一形式括号套用。</explain>
      <paraID>1CA56476</paraID>
      <start>7</start>
      <end>8</end>
      <status>unmodified</status>
      <modifiedWord/>
      <trackRevisions>false</trackRevisions>
    </reviewItem>
    <reviewItem>
      <errorID>3231612c-862e-4944-acb9-b438d378f2c4</errorID>
      <errorWord>）</errorWord>
      <group>L1_Punc</group>
      <groupName>标点问题</groupName>
      <ability>L2_Punc</ability>
      <abilityName>标点符号检查</abilityName>
      <candidateList/>
      <explain>同一形式括号套用。</explain>
      <paraID>1CA56476</paraID>
      <start>9</start>
      <end>10</end>
      <status>unmodified</status>
      <modifiedWord/>
      <trackRevisions>false</trackRevisions>
    </reviewItem>
    <reviewItem>
      <errorID>7021a68b-63c1-45df-a6c2-24bf1ac6563c</errorID>
      <errorWord>，</errorWord>
      <group>L1_Word</group>
      <groupName>字词问题</groupName>
      <ability>L2_Typo</ability>
      <abilityName>字词错误</abilityName>
      <candidateList>
        <item>，以</item>
      </candidateList>
      <explain/>
      <paraID>577FCEDA</paraID>
      <start>63</start>
      <end>64</end>
      <status>unmodified</status>
      <modifiedWord/>
      <trackRevisions>false</trackRevisions>
    </reviewItem>
    <reviewItem>
      <errorID>68772e21-bbb9-4a69-9b1f-6bf4fd7f0327</errorID>
      <errorWord>)</errorWord>
      <group>L1_Format</group>
      <groupName>格式问题</groupName>
      <ability>L2_HalfPunc</ability>
      <abilityName>全半角检查</abilityName>
      <candidateList>
        <item>）</item>
      </candidateList>
      <explain>文本全半角错误。</explain>
      <paraID>74A10997</paraID>
      <start>12</start>
      <end>13</end>
      <status>modified</status>
      <modifiedWord>）</modifiedWord>
      <trackRevisions>false</trackRevisions>
    </reviewItem>
    <reviewItem>
      <errorID>334dcf90-337b-4ab3-940b-6aaacb2eb22c</errorID>
      <errorWord>(</errorWord>
      <group>L1_Format</group>
      <groupName>格式问题</groupName>
      <ability>L2_HalfPunc</ability>
      <abilityName>全半角检查</abilityName>
      <candidateList>
        <item>（</item>
      </candidateList>
      <explain>文本全半角错误。</explain>
      <paraID>2C2156EB</paraID>
      <start>9</start>
      <end>10</end>
      <status>modified</status>
      <modifiedWord>（</modifiedWord>
      <trackRevisions>false</trackRevisions>
    </reviewItem>
    <reviewItem>
      <errorID>ff27fc73-e20c-4da9-96d0-9e157bbb8253</errorID>
      <errorWord>)</errorWord>
      <group>L1_Format</group>
      <groupName>格式问题</groupName>
      <ability>L2_HalfPunc</ability>
      <abilityName>全半角检查</abilityName>
      <candidateList>
        <item>）</item>
      </candidateList>
      <explain>文本全半角错误。</explain>
      <paraID>2C2156EB</paraID>
      <start>13</start>
      <end>14</end>
      <status>modified</status>
      <modifiedWord>）</modifiedWord>
      <trackRevisions>false</trackRevisions>
    </reviewItem>
    <reviewItem>
      <errorID>864f38d0-4abf-4121-ac63-f2a537da0a26</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1EA4A145</paraID>
      <start>71</start>
      <end>76</end>
      <status>unmodified</status>
      <modifiedWord/>
      <trackRevisions>false</trackRevisions>
    </reviewItem>
    <reviewItem>
      <errorID>229c5ead-d3da-48e7-b582-ab39c21ae8e5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6051E8F6</paraID>
      <start>39</start>
      <end>40</end>
      <status>unmodified</status>
      <modifiedWord/>
      <trackRevisions>false</trackRevisions>
    </reviewItem>
    <reviewItem>
      <errorID>c7a951f1-dc41-4575-b668-ada55465052f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4825612A</paraID>
      <start>29</start>
      <end>30</end>
      <status>unmodified</status>
      <modifiedWord/>
      <trackRevisions>false</trackRevisions>
    </reviewItem>
    <reviewItem>
      <errorID>39ba64ad-e30b-4926-a8b3-0e4cd7bfb9b0</errorID>
      <errorWord>)</errorWord>
      <group>L1_Format</group>
      <groupName>格式问题</groupName>
      <ability>L2_HalfPunc</ability>
      <abilityName>全半角检查</abilityName>
      <candidateList>
        <item>）</item>
      </candidateList>
      <explain>文本全半角错误。</explain>
      <paraID>320C6BDC</paraID>
      <start>63</start>
      <end>64</end>
      <status>modified</status>
      <modifiedWord>）</modifiedWord>
      <trackRevisions>false</trackRevisions>
    </reviewItem>
    <reviewItem>
      <errorID>f6cb5639-0a8d-49b0-a1f1-e0faeaf52fb4</errorID>
      <errorWord>)</errorWord>
      <group>L1_Format</group>
      <groupName>格式问题</groupName>
      <ability>L2_HalfPunc</ability>
      <abilityName>全半角检查</abilityName>
      <candidateList>
        <item>）</item>
      </candidateList>
      <explain>文本全半角错误。</explain>
      <paraID>320C6BDC</paraID>
      <start>74</start>
      <end>75</end>
      <status>modified</status>
      <modifiedWord>）</modifiedWord>
      <trackRevisions>false</trackRevisions>
    </reviewItem>
    <reviewItem>
      <errorID>4ee94a26-9ab6-4d34-ad78-fea718523105</errorID>
      <errorWord>II类</errorWord>
      <group>L1_Knowledge</group>
      <groupName>知识性问题</groupName>
      <ability>L2_Knowledge</ability>
      <abilityName>其他知识</abilityName>
      <candidateList>
        <item>Ⅱ类</item>
      </candidateList>
      <explain/>
      <paraID>76BA4485</paraID>
      <start>148</start>
      <end>150</end>
      <status>modified</status>
      <modifiedWord>Ⅱ类</modifiedWord>
      <trackRevisions>false</trackRevisions>
    </reviewItem>
    <reviewItem>
      <errorID>919d5826-9eb6-4fae-bdf2-03fe55888b07</errorID>
      <errorWord>IV</errorWord>
      <group>L1_Knowledge</group>
      <groupName>知识性问题</groupName>
      <ability>L2_Knowledge</ability>
      <abilityName>其他知识</abilityName>
      <candidateList>
        <item>Ⅳ</item>
      </candidateList>
      <explain/>
      <paraID>678E269C</paraID>
      <start>0</start>
      <end>1</end>
      <status>modified</status>
      <modifiedWord>Ⅳ</modifiedWord>
      <trackRevisions>false</trackRevisions>
    </reviewItem>
    <reviewItem>
      <errorID>90e6b174-957e-4553-b930-f26f8fddde9a</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424866E2</paraID>
      <start>38</start>
      <end>42</end>
      <status>unmodified</status>
      <modifiedWord/>
      <trackRevisions>false</trackRevisions>
    </reviewItem>
    <reviewItem>
      <errorID>a15d9a01-d446-4745-bae9-30fb593d51cb</errorID>
      <errorWord>~</errorWord>
      <group>L1_Format</group>
      <groupName>格式问题</groupName>
      <ability>L2_HalfPunc</ability>
      <abilityName>全半角检查</abilityName>
      <candidateList>
        <item>～</item>
      </candidateList>
      <explain>文本全半角错误。</explain>
      <paraID>64AF6967</paraID>
      <start>3</start>
      <end>4</end>
      <status>unmodified</status>
      <modifiedWord/>
      <trackRevisions>false</trackRevisions>
    </reviewItem>
    <reviewItem>
      <errorID>4c4b0946-b263-40b7-8741-9cfd5f55e75f</errorID>
      <errorWord>~</errorWord>
      <group>L1_Format</group>
      <groupName>格式问题</groupName>
      <ability>L2_HalfPunc</ability>
      <abilityName>全半角检查</abilityName>
      <candidateList>
        <item>～</item>
      </candidateList>
      <explain>文本全半角错误。</explain>
      <paraID>67A01554</paraID>
      <start>3</start>
      <end>4</end>
      <status>unmodified</status>
      <modifiedWord/>
      <trackRevisions>false</trackRevisions>
    </reviewItem>
    <reviewItem>
      <errorID>b2122f11-8fee-4a86-9541-212c834aa60d</errorID>
      <errorWord>~</errorWord>
      <group>L1_Format</group>
      <groupName>格式问题</groupName>
      <ability>L2_HalfPunc</ability>
      <abilityName>全半角检查</abilityName>
      <candidateList>
        <item>～</item>
      </candidateList>
      <explain>文本全半角错误。</explain>
      <paraID>4600E967</paraID>
      <start>3</start>
      <end>4</end>
      <status>unmodified</status>
      <modifiedWord/>
      <trackRevisions>false</trackRevisions>
    </reviewItem>
    <reviewItem>
      <errorID>84f3c38c-b45a-4d0d-9a11-09bce089f7f9</errorID>
      <errorWord>~</errorWord>
      <group>L1_Format</group>
      <groupName>格式问题</groupName>
      <ability>L2_HalfPunc</ability>
      <abilityName>全半角检查</abilityName>
      <candidateList>
        <item>～</item>
      </candidateList>
      <explain>文本全半角错误。</explain>
      <paraID>598DFEDF</paraID>
      <start>3</start>
      <end>4</end>
      <status>unmodified</status>
      <modifiedWord/>
      <trackRevisions>false</trackRevisions>
    </reviewItem>
    <reviewItem>
      <errorID>dd53d216-a6b6-4e52-860d-4083a67177b8</errorID>
      <errorWord>~</errorWord>
      <group>L1_Format</group>
      <groupName>格式问题</groupName>
      <ability>L2_HalfPunc</ability>
      <abilityName>全半角检查</abilityName>
      <candidateList>
        <item>～</item>
      </candidateList>
      <explain>文本全半角错误。</explain>
      <paraID>7683D50D</paraID>
      <start>3</start>
      <end>4</end>
      <status>unmodified</status>
      <modifiedWord/>
      <trackRevisions>false</trackRevisions>
    </reviewItem>
    <reviewItem>
      <errorID>88289ab9-0d12-445d-a2cf-6ebf8989c75e</errorID>
      <errorWord>~</errorWord>
      <group>L1_Format</group>
      <groupName>格式问题</groupName>
      <ability>L2_HalfPunc</ability>
      <abilityName>全半角检查</abilityName>
      <candidateList>
        <item>～</item>
      </candidateList>
      <explain>文本全半角错误。</explain>
      <paraID>3AAAF1A7</paraID>
      <start>3</start>
      <end>4</end>
      <status>unmodified</status>
      <modifiedWord/>
      <trackRevisions>false</trackRevisions>
    </reviewItem>
    <reviewItem>
      <errorID>0127a46b-b397-48d5-9af1-9443d1f5c9eb</errorID>
      <errorWord>上世纪</errorWord>
      <group>L1_Word</group>
      <groupName>字词问题</groupName>
      <ability>L2_Typo</ability>
      <abilityName>字词错误</abilityName>
      <candidateList>
        <item>20世纪</item>
      </candidateList>
      <explain/>
      <paraID>68E7F783</paraID>
      <start>4</start>
      <end>7</end>
      <status>unmodified</status>
      <modifiedWord/>
      <trackRevisions>false</trackRevisions>
    </reviewItem>
    <reviewItem>
      <errorID>8baf211c-4322-47a5-9ed2-4cd6ed22cfc6</errorID>
      <errorWord>九十年代</errorWord>
      <group>L1_Word</group>
      <groupName>字词问题</groupName>
      <ability>L2_Typo</ability>
      <abilityName>字词错误</abilityName>
      <candidateList>
        <item>90年代</item>
      </candidateList>
      <explain/>
      <paraID>68E7F783</paraID>
      <start>7</start>
      <end>11</end>
      <status>unmodified</status>
      <modifiedWord/>
      <trackRevisions>false</trackRevisions>
    </reviewItem>
    <reviewItem>
      <errorID>ce321d6a-d514-4b0f-bd86-55e82b225b7a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5D409792</paraID>
      <start>0</start>
      <end>2</end>
      <status>unmodified</status>
      <modifiedWord/>
      <trackRevisions>false</trackRevisions>
    </reviewItem>
    <reviewItem>
      <errorID>84ba0773-19d7-4215-af81-557bb3dcc6c1</errorID>
      <errorWord>淋滤</errorWord>
      <group>L1_Word</group>
      <groupName>字词问题</groupName>
      <ability>L2_Typo</ability>
      <abilityName>字词错误</abilityName>
      <candidateList>
        <item>渗滤</item>
      </candidateList>
      <explain/>
      <paraID>3D8428C2</paraID>
      <start>16</start>
      <end>18</end>
      <status>modified</status>
      <modifiedWord>渗滤</modifiedWord>
      <trackRevisions>false</trackRevisions>
    </reviewItem>
    <reviewItem>
      <errorID>ecc69bfd-7971-4d1b-8d1c-a6882666ef0c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35912F86</paraID>
      <start>0</start>
      <end>2</end>
      <status>unmodified</status>
      <modifiedWord/>
      <trackRevisions>false</trackRevisions>
    </reviewItem>
    <reviewItem>
      <errorID>72b83e59-1abc-465e-877a-6c9e6073e2e3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727E9C45</paraID>
      <start>0</start>
      <end>2</end>
      <status>unmodified</status>
      <modifiedWord/>
      <trackRevisions>false</trackRevisions>
    </reviewItem>
    <reviewItem>
      <errorID>e4ebc9fa-b6f0-45b6-918d-62d187be7fcd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1B8EAD04</paraID>
      <start>80</start>
      <end>81</end>
      <status>unmodified</status>
      <modifiedWord/>
      <trackRevisions>false</trackRevisions>
    </reviewItem>
    <reviewItem>
      <errorID>0195398f-118c-4c0f-9c52-2d42b52d259f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1B8EAD04</paraID>
      <start>106</start>
      <end>107</end>
      <status>unmodified</status>
      <modifiedWord/>
      <trackRevisions>false</trackRevisions>
    </reviewItem>
    <reviewItem>
      <errorID>4f7e81fc-4f33-408d-86b6-47ea6db1ef93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7647DEB5</paraID>
      <start>205</start>
      <end>206</end>
      <status>unmodified</status>
      <modifiedWord/>
      <trackRevisions>false</trackRevisions>
    </reviewItem>
    <reviewItem>
      <errorID>64cac3c1-6c0c-49f5-b8a0-41bb6265cc29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2452517D</paraID>
      <start>31</start>
      <end>32</end>
      <status>unmodified</status>
      <modifiedWord/>
      <trackRevisions>false</trackRevisions>
    </reviewItem>
    <reviewItem>
      <errorID>c93334e6-7a76-4df6-9eec-e39a0bdde1d9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28E31141</paraID>
      <start>0</start>
      <end>2</end>
      <status>unmodified</status>
      <modifiedWord/>
      <trackRevisions>false</trackRevisions>
    </reviewItem>
    <reviewItem>
      <errorID>5a2eb3e8-83ff-4fd0-936a-a479ae849c42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4775376D</paraID>
      <start>0</start>
      <end>2</end>
      <status>unmodified</status>
      <modifiedWord/>
      <trackRevisions>false</trackRevisions>
    </reviewItem>
    <reviewItem>
      <errorID>16270340-8dff-4186-b377-4bbb29dca1c9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E124921</paraID>
      <start>0</start>
      <end>2</end>
      <status>unmodified</status>
      <modifiedWord/>
      <trackRevisions>false</trackRevisions>
    </reviewItem>
    <reviewItem>
      <errorID>6ff38e92-5dd7-48f3-b976-15d97063b328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19AA03CF</paraID>
      <start>0</start>
      <end>2</end>
      <status>unmodified</status>
      <modifiedWord/>
      <trackRevisions>false</trackRevisions>
    </reviewItem>
    <reviewItem>
      <errorID>16529f8a-60b3-40f7-96d5-0263129a1ca2</errorID>
      <errorWord>试行</errorWord>
      <group>L1_Word</group>
      <groupName>字词问题</groupName>
      <ability>L2_Typo</ability>
      <abilityName>字词错误</abilityName>
      <candidateList>
        <item>实行</item>
      </candidateList>
      <explain>〈动〉用行动来实现（纲领、政策、计划等）：～改革｜～承包责任制。</explain>
      <paraID>5C91C9BB</paraID>
      <start>9</start>
      <end>11</end>
      <status>modified</status>
      <modifiedWord>实行</modifiedWord>
      <trackRevisions>false</trackRevisions>
    </reviewItem>
    <reviewItem>
      <errorID>ada04101-a1e2-49d5-beb2-e2153652fe24</errorID>
      <errorWord>~</errorWord>
      <group>L1_Format</group>
      <groupName>格式问题</groupName>
      <ability>L2_HalfPunc</ability>
      <abilityName>全半角检查</abilityName>
      <candidateList>
        <item>～</item>
      </candidateList>
      <explain>文本全半角错误。</explain>
      <paraID>5C91C9BB</paraID>
      <start>72</start>
      <end>73</end>
      <status>unmodified</status>
      <modifiedWord/>
      <trackRevisions>false</trackRevisions>
    </reviewItem>
    <reviewItem>
      <errorID>b15d735a-84f2-4128-bf72-49dc4e446f85</errorID>
      <errorWord>~</errorWord>
      <group>L1_Format</group>
      <groupName>格式问题</groupName>
      <ability>L2_HalfPunc</ability>
      <abilityName>全半角检查</abilityName>
      <candidateList>
        <item>～</item>
      </candidateList>
      <explain>文本全半角错误。</explain>
      <paraID>5C91C9BB</paraID>
      <start>89</start>
      <end>90</end>
      <status>unmodified</status>
      <modifiedWord/>
      <trackRevisions>false</trackRevisions>
    </reviewItem>
    <reviewItem>
      <errorID>d3ddc32a-2256-407d-8f50-4c00c6dc181a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5056177F</paraID>
      <start>0</start>
      <end>2</end>
      <status>unmodified</status>
      <modifiedWord/>
      <trackRevisions>false</trackRevisions>
    </reviewItem>
    <reviewItem>
      <errorID>9956b7d7-9b17-4b88-84ec-3116f8fe6f2f</errorID>
      <errorWord>~</errorWord>
      <group>L1_Format</group>
      <groupName>格式问题</groupName>
      <ability>L2_HalfPunc</ability>
      <abilityName>全半角检查</abilityName>
      <candidateList>
        <item>～</item>
      </candidateList>
      <explain>文本全半角错误。</explain>
      <paraID>5E995ABD</paraID>
      <start>67</start>
      <end>68</end>
      <status>unmodified</status>
      <modifiedWord/>
      <trackRevisions>false</trackRevisions>
    </reviewItem>
    <reviewItem>
      <errorID>b4fc1315-8da6-4013-a12e-64ef6ba7980f</errorID>
      <errorWord>2~3%</errorWord>
      <group>L1_Knowledge</group>
      <groupName>知识性问题</groupName>
      <ability>L2_Knowledge</ability>
      <abilityName>其他知识</abilityName>
      <candidateList>
        <item>2%～3%</item>
      </candidateList>
      <explain>1. “2~3%”中的单位“%”仅出现在后一个数字上，容易引起歧义；根据《现代汉语标点符号数字用法规范手册》，数字表示范围两边需要使用统一的格式。2. 根据标点国标 4.13 中的规则，数字、时间或地域连接符应使用（视觉上更长的）“—”或“～”。</explain>
      <paraID>5E995ABD</paraID>
      <start>91</start>
      <end>95</end>
      <status>unmodified</status>
      <modifiedWord/>
      <trackRevisions>false</trackRevisions>
    </reviewItem>
    <reviewItem>
      <errorID>0c4bda1e-ccef-46e2-9854-ef36ca7e2f4a</errorID>
      <errorWord>~</errorWord>
      <group>L1_Format</group>
      <groupName>格式问题</groupName>
      <ability>L2_HalfPunc</ability>
      <abilityName>全半角检查</abilityName>
      <candidateList>
        <item>～</item>
      </candidateList>
      <explain>文本全半角错误。</explain>
      <paraID>3498CD17</paraID>
      <start>53</start>
      <end>54</end>
      <status>unmodified</status>
      <modifiedWord/>
      <trackRevisions>false</trackRevisions>
    </reviewItem>
    <reviewItem>
      <errorID>f2103aae-156c-49cf-9a02-cd0e4f51b5c9</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6F6037AF</paraID>
      <start>0</start>
      <end>2</end>
      <status>unmodified</status>
      <modifiedWord/>
      <trackRevisions>false</trackRevisions>
    </reviewItem>
    <reviewItem>
      <errorID>511071a9-3192-4901-95fc-7140a734cecf</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6B9770ED</paraID>
      <start>0</start>
      <end>2</end>
      <status>unmodified</status>
      <modifiedWord/>
      <trackRevisions>false</trackRevisions>
    </reviewItem>
    <reviewItem>
      <errorID>161501b2-b4e4-42ab-8cfb-5cf552743915</errorID>
      <errorWord>~</errorWord>
      <group>L1_Format</group>
      <groupName>格式问题</groupName>
      <ability>L2_HalfPunc</ability>
      <abilityName>全半角检查</abilityName>
      <candidateList>
        <item>～</item>
      </candidateList>
      <explain>文本全半角错误。</explain>
      <paraID>53949DEF</paraID>
      <start>1</start>
      <end>2</end>
      <status>unmodified</status>
      <modifiedWord/>
      <trackRevisions>false</trackRevisions>
    </reviewItem>
    <reviewItem>
      <errorID>ab1d5775-ed60-42cf-ac11-2f6acb2eae54</errorID>
      <errorWord>~</errorWord>
      <group>L1_Format</group>
      <groupName>格式问题</groupName>
      <ability>L2_HalfPunc</ability>
      <abilityName>全半角检查</abilityName>
      <candidateList>
        <item>～</item>
      </candidateList>
      <explain>文本全半角错误。</explain>
      <paraID>662AA249</paraID>
      <start>270</start>
      <end>271</end>
      <status>unmodified</status>
      <modifiedWord/>
      <trackRevisions>false</trackRevisions>
    </reviewItem>
    <reviewItem>
      <errorID>758f0de1-4546-4a40-886e-77f6302ddfdd</errorID>
      <errorWord>绝不能</errorWord>
      <group>L1_Word</group>
      <groupName>字词问题</groupName>
      <ability>L2_Typo</ability>
      <abilityName>字词错误</abilityName>
      <candidateList>
        <item>决不能</item>
      </candidateList>
      <explain/>
      <paraID>7ED232DE</paraID>
      <start>110</start>
      <end>113</end>
      <status>modified</status>
      <modifiedWord>决不能</modifiedWord>
      <trackRevisions>false</trackRevisions>
    </reviewItem>
    <reviewItem>
      <errorID>113e3aae-dd2c-4ae0-8d4f-81d6cd3c4778</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3618023A</paraID>
      <start>0</start>
      <end>3</end>
      <status>unmodified</status>
      <modifiedWord/>
      <trackRevisions>false</trackRevisions>
    </reviewItem>
    <reviewItem>
      <errorID>682bac9f-739a-418b-88d8-23bbde7bef5c</errorID>
      <errorWord>~</errorWord>
      <group>L1_Format</group>
      <groupName>格式问题</groupName>
      <ability>L2_HalfPunc</ability>
      <abilityName>全半角检查</abilityName>
      <candidateList>
        <item>～</item>
      </candidateList>
      <explain>文本全半角错误。</explain>
      <paraID>60958559</paraID>
      <start>22</start>
      <end>23</end>
      <status>unmodified</status>
      <modifiedWord/>
      <trackRevisions>false</trackRevisions>
    </reviewItem>
    <reviewItem>
      <errorID>99d3d2f2-5da2-45d8-9010-7d5da80dfe38</errorID>
      <errorWord>~</errorWord>
      <group>L1_Format</group>
      <groupName>格式问题</groupName>
      <ability>L2_HalfPunc</ability>
      <abilityName>全半角检查</abilityName>
      <candidateList>
        <item>～</item>
      </candidateList>
      <explain>文本全半角错误。</explain>
      <paraID>753200DA</paraID>
      <start>46</start>
      <end>47</end>
      <status>unmodified</status>
      <modifiedWord/>
      <trackRevisions>false</trackRevisions>
    </reviewItem>
    <reviewItem>
      <errorID>1e624cc7-a364-4e04-81e9-ad62dcefac94</errorID>
      <errorWord>~</errorWord>
      <group>L1_Format</group>
      <groupName>格式问题</groupName>
      <ability>L2_HalfPunc</ability>
      <abilityName>全半角检查</abilityName>
      <candidateList>
        <item>～</item>
      </candidateList>
      <explain>文本全半角错误。</explain>
      <paraID>6F07A9F7</paraID>
      <start>46</start>
      <end>47</end>
      <status>unmodified</status>
      <modifiedWord/>
      <trackRevisions>false</trackRevisions>
    </reviewItem>
    <reviewItem>
      <errorID>0f00fead-2e74-4ecc-8caf-af79660129da</errorID>
      <errorWord>计</errorWord>
      <group>L1_Word</group>
      <groupName>字词问题</groupName>
      <ability>L2_Typo</ability>
      <abilityName>字词错误</abilityName>
      <candidateList>
        <item>计算</item>
      </candidateList>
      <explain/>
      <paraID>5825E647</paraID>
      <start>124</start>
      <end>125</end>
      <status>unmodified</status>
      <modifiedWord/>
      <trackRevisions>false</trackRevisions>
    </reviewItem>
    <reviewItem>
      <errorID>0c0dab34-f00a-41f1-bd76-adfd99d4c1c7</errorID>
      <errorWord>计</errorWord>
      <group>L1_Word</group>
      <groupName>字词问题</groupName>
      <ability>L2_Typo</ability>
      <abilityName>字词错误</abilityName>
      <candidateList>
        <item>计算</item>
      </candidateList>
      <explain/>
      <paraID>59B468A1</paraID>
      <start>52</start>
      <end>53</end>
      <status>unmodified</status>
      <modifiedWord/>
      <trackRevisions>false</trackRevisions>
    </reviewItem>
    <reviewItem>
      <errorID>1fcb3b76-7d4a-4eea-8eef-a4da7696e8c8</errorID>
      <errorWord>计</errorWord>
      <group>L1_Word</group>
      <groupName>字词问题</groupName>
      <ability>L2_Typo</ability>
      <abilityName>字词错误</abilityName>
      <candidateList>
        <item>计算</item>
      </candidateList>
      <explain/>
      <paraID>30C08141</paraID>
      <start>54</start>
      <end>55</end>
      <status>unmodified</status>
      <modifiedWord/>
      <trackRevisions>false</trackRevisions>
    </reviewItem>
    <reviewItem>
      <errorID>7891fddd-f087-4286-80a6-765ec80a0d17</errorID>
      <errorWord>~</errorWord>
      <group>L1_Format</group>
      <groupName>格式问题</groupName>
      <ability>L2_HalfPunc</ability>
      <abilityName>全半角检查</abilityName>
      <candidateList>
        <item>～</item>
      </candidateList>
      <explain>文本全半角错误。</explain>
      <paraID>29CF3FED</paraID>
      <start>251</start>
      <end>252</end>
      <status>unmodified</status>
      <modifiedWord/>
      <trackRevisions>false</trackRevisions>
    </reviewItem>
    <reviewItem>
      <errorID>81433fa1-a82e-47e7-8672-c1533ea21c5d</errorID>
      <errorWord>~</errorWord>
      <group>L1_Format</group>
      <groupName>格式问题</groupName>
      <ability>L2_HalfPunc</ability>
      <abilityName>全半角检查</abilityName>
      <candidateList>
        <item>～</item>
      </candidateList>
      <explain>文本全半角错误。</explain>
      <paraID>29CF3FED</paraID>
      <start>266</start>
      <end>267</end>
      <status>unmodified</status>
      <modifiedWord/>
      <trackRevisions>false</trackRevisions>
    </reviewItem>
    <reviewItem>
      <errorID>4b8bf17a-d937-4e28-aed3-8aba7859c282</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6577FFCA</paraID>
      <start>26</start>
      <end>28</end>
      <status>unmodified</status>
      <modifiedWord/>
      <trackRevisions>false</trackRevisions>
    </reviewItem>
    <reviewItem>
      <errorID>c1d81ce8-b261-46c9-a233-8f934542c5ed</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733E42DE</paraID>
      <start>19</start>
      <end>21</end>
      <status>unmodified</status>
      <modifiedWord/>
      <trackRevisions>false</trackRevisions>
    </reviewItem>
    <reviewItem>
      <errorID>c2ce1167-4006-4ea4-b112-4ce0473ad5c4</errorID>
      <errorWord>于污水处理</errorWord>
      <group>L1_Knowledge</group>
      <groupName>知识性问题</groupName>
      <ability>L2_Term</ability>
      <abilityName>专业术语</abilityName>
      <candidateList>
        <item>油污水处理</item>
      </candidateList>
      <explain/>
      <paraID>3DEF878F</paraID>
      <start>14</start>
      <end>19</end>
      <status>unmodified</status>
      <modifiedWord/>
      <trackRevisions>false</trackRevisions>
    </reviewItem>
    <reviewItem>
      <errorID>5df0fd2c-ef85-4a9c-9d27-a3da34a1f631</errorID>
      <errorWord>乔草相结合</errorWord>
      <group>L1_Political</group>
      <groupName>政治性问题</groupName>
      <ability>L2_Keyword</ability>
      <abilityName>固定表述</abilityName>
      <candidateList>
        <item>乔灌草相结合</item>
      </candidateList>
      <explain>词汇“乔灌草相结合”在特定场景下为固定表述形式，请确认此处的“乔草相结合”是否存在不当。</explain>
      <paraID>433663A4</paraID>
      <start>58</start>
      <end>63</end>
      <status>unmodified</status>
      <modifiedWord/>
      <trackRevisions>false</trackRevisions>
    </reviewItem>
    <reviewItem>
      <errorID>a2fda6b7-16a0-41fe-9962-74ff8cc79d01</errorID>
      <errorWord>（</errorWord>
      <group>L1_Format</group>
      <groupName>格式问题</groupName>
      <ability>L2_HalfPunc</ability>
      <abilityName>全半角检查</abilityName>
      <candidateList>
        <item>(</item>
      </candidateList>
      <explain>文本全半角错误。</explain>
      <paraID>21FEB761</paraID>
      <start>0</start>
      <end>1</end>
      <status>unmodified</status>
      <modifiedWord/>
      <trackRevisions>false</trackRevisions>
    </reviewItem>
    <reviewItem>
      <errorID>4d1428fc-d18a-46dd-849f-95c1f75dfb51</errorID>
      <errorWord>）</errorWord>
      <group>L1_Format</group>
      <groupName>格式问题</groupName>
      <ability>L2_HalfPunc</ability>
      <abilityName>全半角检查</abilityName>
      <candidateList>
        <item>)</item>
      </candidateList>
      <explain>文本全半角错误。</explain>
      <paraID>21FEB761</paraID>
      <start>6</start>
      <end>7</end>
      <status>unmodified</status>
      <modifiedWord/>
      <trackRevisions>false</trackRevisions>
    </reviewItem>
    <reviewItem>
      <errorID>c71038ee-0e84-4b8f-b9d9-80b7eb774e44</errorID>
      <errorWord>回用</errorWord>
      <group>L1_Word</group>
      <groupName>字词问题</groupName>
      <ability>L2_Typo</ability>
      <abilityName>字词错误</abilityName>
      <candidateList>
        <item>可用</item>
      </candidateList>
      <explain/>
      <paraID>54B6AD75</paraID>
      <start>6</start>
      <end>8</end>
      <status>unmodified</status>
      <modifiedWord/>
      <trackRevisions>false</trackRevisions>
    </reviewItem>
    <reviewItem>
      <errorID>7889782e-6e73-4377-8072-7a812e57ead8</errorID>
      <errorWord>（</errorWord>
      <group>L1_Format</group>
      <groupName>格式问题</groupName>
      <ability>L2_HalfPunc</ability>
      <abilityName>全半角检查</abilityName>
      <candidateList>
        <item>(</item>
      </candidateList>
      <explain>文本全半角错误。</explain>
      <paraID>40B21275</paraID>
      <start>0</start>
      <end>1</end>
      <status>unmodified</status>
      <modifiedWord/>
      <trackRevisions>false</trackRevisions>
    </reviewItem>
    <reviewItem>
      <errorID>c2d6fd1a-4360-41a9-bdcd-7d5a40b55f6c</errorID>
      <errorWord>）</errorWord>
      <group>L1_Format</group>
      <groupName>格式问题</groupName>
      <ability>L2_HalfPunc</ability>
      <abilityName>全半角检查</abilityName>
      <candidateList>
        <item>)</item>
      </candidateList>
      <explain>文本全半角错误。</explain>
      <paraID>40B21275</paraID>
      <start>9</start>
      <end>10</end>
      <status>unmodified</status>
      <modifiedWord/>
      <trackRevisions>false</trackRevisions>
    </reviewItem>
    <reviewItem>
      <errorID>cd75b16e-2e6b-4a75-8b5f-55d42ae1d370</errorID>
      <errorWord>（</errorWord>
      <group>L1_Format</group>
      <groupName>格式问题</groupName>
      <ability>L2_HalfPunc</ability>
      <abilityName>全半角检查</abilityName>
      <candidateList>
        <item>(</item>
      </candidateList>
      <explain>文本全半角错误。</explain>
      <paraID>6B8B96C8</paraID>
      <start>0</start>
      <end>1</end>
      <status>unmodified</status>
      <modifiedWord/>
      <trackRevisions>false</trackRevisions>
    </reviewItem>
    <reviewItem>
      <errorID>87131c2e-492f-41c4-bee6-695a450fb7f2</errorID>
      <errorWord>）</errorWord>
      <group>L1_Format</group>
      <groupName>格式问题</groupName>
      <ability>L2_HalfPunc</ability>
      <abilityName>全半角检查</abilityName>
      <candidateList>
        <item>)</item>
      </candidateList>
      <explain>文本全半角错误。</explain>
      <paraID>6B8B96C8</paraID>
      <start>9</start>
      <end>10</end>
      <status>unmodified</status>
      <modifiedWord/>
      <trackRevisions>false</trackRevisions>
    </reviewItem>
    <reviewItem>
      <errorID>0d488f6c-c1cf-48bb-bfbe-104c63acf683</errorID>
      <errorWord>年平</errorWord>
      <group>L1_Word</group>
      <groupName>字词问题</groupName>
      <ability>L2_Typo</ability>
      <abilityName>字词错误</abilityName>
      <candidateList>
        <item>年均</item>
      </candidateList>
      <explain/>
      <paraID>2DEA2846</paraID>
      <start>106</start>
      <end>108</end>
      <status>unmodified</status>
      <modifiedWord/>
      <trackRevisions>false</trackRevisions>
    </reviewItem>
    <reviewItem>
      <errorID>71b79d96-24bf-419e-82d8-779f81a06da5</errorID>
      <errorWord>海拔高度</errorWord>
      <group>L1_Word</group>
      <groupName>字词问题</groupName>
      <ability>L2_Typo</ability>
      <abilityName>字词错误</abilityName>
      <candidateList>
        <item>海拔</item>
      </candidateList>
      <explain>〈名〉从平均海平面起算的高度。</explain>
      <paraID>416A87BA</paraID>
      <start>177</start>
      <end>181</end>
      <status>unmodified</status>
      <modifiedWord/>
      <trackRevisions>false</trackRevisions>
    </reviewItem>
    <reviewItem>
      <errorID>b7bc7790-8fc4-4e57-9c2a-1e6680baa0d4</errorID>
      <errorWord>~</errorWord>
      <group>L1_Format</group>
      <groupName>格式问题</groupName>
      <ability>L2_HalfPunc</ability>
      <abilityName>全半角检查</abilityName>
      <candidateList>
        <item>～</item>
      </candidateList>
      <explain>文本全半角错误。</explain>
      <paraID>416A87BA</paraID>
      <start>185</start>
      <end>186</end>
      <status>unmodified</status>
      <modifiedWord/>
      <trackRevisions>false</trackRevisions>
    </reviewItem>
    <reviewItem>
      <errorID>91428fbe-251b-4508-b875-fd2cb0bbb122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121D16E8</paraID>
      <start>0</start>
      <end>2</end>
      <status>unmodified</status>
      <modifiedWord/>
      <trackRevisions>false</trackRevisions>
    </reviewItem>
    <reviewItem>
      <errorID>705338b7-20c5-4701-a6d2-dd4000f2a85d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45BFE198</paraID>
      <start>0</start>
      <end>2</end>
      <status>unmodified</status>
      <modifiedWord/>
      <trackRevisions>false</trackRevisions>
    </reviewItem>
    <reviewItem>
      <errorID>e92e9c16-3aec-46eb-b463-671daba6b076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6E1D4986</paraID>
      <start>0</start>
      <end>2</end>
      <status>unmodified</status>
      <modifiedWord/>
      <trackRevisions>false</trackRevisions>
    </reviewItem>
    <reviewItem>
      <errorID>d38b92a0-0fa2-47dc-9b1e-71169d0e65e1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548331EC</paraID>
      <start>0</start>
      <end>2</end>
      <status>unmodified</status>
      <modifiedWord/>
      <trackRevisions>false</trackRevisions>
    </reviewItem>
    <reviewItem>
      <errorID>667c10c4-84bc-4b59-868f-e2bc48e09533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1CB9779C</paraID>
      <start>123</start>
      <end>124</end>
      <status>unmodified</status>
      <modifiedWord/>
      <trackRevisions>false</trackRevisions>
    </reviewItem>
    <reviewItem>
      <errorID>dfbf260b-16cb-488a-a36f-4e7f6041d023</errorID>
      <errorWord>（</errorWord>
      <group>L1_Format</group>
      <groupName>格式问题</groupName>
      <ability>L2_HalfPunc</ability>
      <abilityName>全半角检查</abilityName>
      <candidateList>
        <item>(</item>
      </candidateList>
      <explain>文本全半角错误。</explain>
      <paraID>260C4666</paraID>
      <start>0</start>
      <end>1</end>
      <status>unmodified</status>
      <modifiedWord/>
      <trackRevisions>false</trackRevisions>
    </reviewItem>
    <reviewItem>
      <errorID>23368402-4e09-4511-b538-8f42eb1e86e6</errorID>
      <errorWord>）</errorWord>
      <group>L1_Format</group>
      <groupName>格式问题</groupName>
      <ability>L2_HalfPunc</ability>
      <abilityName>全半角检查</abilityName>
      <candidateList>
        <item>)</item>
      </candidateList>
      <explain>文本全半角错误。</explain>
      <paraID>260C4666</paraID>
      <start>6</start>
      <end>7</end>
      <status>unmodified</status>
      <modifiedWord/>
      <trackRevisions>false</trackRevisions>
    </reviewItem>
    <reviewItem>
      <errorID>d698a134-6216-48bd-b2fc-7b6ad2e42eea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520DCC5A</paraID>
      <start>0</start>
      <end>2</end>
      <status>unmodified</status>
      <modifiedWord/>
      <trackRevisions>false</trackRevisions>
    </reviewItem>
    <reviewItem>
      <errorID>d54a243a-3367-4a36-a034-4379b1f53d7f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64C51BEE</paraID>
      <start>0</start>
      <end>2</end>
      <status>unmodified</status>
      <modifiedWord/>
      <trackRevisions>false</trackRevisions>
    </reviewItem>
    <reviewItem>
      <errorID>1e7a7419-c170-4614-9a16-20fdd77725a2</errorID>
      <errorWord>；</errorWord>
      <group>L1_Word</group>
      <groupName>字词问题</groupName>
      <ability>L2_Typo</ability>
      <abilityName>字词错误</abilityName>
      <candidateList>
        <item>；在</item>
      </candidateList>
      <explain/>
      <paraID> F65E929</paraID>
      <start>49</start>
      <end>51</end>
      <status>modified</status>
      <modifiedWord>；在</modifiedWord>
      <trackRevisions>false</trackRevisions>
    </reviewItem>
    <reviewItem>
      <errorID>da38ee16-86e8-44f6-ae1c-694829330209</errorID>
      <errorWord>(</errorWord>
      <group>L1_Format</group>
      <groupName>格式问题</groupName>
      <ability>L2_HalfPunc</ability>
      <abilityName>全半角检查</abilityName>
      <candidateList>
        <item>（</item>
      </candidateList>
      <explain>文本全半角错误。</explain>
      <paraID>38F1D9A8</paraID>
      <start>75</start>
      <end>76</end>
      <status>modified</status>
      <modifiedWord>（</modifiedWord>
      <trackRevisions>false</trackRevisions>
    </reviewItem>
    <reviewItem>
      <errorID>f9e30744-8dce-480f-af61-b0b2ab9e92a9</errorID>
      <errorWord>)</errorWord>
      <group>L1_Format</group>
      <groupName>格式问题</groupName>
      <ability>L2_HalfPunc</ability>
      <abilityName>全半角检查</abilityName>
      <candidateList>
        <item>）</item>
      </candidateList>
      <explain>文本全半角错误。</explain>
      <paraID>38F1D9A8</paraID>
      <start>78</start>
      <end>79</end>
      <status>modified</status>
      <modifiedWord>）</modifiedWord>
      <trackRevisions>false</trackRevisions>
    </reviewItem>
    <reviewItem>
      <errorID>ad8c3555-fdb3-481e-a1c4-2c45cb071c94</errorID>
      <errorWord>(</errorWord>
      <group>L1_Format</group>
      <groupName>格式问题</groupName>
      <ability>L2_HalfPunc</ability>
      <abilityName>全半角检查</abilityName>
      <candidateList>
        <item>（</item>
      </candidateList>
      <explain>文本全半角错误。</explain>
      <paraID>4AB74F30</paraID>
      <start>17</start>
      <end>18</end>
      <status>modified</status>
      <modifiedWord>（</modifiedWord>
      <trackRevisions>false</trackRevisions>
    </reviewItem>
    <reviewItem>
      <errorID>0ad946c6-f8eb-4ff4-bbd7-ed9c5a7ea641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3F9A754B</paraID>
      <start>0</start>
      <end>2</end>
      <status>unmodified</status>
      <modifiedWord/>
      <trackRevisions>false</trackRevisions>
    </reviewItem>
    <reviewItem>
      <errorID>702e56a9-5a99-4a84-b31d-0cb4dd4f4154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2885CF3F</paraID>
      <start>0</start>
      <end>2</end>
      <status>unmodified</status>
      <modifiedWord/>
      <trackRevisions>false</trackRevisions>
    </reviewItem>
    <reviewItem>
      <errorID>4d9e67e1-98d3-4a02-91ce-fa6926ca3f7c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2F131F18</paraID>
      <start>0</start>
      <end>2</end>
      <status>unmodified</status>
      <modifiedWord/>
      <trackRevisions>false</trackRevisions>
    </reviewItem>
    <reviewItem>
      <errorID>e7689691-ed5a-42e7-be2e-adee1c6468c6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400CE336</paraID>
      <start>0</start>
      <end>2</end>
      <status>unmodified</status>
      <modifiedWord/>
      <trackRevisions>false</trackRevisions>
    </reviewItem>
    <reviewItem>
      <errorID>96ccb8de-f869-43e9-a159-653210014b6d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5F99F4C</paraID>
      <start>0</start>
      <end>2</end>
      <status>unmodified</status>
      <modifiedWord/>
      <trackRevisions>false</trackRevisions>
    </reviewItem>
    <reviewItem>
      <errorID>92d7dfc3-d426-4fe5-876a-96a4a48472b1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7D3F41D5</paraID>
      <start>0</start>
      <end>2</end>
      <status>unmodified</status>
      <modifiedWord/>
      <trackRevisions>false</trackRevisions>
    </reviewItem>
    <reviewItem>
      <errorID>99d074c6-9654-4d1b-a768-0a4a46994b1b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1959A2D</paraID>
      <start>0</start>
      <end>2</end>
      <status>unmodified</status>
      <modifiedWord/>
      <trackRevisions>false</trackRevisions>
    </reviewItem>
    <reviewItem>
      <errorID>151d3e4c-dd4e-406a-9f7e-fd7238982a6c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2BF68BC3</paraID>
      <start>0</start>
      <end>2</end>
      <status>unmodified</status>
      <modifiedWord/>
      <trackRevisions>false</trackRevisions>
    </reviewItem>
    <reviewItem>
      <errorID>3e0c9eb3-a0bf-434c-8cb8-77f93b04a0a0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62B81C95</paraID>
      <start>0</start>
      <end>2</end>
      <status>unmodified</status>
      <modifiedWord/>
      <trackRevisions>false</trackRevisions>
    </reviewItem>
    <reviewItem>
      <errorID>8f1927a8-333d-40ea-8a55-a5bc8854721d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7438EB31</paraID>
      <start>0</start>
      <end>2</end>
      <status>unmodified</status>
      <modifiedWord/>
      <trackRevisions>false</trackRevisions>
    </reviewItem>
    <reviewItem>
      <errorID>edf0e716-1572-42c8-964f-d584733dcde2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407D78E0</paraID>
      <start>0</start>
      <end>2</end>
      <status>unmodified</status>
      <modifiedWord/>
      <trackRevisions>false</trackRevisions>
    </reviewItem>
    <reviewItem>
      <errorID>c108b8c2-d3b1-4c06-842e-9ad071ccd4c6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4FA8BDE1</paraID>
      <start>0</start>
      <end>2</end>
      <status>unmodified</status>
      <modifiedWord/>
      <trackRevisions>false</trackRevisions>
    </reviewItem>
    <reviewItem>
      <errorID>56e0167a-4a29-4ee8-a850-6b348f69a7f8</errorID>
      <errorWord>,</errorWord>
      <group>L1_Format</group>
      <groupName>格式问题</groupName>
      <ability>L2_HalfPunc</ability>
      <abilityName>全半角检查</abilityName>
      <candidateList>
        <item>，</item>
      </candidateList>
      <explain>文本全半角错误。</explain>
      <paraID>73DA8AA5</paraID>
      <start>1</start>
      <end>2</end>
      <status>unmodified</status>
      <modifiedWord/>
      <trackRevisions>false</trackRevisions>
    </reviewItem>
    <reviewItem>
      <errorID>63f9de3b-f6fe-4cd0-9f87-5f79541f80b0</errorID>
      <errorWord>见下</errorWord>
      <group>L1_Word</group>
      <groupName>字词问题</groupName>
      <ability>L2_Typo</ability>
      <abilityName>字词错误</abilityName>
      <candidateList>
        <item>如下</item>
      </candidateList>
      <explain>〈动〉如同下面所叙述或列举的：列举～｜现将应注意的事情说明～。</explain>
      <paraID>73CA52F1</paraID>
      <start>41</start>
      <end>43</end>
      <status>unmodified</status>
      <modifiedWord/>
      <trackRevisions>false</trackRevisions>
    </reviewItem>
    <reviewItem>
      <errorID>9b2baf7a-be74-483d-abbc-40caccae8f6f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8FC628</paraID>
      <start>0</start>
      <end>2</end>
      <status>unmodified</status>
      <modifiedWord/>
      <trackRevisions>false</trackRevisions>
    </reviewItem>
    <reviewItem>
      <errorID>24524faa-1784-4d3f-9ec7-b434976bbdb0</errorID>
      <errorWord>《土壤环境质量 农用地土壤污染风险管控标准》（试行）</errorWord>
      <group>L1_Knowledge</group>
      <groupName>知识性问题</groupName>
      <ability>L2_Knowledge</ability>
      <abilityName>其他知识</abilityName>
      <candidateList>
        <item>《土壤环境质量 农用地土壤污染风险管控标准（试行）》</item>
      </candidateList>
      <explain>疑似政策文件、法律法规名称等书写不规范，请注意检查。</explain>
      <paraID>  8FC628</paraID>
      <start>4</start>
      <end>30</end>
      <status>unmodified</status>
      <modifiedWord/>
      <trackRevisions>false</trackRevisions>
    </reviewItem>
    <reviewItem>
      <errorID>f7c35343-a50f-46d1-b077-d792c090a521</errorID>
      <errorWord>《土壤环境质量 农用地土壤污染风险管控标准》（试行）</errorWord>
      <group>L1_Knowledge</group>
      <groupName>知识性问题</groupName>
      <ability>L2_Knowledge</ability>
      <abilityName>其他知识</abilityName>
      <candidateList>
        <item>《土壤环境质量 农用地土壤污染风险管控标准（试行）》</item>
      </candidateList>
      <explain>疑似政策文件、法律法规名称等书写不规范，请注意检查。</explain>
      <paraID>2AC88091</paraID>
      <start>20</start>
      <end>46</end>
      <status>unmodified</status>
      <modifiedWord/>
      <trackRevisions>false</trackRevisions>
    </reviewItem>
    <reviewItem>
      <errorID>1a6a7473-32a8-4a08-95de-50860599c7ee</errorID>
      <errorWord>*</errorWord>
      <group>L1_Punc</group>
      <groupName>标点问题</groupName>
      <ability>L2_Punc</ability>
      <abilityName>标点符号检查</abilityName>
      <candidateList/>
      <explain/>
      <paraID>70C8A88C</paraID>
      <start>0</start>
      <end>1</end>
      <status>unmodified</status>
      <modifiedWord/>
      <trackRevisions>false</trackRevisions>
    </reviewItem>
    <reviewItem>
      <errorID>30a400fb-f9de-453c-875a-c7435333dcad</errorID>
      <errorWord>~</errorWord>
      <group>L1_Format</group>
      <groupName>格式问题</groupName>
      <ability>L2_HalfPunc</ability>
      <abilityName>全半角检查</abilityName>
      <candidateList>
        <item>～</item>
      </candidateList>
      <explain>文本全半角错误。</explain>
      <paraID>1A0F6A99</paraID>
      <start>117</start>
      <end>118</end>
      <status>unmodified</status>
      <modifiedWord/>
      <trackRevisions>false</trackRevisions>
    </reviewItem>
    <reviewItem>
      <errorID>1357c65d-3b15-4d29-b1be-92f0abfb5170</errorID>
      <errorWord>可见</errorWord>
      <group>L1_Word</group>
      <groupName>字词问题</groupName>
      <ability>L2_Typo</ability>
      <abilityName>字词错误</abilityName>
      <candidateList>
        <item>可</item>
      </candidateList>
      <explain>〈动〉适合：～人意｜这回倒～了他的心了。</explain>
      <paraID>2AE429DE</paraID>
      <start>0</start>
      <end>2</end>
      <status>unmodified</status>
      <modifiedWord/>
      <trackRevisions>false</trackRevisions>
    </reviewItem>
    <reviewItem>
      <errorID>1b8d3195-63d5-4ca7-80c3-37da90ce20bc</errorID>
      <errorWord>~</errorWord>
      <group>L1_Format</group>
      <groupName>格式问题</groupName>
      <ability>L2_HalfPunc</ability>
      <abilityName>全半角检查</abilityName>
      <candidateList>
        <item>～</item>
      </candidateList>
      <explain>文本全半角错误。</explain>
      <paraID>2AE429DE</paraID>
      <start>15</start>
      <end>16</end>
      <status>unmodified</status>
      <modifiedWord/>
      <trackRevisions>false</trackRevisions>
    </reviewItem>
    <reviewItem>
      <errorID>04366ec5-907e-486b-b09d-0532933034b3</errorID>
      <errorWord>~</errorWord>
      <group>L1_Format</group>
      <groupName>格式问题</groupName>
      <ability>L2_HalfPunc</ability>
      <abilityName>全半角检查</abilityName>
      <candidateList>
        <item>～</item>
      </candidateList>
      <explain>文本全半角错误。</explain>
      <paraID>2AE429DE</paraID>
      <start>51</start>
      <end>52</end>
      <status>unmodified</status>
      <modifiedWord/>
      <trackRevisions>false</trackRevisions>
    </reviewItem>
    <reviewItem>
      <errorID>887aa3e1-0859-45cb-97e5-559db4d5e142</errorID>
      <errorWord>期</errorWord>
      <group>L1_Word</group>
      <groupName>字词问题</groupName>
      <ability>L2_Typo</ability>
      <abilityName>字词错误</abilityName>
      <candidateList>
        <item>期间</item>
      </candidateList>
      <explain>〈名〉某个时期里面：农忙～｜春节～｜抗战～。</explain>
      <paraID>48CA3E5F</paraID>
      <start>7</start>
      <end>8</end>
      <status>unmodified</status>
      <modifiedWord/>
      <trackRevisions>false</trackRevisions>
    </reviewItem>
    <reviewItem>
      <errorID>f9e4ae9e-624c-4f63-96ab-a9ab1e966723</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28F871B1</paraID>
      <start>19</start>
      <end>21</end>
      <status>unmodified</status>
      <modifiedWord/>
      <trackRevisions>false</trackRevisions>
    </reviewItem>
    <reviewItem>
      <errorID>45477cf2-bb74-4452-acac-344e96849e71</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2E0CA360</paraID>
      <start>23</start>
      <end>25</end>
      <status>unmodified</status>
      <modifiedWord/>
      <trackRevisions>false</trackRevisions>
    </reviewItem>
    <reviewItem>
      <errorID>ad95922d-f4e6-492d-810a-bd5d6cd0713b</errorID>
      <errorWord>程</errorWord>
      <group>L1_Word</group>
      <groupName>字词问题</groupName>
      <ability>L2_Typo</ability>
      <abilityName>字词错误</abilityName>
      <candidateList>
        <item>程中</item>
      </candidateList>
      <explain/>
      <paraID>3163042B</paraID>
      <start>41</start>
      <end>42</end>
      <status>unmodified</status>
      <modifiedWord/>
      <trackRevisions>false</trackRevisions>
    </reviewItem>
    <reviewItem>
      <errorID>67b1bf11-eb33-4085-8d78-014492a99bda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13B30772</paraID>
      <start>0</start>
      <end>2</end>
      <status>unmodified</status>
      <modifiedWord/>
      <trackRevisions>false</trackRevisions>
    </reviewItem>
    <reviewItem>
      <errorID>4f657c0f-471b-4612-96ff-3081dacdad34</errorID>
      <errorWord>(</errorWord>
      <group>L1_Format</group>
      <groupName>格式问题</groupName>
      <ability>L2_HalfPunc</ability>
      <abilityName>全半角检查</abilityName>
      <candidateList>
        <item>（</item>
      </candidateList>
      <explain>文本全半角错误。</explain>
      <paraID>444B6591</paraID>
      <start>97</start>
      <end>98</end>
      <status>modified</status>
      <modifiedWord>（</modifiedWord>
      <trackRevisions>false</trackRevisions>
    </reviewItem>
    <reviewItem>
      <errorID>61c87828-4b27-4cb0-b466-3bdcba2197c3</errorID>
      <errorWord>)</errorWord>
      <group>L1_Format</group>
      <groupName>格式问题</groupName>
      <ability>L2_HalfPunc</ability>
      <abilityName>全半角检查</abilityName>
      <candidateList>
        <item>）</item>
      </candidateList>
      <explain>文本全半角错误。</explain>
      <paraID>444B6591</paraID>
      <start>109</start>
      <end>110</end>
      <status>modified</status>
      <modifiedWord>）</modifiedWord>
      <trackRevisions>false</trackRevisions>
    </reviewItem>
    <reviewItem>
      <errorID>74bfbadf-6429-4334-a1eb-014f27b80f0d</errorID>
      <errorWord>程</errorWord>
      <group>L1_Word</group>
      <groupName>字词问题</groupName>
      <ability>L2_Typo</ability>
      <abilityName>字词错误</abilityName>
      <candidateList>
        <item>程中</item>
      </candidateList>
      <explain/>
      <paraID>3B01D737</paraID>
      <start>24</start>
      <end>25</end>
      <status>unmodified</status>
      <modifiedWord/>
      <trackRevisions>false</trackRevisions>
    </reviewItem>
    <reviewItem>
      <errorID>b39b72bd-d624-44c4-8a42-8789f78c5934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C3262AE</paraID>
      <start>0</start>
      <end>2</end>
      <status>unmodified</status>
      <modifiedWord/>
      <trackRevisions>false</trackRevisions>
    </reviewItem>
    <reviewItem>
      <errorID>451a6db1-a194-453c-9968-7c0fc0e7ae79</errorID>
      <errorWord>~</errorWord>
      <group>L1_Format</group>
      <groupName>格式问题</groupName>
      <ability>L2_HalfPunc</ability>
      <abilityName>全半角检查</abilityName>
      <candidateList>
        <item>～</item>
      </candidateList>
      <explain>文本全半角错误。</explain>
      <paraID>26D85B4B</paraID>
      <start>68</start>
      <end>69</end>
      <status>unmodified</status>
      <modifiedWord/>
      <trackRevisions>false</trackRevisions>
    </reviewItem>
    <reviewItem>
      <errorID>b95f783c-3cac-41c1-a1b3-65dc57604cbd</errorID>
      <errorWord>~</errorWord>
      <group>L1_Format</group>
      <groupName>格式问题</groupName>
      <ability>L2_HalfPunc</ability>
      <abilityName>全半角检查</abilityName>
      <candidateList>
        <item>～</item>
      </candidateList>
      <explain>文本全半角错误。</explain>
      <paraID>1161F0E4</paraID>
      <start>68</start>
      <end>69</end>
      <status>unmodified</status>
      <modifiedWord/>
      <trackRevisions>false</trackRevisions>
    </reviewItem>
    <reviewItem>
      <errorID>915c7cd6-4066-40c8-83ae-249793d60ab6</errorID>
      <errorWord>~</errorWord>
      <group>L1_Format</group>
      <groupName>格式问题</groupName>
      <ability>L2_HalfPunc</ability>
      <abilityName>全半角检查</abilityName>
      <candidateList>
        <item>～</item>
      </candidateList>
      <explain>文本全半角错误。</explain>
      <paraID>141915D0</paraID>
      <start>86</start>
      <end>87</end>
      <status>unmodified</status>
      <modifiedWord/>
      <trackRevisions>false</trackRevisions>
    </reviewItem>
    <reviewItem>
      <errorID>102818c6-5976-435e-84b7-9d9a4d272411</errorID>
      <errorWord>~</errorWord>
      <group>L1_Format</group>
      <groupName>格式问题</groupName>
      <ability>L2_HalfPunc</ability>
      <abilityName>全半角检查</abilityName>
      <candidateList>
        <item>～</item>
      </candidateList>
      <explain>文本全半角错误。</explain>
      <paraID>141915D0</paraID>
      <start>174</start>
      <end>175</end>
      <status>unmodified</status>
      <modifiedWord/>
      <trackRevisions>false</trackRevisions>
    </reviewItem>
    <reviewItem>
      <errorID>2bd45f90-8e0f-4108-a6d6-b0f56ac4a332</errorID>
      <errorWord>3）、</errorWord>
      <group>L1_Punc</group>
      <groupName>标点问题</groupName>
      <ability>L2_Punc</ability>
      <abilityName>标点符号检查</abilityName>
      <candidateList>
        <item>3）</item>
      </candidateList>
      <explain>根据国标GB/T 15834-2011《标点符号用法》中的4.5.3.3节，带括号的汉字数字或阿拉伯数字表次序时，后面通常不加顿号。如“（一）指导思想”“（二）行动指南”。</explain>
      <paraID> 6484D6F</paraID>
      <start>248</start>
      <end>251</end>
      <status>unmodified</status>
      <modifiedWord/>
      <trackRevisions>false</trackRevisions>
    </reviewItem>
    <reviewItem>
      <errorID>8eadbcc9-37b5-4488-913e-729204423c1e</errorID>
      <errorWord>~</errorWord>
      <group>L1_Format</group>
      <groupName>格式问题</groupName>
      <ability>L2_HalfPunc</ability>
      <abilityName>全半角检查</abilityName>
      <candidateList>
        <item>～</item>
      </candidateList>
      <explain>文本全半角错误。</explain>
      <paraID>23B681FB</paraID>
      <start>124</start>
      <end>125</end>
      <status>unmodified</status>
      <modifiedWord/>
      <trackRevisions>false</trackRevisions>
    </reviewItem>
    <reviewItem>
      <errorID>60bac0a9-4b1a-4932-9ecd-d12fe7e30b9c</errorID>
      <errorWord>环境环境</errorWord>
      <group>L1_Word</group>
      <groupName>字词问题</groupName>
      <ability>L2_Typo</ability>
      <abilityName>字词错误</abilityName>
      <candidateList>
        <item>环境</item>
      </candidateList>
      <explain>〈名〉❶周围的地方：～优美｜～卫生。❷周围的情况和条件：客观～｜工作～。</explain>
      <paraID> 94A03B6</paraID>
      <start>7</start>
      <end>9</end>
      <status>modified</status>
      <modifiedWord>环境</modifiedWord>
      <trackRevisions>false</trackRevisions>
    </reviewItem>
    <reviewItem>
      <errorID>6e1cca45-303c-4e31-a15b-0b9bacf7106c</errorID>
      <errorWord>程</errorWord>
      <group>L1_Word</group>
      <groupName>字词问题</groupName>
      <ability>L2_Typo</ability>
      <abilityName>字词错误</abilityName>
      <candidateList>
        <item>程中</item>
      </candidateList>
      <explain/>
      <paraID>16CB6E43</paraID>
      <start>77</start>
      <end>78</end>
      <status>unmodified</status>
      <modifiedWord/>
      <trackRevisions>false</trackRevisions>
    </reviewItem>
    <reviewItem>
      <errorID>618e7afc-3b51-46be-a5c2-9aa30eac58f4</errorID>
      <errorWord>最大限度的减少</errorWord>
      <group>L1_Word</group>
      <groupName>字词问题</groupName>
      <ability>L2_Typo</ability>
      <abilityName>字词错误</abilityName>
      <candidateList>
        <item>最大限度地减少</item>
      </candidateList>
      <explain/>
      <paraID>5BE9BB36</paraID>
      <start>118</start>
      <end>125</end>
      <status>unmodified</status>
      <modifiedWord/>
      <trackRevisions>false</trackRevisions>
    </reviewItem>
    <reviewItem>
      <errorID>180ee087-0979-469d-9f2d-e62037144eee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26C74B8A</paraID>
      <start>52</start>
      <end>53</end>
      <status>unmodified</status>
      <modifiedWord/>
      <trackRevisions>false</trackRevisions>
    </reviewItem>
    <reviewItem>
      <errorID>6b410d73-0173-4f6c-95e2-1e0b726fd16f</errorID>
      <errorWord>、...</errorWord>
      <group>L1_Punc</group>
      <groupName>标点问题</groupName>
      <ability>L2_Punc</ability>
      <abilityName>标点符号检查</abilityName>
      <candidateList>
        <item>、</item>
      </candidateList>
      <explain/>
      <paraID>7C83796D</paraID>
      <start>8</start>
      <end>12</end>
      <status>unmodified</status>
      <modifiedWord/>
      <trackRevisions>false</trackRevisions>
    </reviewItem>
    <reviewItem>
      <errorID>afb96efb-9f99-4dd8-90f2-7f247facc41c</errorID>
      <errorWord>、...</errorWord>
      <group>L1_Punc</group>
      <groupName>标点问题</groupName>
      <ability>L2_Punc</ability>
      <abilityName>标点符号检查</abilityName>
      <candidateList>
        <item>、</item>
      </candidateList>
      <explain/>
      <paraID>7CF298C4</paraID>
      <start>5</start>
      <end>9</end>
      <status>unmodified</status>
      <modifiedWord/>
      <trackRevisions>false</trackRevisions>
    </reviewItem>
    <reviewItem>
      <errorID>a86a2b08-ea8e-4dc0-b6c4-d25b313a9a63</errorID>
      <errorWord>程</errorWord>
      <group>L1_Word</group>
      <groupName>字词问题</groupName>
      <ability>L2_Typo</ability>
      <abilityName>字词错误</abilityName>
      <candidateList>
        <item>程中</item>
      </candidateList>
      <explain/>
      <paraID>122B1923</paraID>
      <start>100</start>
      <end>101</end>
      <status>unmodified</status>
      <modifiedWord/>
      <trackRevisions>false</trackRevisions>
    </reviewItem>
    <reviewItem>
      <errorID>78449e5e-6d5e-4ace-b2d9-2e885e07bb95</errorID>
      <errorWord>抛撒</errorWord>
      <group>L1_Word</group>
      <groupName>字词问题</groupName>
      <ability>L2_Typo</ability>
      <abilityName>字词错误</abilityName>
      <candidateList>
        <item>抛洒</item>
      </candidateList>
      <explain>存在发音相同字词的误用。</explain>
      <paraID>15C2E45B</paraID>
      <start>33</start>
      <end>35</end>
      <status>modified</status>
      <modifiedWord>抛洒</modifiedWord>
      <trackRevisions>false</trackRevisions>
    </reviewItem>
    <reviewItem>
      <errorID>9da395b9-3864-40f9-bd3c-0344ca0dc140</errorID>
      <errorWord>程</errorWord>
      <group>L1_Word</group>
      <groupName>字词问题</groupName>
      <ability>L2_Typo</ability>
      <abilityName>字词错误</abilityName>
      <candidateList>
        <item>程中</item>
      </candidateList>
      <explain/>
      <paraID>7CBF20EC</paraID>
      <start>4</start>
      <end>5</end>
      <status>unmodified</status>
      <modifiedWord/>
      <trackRevisions>false</trackRevisions>
    </reviewItem>
    <reviewItem>
      <errorID>493515f6-4f04-4bd2-964c-73fdb4da45fa</errorID>
      <errorWord>40%~70%</errorWord>
      <group>L1_Knowledge</group>
      <groupName>知识性问题</groupName>
      <ability>L2_Knowledge</ability>
      <abilityName>其他知识</abilityName>
      <candidateList>
        <item>40%～70%</item>
      </candidateList>
      <explain>1. “40%~70%”中的单位“%”仅出现在后一个数字上，容易引起歧义；根据《现代汉语标点符号数字用法规范手册》，数字表示范围两边需要使用统一的格式。2. 根据标点国标 4.13 中的规则，数字、时间或地域连接符应使用（视觉上更长的）“—”或“～”。</explain>
      <paraID>2CC7021F</paraID>
      <start>135</start>
      <end>142</end>
      <status>unmodified</status>
      <modifiedWord/>
      <trackRevisions>false</trackRevisions>
    </reviewItem>
    <reviewItem>
      <errorID>b85c3746-e509-464c-9c62-0ed3d0deffd8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A6DB6FD</paraID>
      <start>68</start>
      <end>69</end>
      <status>unmodified</status>
      <modifiedWord/>
      <trackRevisions>false</trackRevisions>
    </reviewItem>
    <reviewItem>
      <errorID>ec6bc533-7e74-4c0b-a1c1-c6f042b2e355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1997A529</paraID>
      <start>4</start>
      <end>5</end>
      <status>unmodified</status>
      <modifiedWord/>
      <trackRevisions>false</trackRevisions>
    </reviewItem>
    <reviewItem>
      <errorID>02f7e70a-4b64-4c28-a748-6c9d25e12b79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CADCAB7</paraID>
      <start>59</start>
      <end>60</end>
      <status>unmodified</status>
      <modifiedWord/>
      <trackRevisions>false</trackRevisions>
    </reviewItem>
    <reviewItem>
      <errorID>68064b74-370f-4f5d-922c-b732b74e652e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1F0FEDB6</paraID>
      <start>71</start>
      <end>72</end>
      <status>unmodified</status>
      <modifiedWord/>
      <trackRevisions>false</trackRevisions>
    </reviewItem>
    <reviewItem>
      <errorID>a9e4bf7d-de4c-4ad9-b640-e32e62cd0f86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60ACBE33</paraID>
      <start>107</start>
      <end>108</end>
      <status>unmodified</status>
      <modifiedWord/>
      <trackRevisions>false</trackRevisions>
    </reviewItem>
    <reviewItem>
      <errorID>8f35e6c3-06e4-4ce6-a7d9-5779e9e060db</errorID>
      <errorWord>有效地</errorWord>
      <group>L1_Word</group>
      <groupName>字词问题</groupName>
      <ability>L2_Typo</ability>
      <abilityName>字词错误</abilityName>
      <candidateList>
        <item>有效</item>
      </candidateList>
      <explain/>
      <paraID>548456DF</paraID>
      <start>41</start>
      <end>44</end>
      <status>unmodified</status>
      <modifiedWord/>
      <trackRevisions>false</trackRevisions>
    </reviewItem>
    <reviewItem>
      <errorID>8b184029-e687-40ed-a6db-c2264793dcd7</errorID>
      <errorWord>切实地</errorWord>
      <group>L1_Word</group>
      <groupName>字词问题</groupName>
      <ability>L2_Typo</ability>
      <abilityName>字词错误</abilityName>
      <candidateList>
        <item>切实</item>
      </candidateList>
      <explain/>
      <paraID>60460567</paraID>
      <start>38</start>
      <end>41</end>
      <status>unmodified</status>
      <modifiedWord/>
      <trackRevisions>false</trackRevisions>
    </reviewItem>
    <reviewItem>
      <errorID>db858365-2d1c-4859-a3da-fd69409d1ad2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6EDE0F1B</paraID>
      <start>0</start>
      <end>2</end>
      <status>unmodified</status>
      <modifiedWord/>
      <trackRevisions>false</trackRevisions>
    </reviewItem>
    <reviewItem>
      <errorID>1611f920-47b6-45c7-b135-2ac51e4990df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45FE76C8</paraID>
      <start>0</start>
      <end>2</end>
      <status>unmodified</status>
      <modifiedWord/>
      <trackRevisions>false</trackRevisions>
    </reviewItem>
    <reviewItem>
      <errorID>3f8f5458-9641-44e6-9e04-b30a07dd1d67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B2D78A8</paraID>
      <start>0</start>
      <end>2</end>
      <status>unmodified</status>
      <modifiedWord/>
      <trackRevisions>false</trackRevisions>
    </reviewItem>
    <reviewItem>
      <errorID>d3f5854c-5066-4e0d-bbc4-f60edf674b50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27AB717E</paraID>
      <start>0</start>
      <end>2</end>
      <status>unmodified</status>
      <modifiedWord/>
      <trackRevisions>false</trackRevisions>
    </reviewItem>
    <reviewItem>
      <errorID>37cb2c2a-1d36-48ff-97ad-8bf9501d8ef2</errorID>
      <errorWord>）对</errorWord>
      <group>L1_Word</group>
      <groupName>字词问题</groupName>
      <ability>L2_Typo</ability>
      <abilityName>字词错误</abilityName>
      <candidateList>
        <item>）</item>
      </candidateList>
      <explain/>
      <paraID> C317C88</paraID>
      <start>2</start>
      <end>4</end>
      <status>unmodified</status>
      <modifiedWord/>
      <trackRevisions>false</trackRevisions>
    </reviewItem>
    <reviewItem>
      <errorID>e320001c-0609-4e4d-909d-c9c5187d7235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DEDFC0</paraID>
      <start>0</start>
      <end>2</end>
      <status>unmodified</status>
      <modifiedWord/>
      <trackRevisions>false</trackRevisions>
    </reviewItem>
    <reviewItem>
      <errorID>662a1c0f-86bf-4acb-937f-dfac25d4ad7d</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5B4ADD01</paraID>
      <start>52</start>
      <end>56</end>
      <status>modified</status>
      <modifiedWord>无须设置</modifiedWord>
      <trackRevisions>false</trackRevisions>
    </reviewItem>
    <reviewItem>
      <errorID>a01ea7d0-64c4-4889-b2dc-fc80974ba417</errorID>
      <errorWord>《排污口规范化整治要求》（试行）</errorWord>
      <group>L1_Knowledge</group>
      <groupName>知识性问题</groupName>
      <ability>L2_Knowledge</ability>
      <abilityName>其他知识</abilityName>
      <candidateList>
        <item>《排污口规范化整治要求（试行）》</item>
      </candidateList>
      <explain>疑似政策文件、法律法规名称等书写不规范，请注意检查。</explain>
      <paraID>3C373547</paraID>
      <start>30</start>
      <end>46</end>
      <status>modified</status>
      <modifiedWord>《排污口规范化整治要求（试行）》</modifiedWord>
      <trackRevisions>false</trackRevisions>
    </reviewItem>
    <reviewItem>
      <errorID>552afaf0-677d-4574-a61a-eccc0652802a</errorID>
      <errorWord>位</errorWord>
      <group>L1_Word</group>
      <groupName>字词问题</groupName>
      <ability>L2_Typo</ability>
      <abilityName>字词错误</abilityName>
      <candidateList>
        <item>位在</item>
      </candidateList>
      <explain/>
      <paraID>75119365</paraID>
      <start>74</start>
      <end>76</end>
      <status>modified</status>
      <modifiedWord>位在</modifiedWord>
      <trackRevisions>false</trackRevisions>
    </reviewItem>
    <reviewItem>
      <errorID>5ca1fe91-96fd-4c22-a51f-c37308068499</errorID>
      <errorWord>II类</errorWord>
      <group>L1_Knowledge</group>
      <groupName>知识性问题</groupName>
      <ability>L2_Knowledge</ability>
      <abilityName>其他知识</abilityName>
      <candidateList>
        <item>Ⅱ类</item>
      </candidateList>
      <explain/>
      <paraID>5BE78D10</paraID>
      <start>5</start>
      <end>7</end>
      <status>modified</status>
      <modifiedWord>Ⅱ类</modifiedWord>
      <trackRevisions>false</trackRevisions>
    </reviewItem>
    <reviewItem>
      <errorID>42027afa-ce73-471c-a938-1a3c60df78ad</errorID>
      <errorWord>资源节约综合利用</errorWord>
      <group>L1_Political</group>
      <groupName>政治性问题</groupName>
      <ability>L2_Keyword</ability>
      <abilityName>固定表述</abilityName>
      <candidateList>
        <item>资源节约集约利用</item>
      </candidateList>
      <explain>词汇“资源节约集约利用”在特定场景下为固定表述形式，请确认此处的“资源节约综合利用”是否存在不当。</explain>
      <paraID>14BDACF3</paraID>
      <start>72</start>
      <end>80</end>
      <status>unmodified</status>
      <modifiedWord/>
      <trackRevisions>false</trackRevisions>
    </reviewItem>
    <reviewItem>
      <errorID>ec6ede20-66f0-4abd-b321-6b19128fbfe3</errorID>
      <errorWord>，</errorWord>
      <group>L1_Word</group>
      <groupName>字词问题</groupName>
      <ability>L2_Typo</ability>
      <abilityName>字词错误</abilityName>
      <candidateList>
        <item>，在</item>
      </candidateList>
      <explain/>
      <paraID>24274BC2</paraID>
      <start>51</start>
      <end>52</end>
      <status>unmodified</status>
      <modifiedWord/>
      <trackRevisions>false</trackRevisions>
    </reviewItem>
    <reviewItem>
      <errorID>1a3dcd13-432d-40f3-b093-6b29fab57c6e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7DC6CF64</paraID>
      <start>0</start>
      <end>2</end>
      <status>unmodified</status>
      <modifiedWord/>
      <trackRevisions>false</trackRevisions>
    </reviewItem>
    <reviewItem>
      <errorID>62fdda28-491d-4c46-a341-db0db8490e09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3A808288</paraID>
      <start>0</start>
      <end>2</end>
      <status>unmodified</status>
      <modifiedWord/>
      <trackRevisions>false</trackRevisions>
    </reviewItem>
    <reviewItem>
      <errorID>b83c3fab-72e9-4a67-a48f-f6edc9298d82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2A90DAEA</paraID>
      <start>0</start>
      <end>2</end>
      <status>unmodified</status>
      <modifiedWord/>
      <trackRevisions>false</trackRevisions>
    </reviewItem>
    <reviewItem>
      <errorID>3aa78d97-0c00-4d2a-97b8-37ee95e49275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7EF7C0F3</paraID>
      <start>0</start>
      <end>2</end>
      <status>unmodified</status>
      <modifiedWord/>
      <trackRevisions>false</trackRevisions>
    </reviewItem>
    <reviewItem>
      <errorID>94b72fbb-6d67-41aa-9b80-17dcb19f1704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478DF527</paraID>
      <start>0</start>
      <end>2</end>
      <status>unmodified</status>
      <modifiedWord/>
      <trackRevisions>false</trackRevisions>
    </reviewItem>
    <reviewItem>
      <errorID>29fd590b-06a8-4be1-82ff-6ff055288b64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694F0636</paraID>
      <start>0</start>
      <end>2</end>
      <status>unmodified</status>
      <modifiedWord/>
      <trackRevisions>false</trackRevisions>
    </reviewItem>
    <reviewItem>
      <errorID>271eabbd-127d-484a-b59a-24dfdc16a7be</errorID>
      <errorWord>气型</errorWord>
      <group>L1_Word</group>
      <groupName>字词问题</groupName>
      <ability>L2_Typo</ability>
      <abilityName>字词错误</abilityName>
      <candidateList>
        <item>气象</item>
      </candidateList>
      <explain>存在发音相近字词的误用。</explain>
      <paraID>3BC06EFF</paraID>
      <start>3</start>
      <end>5</end>
      <status>unmodified</status>
      <modifiedWord/>
      <trackRevisions>false</trackRevisions>
    </reviewItem>
    <reviewItem>
      <errorID>b5d93d0b-a6d4-482d-ac0d-5f0373054873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701149E3</paraID>
      <start>0</start>
      <end>2</end>
      <status>unmodified</status>
      <modifiedWord/>
      <trackRevisions>false</trackRevisions>
    </reviewItem>
    <reviewItem>
      <errorID>126b1ded-19c7-48d7-93a9-89547d8e2880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5E1A89E</paraID>
      <start>0</start>
      <end>2</end>
      <status>unmodified</status>
      <modifiedWord/>
      <trackRevisions>false</trackRevisions>
    </reviewItem>
    <reviewItem>
      <errorID>398cdcb5-55b3-4f77-8080-cf313466b063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39564FEB</paraID>
      <start>0</start>
      <end>2</end>
      <status>unmodified</status>
      <modifiedWord/>
      <trackRevisions>false</trackRevisions>
    </reviewItem>
    <reviewItem>
      <errorID>70f5c863-faa8-4875-ba57-74def83c164a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6B4ACFCC</paraID>
      <start>0</start>
      <end>2</end>
      <status>unmodified</status>
      <modifiedWord/>
      <trackRevisions>false</trackRevisions>
    </reviewItem>
    <reviewItem>
      <errorID>9e8f7494-59b7-4596-a404-1d8968586e25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45EFD0E8</paraID>
      <start>0</start>
      <end>2</end>
      <status>unmodified</status>
      <modifiedWord/>
      <trackRevisions>false</trackRevisions>
    </reviewItem>
    <reviewItem>
      <errorID>270153a5-c135-44b6-96fc-a1ac1834f77c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55CAE8FC</paraID>
      <start>0</start>
      <end>2</end>
      <status>unmodified</status>
      <modifiedWord/>
      <trackRevisions>false</trackRevisions>
    </reviewItem>
    <reviewItem>
      <errorID>88031a8e-326f-4ad2-ab48-12574291eb4a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3CED3AAB</paraID>
      <start>0</start>
      <end>2</end>
      <status>unmodified</status>
      <modifiedWord/>
      <trackRevisions>false</trackRevisions>
    </reviewItem>
    <reviewItem>
      <errorID>55596dd9-0f5e-4a01-9e58-f45bf2d11ede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CE4D9B3</paraID>
      <start>0</start>
      <end>2</end>
      <status>unmodified</status>
      <modifiedWord/>
      <trackRevisions>false</trackRevisions>
    </reviewItem>
    <reviewItem>
      <errorID>d6a9ee66-7f4d-4474-a06d-665ccb360172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48D6A32</paraID>
      <start>0</start>
      <end>2</end>
      <status>unmodified</status>
      <modifiedWord/>
      <trackRevisions>false</trackRevisions>
    </reviewItem>
    <reviewItem>
      <errorID>e64eb766-7de3-4f6d-89e7-4210492aee80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41380976</paraID>
      <start>0</start>
      <end>2</end>
      <status>unmodified</status>
      <modifiedWord/>
      <trackRevisions>false</trackRevisions>
    </reviewItem>
    <reviewItem>
      <errorID>da3a94a7-5056-48ab-ac1f-741e34a0c578</errorID>
      <errorWord>有利</errorWord>
      <group>L1_Word</group>
      <groupName>字词问题</groupName>
      <ability>L2_Typo</ability>
      <abilityName>字词错误</abilityName>
      <candidateList>
        <item>有力</item>
      </candidateList>
      <explain>〈形〉有力量；分量重：领导～｜～的回击｜这篇文章写得简短～。</explain>
      <paraID>5B686987</paraID>
      <start>96</start>
      <end>98</end>
      <status>unmodified</status>
      <modifiedWord/>
      <trackRevisions>false</trackRevisions>
    </reviewItem>
    <reviewItem>
      <errorID>c6b88404-09ea-4476-a7c3-bd3eac1b25fe</errorID>
      <errorWord>减小对</errorWord>
      <group>L1_Word</group>
      <groupName>字词问题</groupName>
      <ability>L2_Typo</ability>
      <abilityName>字词错误</abilityName>
      <candidateList>
        <item>减小</item>
      </candidateList>
      <explain/>
      <paraID>5B686987</paraID>
      <start>101</start>
      <end>103</end>
      <status>modified</status>
      <modifiedWord>减小</modifiedWord>
      <trackRevisions>false</trackRevisions>
    </reviewItem>
    <reviewItem>
      <errorID>3d4179be-d0a5-406b-98ee-d1d4a416cd78</errorID>
      <errorWord>工程在</errorWord>
      <group>L1_Word</group>
      <groupName>字词问题</groupName>
      <ability>L2_Typo</ability>
      <abilityName>字词错误</abilityName>
      <candidateList>
        <item>工程</item>
      </candidateList>
      <explain/>
      <paraID>5B686987</paraID>
      <start>109</start>
      <end>112</end>
      <status>unmodified</status>
      <modifiedWord/>
      <trackRevisions>false</trackRevisions>
    </reviewItem>
    <reviewItem>
      <errorID>1a95eb8f-2aa4-46db-a2d4-a6d4b50f38fa</errorID>
      <errorWord>II类</errorWord>
      <group>L1_Knowledge</group>
      <groupName>知识性问题</groupName>
      <ability>L2_Knowledge</ability>
      <abilityName>其他知识</abilityName>
      <candidateList>
        <item>Ⅱ类</item>
      </candidateList>
      <explain/>
      <paraID>59CB81FA</paraID>
      <start>79</start>
      <end>81</end>
      <status>modified</status>
      <modifiedWord>Ⅱ类</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a38299-a209-4142-bfc2-2b8954942628}">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223</Pages>
  <Words>123229</Words>
  <Characters>153297</Characters>
  <Lines>1267</Lines>
  <Paragraphs>356</Paragraphs>
  <TotalTime>0</TotalTime>
  <ScaleCrop>false</ScaleCrop>
  <LinksUpToDate>false</LinksUpToDate>
  <CharactersWithSpaces>153925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2021-09-23T09:21:00Z</dcterms:created>
  <dc:creator>.</dc:creator>
  <cp:lastModifiedBy>Melody、</cp:lastModifiedBy>
  <cp:lastPrinted>2026-01-23T08:59:00Z</cp:lastPrinted>
  <dcterms:modified xsi:type="dcterms:W3CDTF">2026-05-06T02:39:50Z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2D940D8A07AD40F1828FAD061711C017_13</vt:lpwstr>
  </property>
  <property fmtid="{D5CDD505-2E9C-101B-9397-08002B2CF9AE}" pid="4" name="commondata">
    <vt:lpwstr>eyJoZGlkIjoiOTE4NmRiMDk0YmI1ZTVjYWMyOWI3MmNjMWE2YzMyYzcifQ==</vt:lpwstr>
  </property>
  <property fmtid="{D5CDD505-2E9C-101B-9397-08002B2CF9AE}" pid="5" name="KSOTemplateDocerSaveRecord">
    <vt:lpwstr>eyJoZGlkIjoiMTQ0MzZiMzBjODBlYWM2ZWZlZTBmODc2N2QyNTJkNjYiLCJ1c2VySWQiOiI5NzgyMDA3ODkifQ==</vt:lpwstr>
  </property>
</Properties>
</file>